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41006.xml.htm"/>
      <w:bookmarkStart w:id="1" w:name="ksform410022026_0410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Good Morton Carson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 SUITE 140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Alpine Income Property Trust, Inc.</w:t>
              </w:r>
            </w:hyperlink>
            <w:r>
              <w:rPr/>
              <w:t xml:space="preserve"> [ </w:t>
            </w:r>
            <w:r>
              <w:rPr>
                <w:rFonts w:ascii="Times;serif" w:hAnsi="Times;serif"/>
                <w:color w:val="0000FF"/>
                <w:sz w:val="24"/>
                <w:shd w:fill="FFFFFF" w:val="clear"/>
              </w:rPr>
              <w:t>PINE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18.058</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29,894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Reporting Person as (i) the equity component of his Q3 2026 quarterly retainer fee (the value of such component being approximately $17,500) and (ii) in lieu of the cash component of his Q3 2026 quarterly retainer fee of $12,500, pursuant to the Issuer's Non-Employee Director Compensation Policy (the "Policy") adopted by the Issuer's board of directors on February 3, 2020 (last amended January 30, 2025). Pursuant to the Policy, the share price utilized to calculate the number of shares issued was the 20-day trailing average closing price as of the last business day of the calendar quarter, or $18.0580.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M. Carson Good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2528" TargetMode="External"/><Relationship Id="rId5" Type="http://schemas.openxmlformats.org/officeDocument/2006/relationships/hyperlink" Target="http://www.sec.gov/cgi-bin/browse-edgar?action=getcompany&amp;CIK=0001786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3660</Characters>
  <CharactersWithSpaces>4275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