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3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-195580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64770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86995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5" w:lineRule="exact"/>
        <w:rPr>
          <w:sz w:val="24"/>
          <w:szCs w:val="24"/>
          <w:color w:val="auto"/>
        </w:rPr>
      </w:pPr>
    </w:p>
    <w:p>
      <w:pPr>
        <w:ind w:left="440" w:right="180" w:hanging="430"/>
        <w:spacing w:after="0" w:line="273" w:lineRule="auto"/>
        <w:tabs>
          <w:tab w:leader="none" w:pos="4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2025</w:t>
      </w:r>
    </w:p>
    <w:p>
      <w:pPr>
        <w:spacing w:after="0" w:line="6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54" w:lineRule="exact"/>
        <w:rPr>
          <w:sz w:val="24"/>
          <w:szCs w:val="24"/>
          <w:color w:val="auto"/>
        </w:rPr>
      </w:pPr>
    </w:p>
    <w:p>
      <w:pPr>
        <w:ind w:left="440" w:right="180" w:hanging="430"/>
        <w:spacing w:after="0" w:line="273" w:lineRule="auto"/>
        <w:tabs>
          <w:tab w:leader="none" w:pos="44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 w:lineRule="exact"/>
        <w:rPr>
          <w:sz w:val="24"/>
          <w:szCs w:val="24"/>
          <w:color w:val="auto"/>
        </w:rPr>
      </w:pPr>
    </w:p>
    <w:p>
      <w:pPr>
        <w:ind w:left="3160"/>
        <w:spacing w:after="0"/>
        <w:tabs>
          <w:tab w:leader="none" w:pos="61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3361055</wp:posOffset>
            </wp:positionH>
            <wp:positionV relativeFrom="paragraph">
              <wp:posOffset>-3175</wp:posOffset>
            </wp:positionV>
            <wp:extent cx="11398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7"/>
          <w:szCs w:val="17"/>
          <w:b w:val="1"/>
          <w:bCs w:val="1"/>
          <w:color w:val="auto"/>
        </w:rPr>
        <w:t>001-39143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95885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ALPINE INCOME PROPERTY TRUST,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69215</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68" w:lineRule="exact"/>
        <w:rPr>
          <w:sz w:val="24"/>
          <w:szCs w:val="24"/>
          <w:color w:val="auto"/>
        </w:rPr>
      </w:pPr>
    </w:p>
    <w:tbl>
      <w:tblPr>
        <w:tblLayout w:type="fixed"/>
        <w:tblInd w:w="1200" w:type="dxa"/>
        <w:tblCellMar>
          <w:top w:w="0" w:type="dxa"/>
          <w:left w:w="0" w:type="dxa"/>
          <w:bottom w:w="0" w:type="dxa"/>
          <w:right w:w="0" w:type="dxa"/>
        </w:tblCellMar>
      </w:tblPr>
      <w:tr>
        <w:trPr>
          <w:trHeight w:val="202"/>
        </w:trPr>
        <w:tc>
          <w:tcPr>
            <w:tcW w:w="5840" w:type="dxa"/>
            <w:vAlign w:val="bottom"/>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13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84-2769895</w:t>
            </w:r>
          </w:p>
        </w:tc>
      </w:tr>
      <w:tr>
        <w:trPr>
          <w:trHeight w:val="203"/>
        </w:trPr>
        <w:tc>
          <w:tcPr>
            <w:tcW w:w="5840" w:type="dxa"/>
            <w:vAlign w:val="bottom"/>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13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5840" w:type="dxa"/>
            <w:vAlign w:val="bottom"/>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13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287"/>
        </w:trPr>
        <w:tc>
          <w:tcPr>
            <w:tcW w:w="5840" w:type="dxa"/>
            <w:vAlign w:val="bottom"/>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w w:val="99"/>
              </w:rPr>
              <w:t>369 N. New York Avenue, Suite 201</w:t>
            </w:r>
          </w:p>
        </w:tc>
        <w:tc>
          <w:tcPr>
            <w:tcW w:w="1380" w:type="dxa"/>
            <w:vAlign w:val="bottom"/>
          </w:tcPr>
          <w:p>
            <w:pPr>
              <w:spacing w:after="0"/>
              <w:rPr>
                <w:sz w:val="24"/>
                <w:szCs w:val="24"/>
                <w:color w:val="auto"/>
              </w:rPr>
            </w:pPr>
          </w:p>
        </w:tc>
      </w:tr>
      <w:tr>
        <w:trPr>
          <w:trHeight w:val="203"/>
        </w:trPr>
        <w:tc>
          <w:tcPr>
            <w:tcW w:w="5840" w:type="dxa"/>
            <w:vAlign w:val="bottom"/>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Winter Park, Florida</w:t>
            </w:r>
          </w:p>
        </w:tc>
        <w:tc>
          <w:tcPr>
            <w:tcW w:w="13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32789</w:t>
            </w:r>
          </w:p>
        </w:tc>
      </w:tr>
      <w:tr>
        <w:trPr>
          <w:trHeight w:val="212"/>
        </w:trPr>
        <w:tc>
          <w:tcPr>
            <w:tcW w:w="5840" w:type="dxa"/>
            <w:vAlign w:val="bottom"/>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3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260"/>
        </w:trPr>
        <w:tc>
          <w:tcPr>
            <w:tcW w:w="5840" w:type="dxa"/>
            <w:vAlign w:val="bottom"/>
          </w:tcPr>
          <w:p>
            <w:pPr>
              <w:jc w:val="right"/>
              <w:ind w:right="1319"/>
              <w:spacing w:after="0"/>
              <w:rPr>
                <w:sz w:val="20"/>
                <w:szCs w:val="20"/>
                <w:color w:val="auto"/>
              </w:rPr>
            </w:pPr>
            <w:r>
              <w:rPr>
                <w:rFonts w:ascii="Times New Roman" w:cs="Times New Roman" w:eastAsia="Times New Roman" w:hAnsi="Times New Roman"/>
                <w:sz w:val="16"/>
                <w:szCs w:val="16"/>
                <w:b w:val="1"/>
                <w:bCs w:val="1"/>
                <w:color w:val="auto"/>
              </w:rPr>
              <w:t>(407) 904-3324</w:t>
            </w:r>
          </w:p>
        </w:tc>
        <w:tc>
          <w:tcPr>
            <w:tcW w:w="1380" w:type="dxa"/>
            <w:vAlign w:val="bottom"/>
          </w:tcPr>
          <w:p>
            <w:pPr>
              <w:spacing w:after="0"/>
              <w:rPr>
                <w:sz w:val="22"/>
                <w:szCs w:val="22"/>
                <w:color w:val="auto"/>
              </w:rPr>
            </w:pPr>
          </w:p>
        </w:tc>
      </w:tr>
      <w:tr>
        <w:trPr>
          <w:trHeight w:val="212"/>
        </w:trPr>
        <w:tc>
          <w:tcPr>
            <w:tcW w:w="5840" w:type="dxa"/>
            <w:vAlign w:val="bottom"/>
          </w:tcPr>
          <w:p>
            <w:pPr>
              <w:jc w:val="center"/>
              <w:ind w:left="193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1380" w:type="dxa"/>
            <w:vAlign w:val="bottom"/>
          </w:tcPr>
          <w:p>
            <w:pPr>
              <w:spacing w:after="0"/>
              <w:rPr>
                <w:sz w:val="18"/>
                <w:szCs w:val="18"/>
                <w:color w:val="auto"/>
              </w:rPr>
            </w:pPr>
          </w:p>
        </w:tc>
      </w:tr>
    </w:tbl>
    <w:p>
      <w:pPr>
        <w:spacing w:after="0" w:line="3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81915</wp:posOffset>
            </wp:positionV>
            <wp:extent cx="162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1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351"/>
        </w:trPr>
        <w:tc>
          <w:tcPr>
            <w:tcW w:w="416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680" w:type="dxa"/>
            <w:vAlign w:val="bottom"/>
            <w:gridSpan w:val="2"/>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90"/>
        </w:trPr>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$0.01 PAR VALUE</w:t>
            </w:r>
          </w:p>
        </w:tc>
        <w:tc>
          <w:tcPr>
            <w:tcW w:w="18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PINE</w:t>
            </w:r>
          </w:p>
        </w:tc>
        <w:tc>
          <w:tcPr>
            <w:tcW w:w="200" w:type="dxa"/>
            <w:vAlign w:val="bottom"/>
          </w:tcPr>
          <w:p>
            <w:pPr>
              <w:spacing w:after="0"/>
              <w:rPr>
                <w:sz w:val="16"/>
                <w:szCs w:val="16"/>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NYSE</w:t>
            </w:r>
          </w:p>
        </w:tc>
      </w:tr>
    </w:tbl>
    <w:p>
      <w:pPr>
        <w:spacing w:after="0" w:line="214" w:lineRule="exact"/>
        <w:rPr>
          <w:sz w:val="24"/>
          <w:szCs w:val="24"/>
          <w:color w:val="auto"/>
        </w:rPr>
      </w:pPr>
    </w:p>
    <w:p>
      <w:pPr>
        <w:jc w:val="both"/>
        <w:ind w:left="20" w:firstLine="441"/>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left="20" w:firstLine="441"/>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left="20" w:firstLine="441"/>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Accelerated Filer</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1"/>
        </w:trPr>
        <w:tc>
          <w:tcPr>
            <w:tcW w:w="19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Emerging Growth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bl>
    <w:p>
      <w:pPr>
        <w:ind w:left="20" w:right="20" w:firstLine="441"/>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460" w:right="1260"/>
        <w:spacing w:after="0" w:line="24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the registrant’s common stock outstanding on April 17, 2025 was 14,266,722.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450215</wp:posOffset>
            </wp:positionV>
            <wp:extent cx="64979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38735</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73025</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1" w:right="8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0" w:type="dxa"/>
            <w:vAlign w:val="bottom"/>
            <w:gridSpan w:val="9"/>
          </w:tcPr>
          <w:p>
            <w:pPr>
              <w:ind w:left="1120"/>
              <w:spacing w:after="0"/>
              <w:rPr>
                <w:sz w:val="20"/>
                <w:szCs w:val="20"/>
                <w:color w:val="auto"/>
              </w:rPr>
            </w:pPr>
            <w:r>
              <w:rPr>
                <w:rFonts w:ascii="Times New Roman" w:cs="Times New Roman" w:eastAsia="Times New Roman" w:hAnsi="Times New Roman"/>
                <w:sz w:val="18"/>
                <w:szCs w:val="18"/>
                <w:color w:val="auto"/>
              </w:rPr>
              <w:t>INDEX</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8"/>
        </w:trPr>
        <w:tc>
          <w:tcPr>
            <w:tcW w:w="296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EE"/>
                <w:w w:val="97"/>
              </w:rPr>
              <w:t>PART I—FINANCIAL INFORMATION</w:t>
            </w:r>
          </w:p>
        </w:tc>
        <w:tc>
          <w:tcPr>
            <w:tcW w:w="5080" w:type="dxa"/>
            <w:vAlign w:val="bottom"/>
            <w:gridSpan w:val="10"/>
            <w:vMerge w:val="restart"/>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No.</w:t>
            </w:r>
          </w:p>
        </w:tc>
        <w:tc>
          <w:tcPr>
            <w:tcW w:w="0" w:type="dxa"/>
            <w:vAlign w:val="bottom"/>
          </w:tcPr>
          <w:p>
            <w:pPr>
              <w:spacing w:after="0"/>
              <w:rPr>
                <w:sz w:val="1"/>
                <w:szCs w:val="1"/>
                <w:color w:val="auto"/>
              </w:rPr>
            </w:pPr>
          </w:p>
        </w:tc>
      </w:tr>
      <w:tr>
        <w:trPr>
          <w:trHeight w:val="161"/>
        </w:trPr>
        <w:tc>
          <w:tcPr>
            <w:tcW w:w="2960" w:type="dxa"/>
            <w:vAlign w:val="bottom"/>
            <w:tcBorders>
              <w:bottom w:val="single" w:sz="8" w:color="0000EE"/>
            </w:tcBorders>
            <w:gridSpan w:val="13"/>
            <w:vMerge w:val="continue"/>
          </w:tcPr>
          <w:p>
            <w:pPr>
              <w:spacing w:after="0"/>
              <w:rPr>
                <w:sz w:val="13"/>
                <w:szCs w:val="13"/>
                <w:color w:val="auto"/>
              </w:rPr>
            </w:pPr>
          </w:p>
        </w:tc>
        <w:tc>
          <w:tcPr>
            <w:tcW w:w="5080" w:type="dxa"/>
            <w:vAlign w:val="bottom"/>
            <w:gridSpan w:val="10"/>
            <w:vMerge w:val="continue"/>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736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EE"/>
              </w:rPr>
              <w:t>Financial Statements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7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Consolidated Balance Sheets – March 31, 2025 (Unaudited) and December 31, 2024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2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 Three months ended March 31, 2025 and 2024 (Unaudited)</w:t>
            </w:r>
          </w:p>
        </w:tc>
        <w:tc>
          <w:tcPr>
            <w:tcW w:w="440" w:type="dxa"/>
            <w:vAlign w:val="bottom"/>
            <w:gridSpan w:val="2"/>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72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Consolidated Statements of Comprehensive Income – Three months ended March 31, 2025 and 2024</w:t>
            </w:r>
          </w:p>
        </w:tc>
        <w:tc>
          <w:tcPr>
            <w:tcW w:w="44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7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1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Consolidated Statements of Stockholders’ Equity – Three months ended March 31, 2025 and 2024</w:t>
            </w:r>
          </w:p>
        </w:tc>
        <w:tc>
          <w:tcPr>
            <w:tcW w:w="62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7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7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Consolidated Statements of Cash Flows – Three months ended March 31, 2025 and 2024 (Unaudited)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4060" w:type="dxa"/>
            <w:vAlign w:val="bottom"/>
            <w:tcBorders>
              <w:top w:val="single" w:sz="8" w:color="0000EE"/>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 (Unaudited)</w:t>
            </w:r>
          </w:p>
        </w:tc>
        <w:tc>
          <w:tcPr>
            <w:tcW w:w="3260" w:type="dxa"/>
            <w:vAlign w:val="bottom"/>
            <w:tcBorders>
              <w:top w:val="single" w:sz="8" w:color="0000EE"/>
            </w:tcBorders>
            <w:gridSpan w:val="7"/>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412"/>
        </w:trPr>
        <w:tc>
          <w:tcPr>
            <w:tcW w:w="80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12"/>
        </w:trPr>
        <w:tc>
          <w:tcPr>
            <w:tcW w:w="5100" w:type="dxa"/>
            <w:vAlign w:val="bottom"/>
            <w:tcBorders>
              <w:top w:val="single" w:sz="8" w:color="0000EE"/>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2080" w:type="dxa"/>
            <w:vAlign w:val="bottom"/>
            <w:tcBorders>
              <w:top w:val="single" w:sz="8" w:color="0000EE"/>
            </w:tcBorders>
            <w:gridSpan w:val="2"/>
          </w:tcPr>
          <w:p>
            <w:pPr>
              <w:spacing w:after="0"/>
              <w:rPr>
                <w:sz w:val="24"/>
                <w:szCs w:val="24"/>
                <w:color w:val="auto"/>
              </w:rPr>
            </w:pPr>
          </w:p>
        </w:tc>
        <w:tc>
          <w:tcPr>
            <w:tcW w:w="860" w:type="dxa"/>
            <w:vAlign w:val="bottom"/>
            <w:gridSpan w:val="4"/>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12"/>
        </w:trPr>
        <w:tc>
          <w:tcPr>
            <w:tcW w:w="25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5520" w:type="dxa"/>
            <w:vAlign w:val="bottom"/>
            <w:gridSpan w:val="12"/>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12"/>
        </w:trPr>
        <w:tc>
          <w:tcPr>
            <w:tcW w:w="80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PART II—OTHER INFORMATION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12"/>
        </w:trPr>
        <w:tc>
          <w:tcPr>
            <w:tcW w:w="6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1380" w:type="dxa"/>
            <w:vAlign w:val="bottom"/>
            <w:tcBorders>
              <w:top w:val="single" w:sz="8" w:color="0000EE"/>
              <w:bottom w:val="single" w:sz="8" w:color="0000EE"/>
            </w:tcBorders>
            <w:gridSpan w:val="6"/>
          </w:tcPr>
          <w:p>
            <w:pPr>
              <w:ind w:left="40"/>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580" w:type="dxa"/>
            <w:vAlign w:val="bottom"/>
            <w:tcBorders>
              <w:top w:val="single" w:sz="8" w:color="0000EE"/>
            </w:tcBorders>
            <w:gridSpan w:val="4"/>
          </w:tcPr>
          <w:p>
            <w:pPr>
              <w:spacing w:after="0"/>
              <w:rPr>
                <w:sz w:val="24"/>
                <w:szCs w:val="24"/>
                <w:color w:val="auto"/>
              </w:rPr>
            </w:pPr>
          </w:p>
        </w:tc>
        <w:tc>
          <w:tcPr>
            <w:tcW w:w="5400" w:type="dxa"/>
            <w:vAlign w:val="bottom"/>
            <w:gridSpan w:val="11"/>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12"/>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1A.</w:t>
            </w:r>
          </w:p>
        </w:tc>
        <w:tc>
          <w:tcPr>
            <w:tcW w:w="736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EE"/>
              </w:rPr>
              <w:t>Risk Factors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2960" w:type="dxa"/>
            <w:vAlign w:val="bottom"/>
            <w:gridSpan w:val="7"/>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412"/>
        </w:trPr>
        <w:tc>
          <w:tcPr>
            <w:tcW w:w="80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412"/>
        </w:trPr>
        <w:tc>
          <w:tcPr>
            <w:tcW w:w="250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540" w:type="dxa"/>
            <w:vAlign w:val="bottom"/>
            <w:tcBorders>
              <w:top w:val="single" w:sz="8" w:color="0000EE"/>
            </w:tcBorders>
            <w:gridSpan w:val="4"/>
          </w:tcPr>
          <w:p>
            <w:pPr>
              <w:spacing w:after="0"/>
              <w:rPr>
                <w:sz w:val="24"/>
                <w:szCs w:val="24"/>
                <w:color w:val="auto"/>
              </w:rPr>
            </w:pPr>
          </w:p>
        </w:tc>
        <w:tc>
          <w:tcPr>
            <w:tcW w:w="5000" w:type="dxa"/>
            <w:vAlign w:val="bottom"/>
            <w:gridSpan w:val="9"/>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412"/>
        </w:trPr>
        <w:tc>
          <w:tcPr>
            <w:tcW w:w="6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5.</w:t>
            </w:r>
          </w:p>
        </w:tc>
        <w:tc>
          <w:tcPr>
            <w:tcW w:w="1360" w:type="dxa"/>
            <w:vAlign w:val="bottom"/>
            <w:tcBorders>
              <w:bottom w:val="single" w:sz="8" w:color="0000EE"/>
            </w:tcBorders>
            <w:gridSpan w:val="5"/>
          </w:tcPr>
          <w:p>
            <w:pPr>
              <w:ind w:left="40"/>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6000" w:type="dxa"/>
            <w:vAlign w:val="bottom"/>
            <w:gridSpan w:val="16"/>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412"/>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6.</w:t>
            </w:r>
          </w:p>
        </w:tc>
        <w:tc>
          <w:tcPr>
            <w:tcW w:w="736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EE"/>
              </w:rPr>
              <w:t>Exhibits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412"/>
        </w:trPr>
        <w:tc>
          <w:tcPr>
            <w:tcW w:w="11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220" w:type="dxa"/>
            <w:vAlign w:val="bottom"/>
            <w:tcBorders>
              <w:top w:val="single" w:sz="8" w:color="0000EE"/>
            </w:tcBorders>
            <w:gridSpan w:val="2"/>
          </w:tcPr>
          <w:p>
            <w:pPr>
              <w:spacing w:after="0"/>
              <w:rPr>
                <w:sz w:val="24"/>
                <w:szCs w:val="24"/>
                <w:color w:val="auto"/>
              </w:rPr>
            </w:pPr>
          </w:p>
        </w:tc>
        <w:tc>
          <w:tcPr>
            <w:tcW w:w="6720" w:type="dxa"/>
            <w:vAlign w:val="bottom"/>
            <w:gridSpan w:val="18"/>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ITEM 1. FINANCIAL STATEMENTS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ALPINE INCOME PROPERTY TRUST,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200" w:type="dxa"/>
            <w:vAlign w:val="bottom"/>
          </w:tcPr>
          <w:p>
            <w:pPr>
              <w:spacing w:after="0"/>
              <w:rPr>
                <w:sz w:val="16"/>
                <w:szCs w:val="16"/>
                <w:color w:val="auto"/>
              </w:rPr>
            </w:pPr>
          </w:p>
        </w:tc>
        <w:tc>
          <w:tcPr>
            <w:tcW w:w="1440" w:type="dxa"/>
            <w:vAlign w:val="bottom"/>
            <w:gridSpan w:val="3"/>
          </w:tcPr>
          <w:p>
            <w:pPr>
              <w:jc w:val="right"/>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16"/>
                <w:szCs w:val="16"/>
                <w:color w:val="auto"/>
              </w:rPr>
            </w:pPr>
          </w:p>
        </w:tc>
        <w:tc>
          <w:tcPr>
            <w:tcW w:w="116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shd w:val="clear" w:color="auto" w:fill="CCEEFF"/>
          </w:tcPr>
          <w:p>
            <w:pPr>
              <w:ind w:left="27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Land, at Cost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Building and Improvements, at Cost</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358,657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Real Estate, at Cost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(48,055)</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Estate—Net</w:t>
            </w: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457,153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Held for Sale</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Loans and Investments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Lease Assets—Net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Straight-Line Rent Adjustment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647,397</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ind w:left="196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8,507</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Rent and Deferred Revenue</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Lease Liabilities—Net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Obligation Under Participation Agreement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Long-Term Debt—Net</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356,511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383,612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Contingencies—See Note 20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Preferred Stock, $0.01 par value per share, 100 million shares authorized, no shares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issued and outstanding as of March 31, 2025 and December 31, 2024</w:t>
            </w:r>
          </w:p>
        </w:tc>
        <w:tc>
          <w:tcPr>
            <w:tcW w:w="12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$0.01 par value per share, 500 million shares authorized,</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14,418,673 shares issued and outstanding as of March 31, 2025 and 14,691,982</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issued and outstanding as of December 31, 2024</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Dividends in Excess of Net Income</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(21,048)</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22,836</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263,785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647,397</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ALPINE INCOME PROPERTY TRUST,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thousands, except share and per share data)</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0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0"/>
        </w:trPr>
        <w:tc>
          <w:tcPr>
            <w:tcW w:w="5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 w:type="dxa"/>
            <w:vAlign w:val="bottom"/>
          </w:tcPr>
          <w:p>
            <w:pPr>
              <w:spacing w:after="0"/>
              <w:rPr>
                <w:sz w:val="18"/>
                <w:szCs w:val="18"/>
                <w:color w:val="auto"/>
              </w:rPr>
            </w:pPr>
          </w:p>
        </w:tc>
      </w:tr>
      <w:tr>
        <w:trPr>
          <w:trHeight w:val="209"/>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11,464</w:t>
            </w:r>
          </w:p>
        </w:tc>
        <w:tc>
          <w:tcPr>
            <w:tcW w:w="20" w:type="dxa"/>
            <w:vAlign w:val="bottom"/>
          </w:tcPr>
          <w:p>
            <w:pPr>
              <w:spacing w:after="0"/>
              <w:rPr>
                <w:sz w:val="18"/>
                <w:szCs w:val="18"/>
                <w:color w:val="auto"/>
              </w:rPr>
            </w:pPr>
          </w:p>
        </w:tc>
      </w:tr>
      <w:tr>
        <w:trPr>
          <w:trHeight w:val="216"/>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 from Commercial Loans and Investments</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0" w:type="dxa"/>
            <w:vAlign w:val="bottom"/>
          </w:tcPr>
          <w:p>
            <w:pPr>
              <w:spacing w:after="0"/>
              <w:rPr>
                <w:sz w:val="18"/>
                <w:szCs w:val="18"/>
                <w:color w:val="auto"/>
              </w:rPr>
            </w:pPr>
          </w:p>
        </w:tc>
      </w:tr>
      <w:tr>
        <w:trPr>
          <w:trHeight w:val="216"/>
        </w:trPr>
        <w:tc>
          <w:tcPr>
            <w:tcW w:w="5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Revenue</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8"/>
                <w:szCs w:val="18"/>
                <w:color w:val="auto"/>
              </w:rPr>
            </w:pPr>
          </w:p>
        </w:tc>
      </w:tr>
      <w:tr>
        <w:trPr>
          <w:trHeight w:val="209"/>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12,466</w:t>
            </w:r>
          </w:p>
        </w:tc>
        <w:tc>
          <w:tcPr>
            <w:tcW w:w="20" w:type="dxa"/>
            <w:vAlign w:val="bottom"/>
          </w:tcPr>
          <w:p>
            <w:pPr>
              <w:spacing w:after="0"/>
              <w:rPr>
                <w:sz w:val="18"/>
                <w:szCs w:val="18"/>
                <w:color w:val="auto"/>
              </w:rPr>
            </w:pPr>
          </w:p>
        </w:tc>
      </w:tr>
      <w:tr>
        <w:trPr>
          <w:trHeight w:val="20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 Estate Expenses</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20" w:type="dxa"/>
            <w:vAlign w:val="bottom"/>
          </w:tcPr>
          <w:p>
            <w:pPr>
              <w:spacing w:after="0"/>
              <w:rPr>
                <w:sz w:val="18"/>
                <w:szCs w:val="18"/>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20" w:type="dxa"/>
            <w:vAlign w:val="bottom"/>
          </w:tcPr>
          <w:p>
            <w:pPr>
              <w:spacing w:after="0"/>
              <w:rPr>
                <w:sz w:val="18"/>
                <w:szCs w:val="18"/>
                <w:color w:val="auto"/>
              </w:rPr>
            </w:pPr>
          </w:p>
        </w:tc>
      </w:tr>
      <w:tr>
        <w:trPr>
          <w:trHeight w:val="216"/>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Impairment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r>
      <w:tr>
        <w:trPr>
          <w:trHeight w:val="216"/>
        </w:trPr>
        <w:tc>
          <w:tcPr>
            <w:tcW w:w="5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20" w:type="dxa"/>
            <w:vAlign w:val="bottom"/>
          </w:tcPr>
          <w:p>
            <w:pPr>
              <w:spacing w:after="0"/>
              <w:rPr>
                <w:sz w:val="18"/>
                <w:szCs w:val="18"/>
                <w:color w:val="auto"/>
              </w:rPr>
            </w:pPr>
          </w:p>
        </w:tc>
      </w:tr>
      <w:tr>
        <w:trPr>
          <w:trHeight w:val="209"/>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w:t>
            </w:r>
          </w:p>
        </w:tc>
        <w:tc>
          <w:tcPr>
            <w:tcW w:w="20" w:type="dxa"/>
            <w:vAlign w:val="bottom"/>
          </w:tcPr>
          <w:p>
            <w:pPr>
              <w:spacing w:after="0"/>
              <w:rPr>
                <w:sz w:val="18"/>
                <w:szCs w:val="18"/>
                <w:color w:val="auto"/>
              </w:rPr>
            </w:pPr>
          </w:p>
        </w:tc>
      </w:tr>
      <w:tr>
        <w:trPr>
          <w:trHeight w:val="216"/>
        </w:trPr>
        <w:tc>
          <w:tcPr>
            <w:tcW w:w="5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Operations</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20" w:type="dxa"/>
            <w:vAlign w:val="bottom"/>
          </w:tcPr>
          <w:p>
            <w:pPr>
              <w:spacing w:after="0"/>
              <w:rPr>
                <w:sz w:val="18"/>
                <w:szCs w:val="18"/>
                <w:color w:val="auto"/>
              </w:rPr>
            </w:pP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and Other Income</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(3,592)</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20" w:type="dxa"/>
            <w:vAlign w:val="bottom"/>
          </w:tcPr>
          <w:p>
            <w:pPr>
              <w:spacing w:after="0"/>
              <w:rPr>
                <w:sz w:val="18"/>
                <w:szCs w:val="18"/>
                <w:color w:val="auto"/>
              </w:rPr>
            </w:pP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 w:type="dxa"/>
            <w:vAlign w:val="bottom"/>
          </w:tcPr>
          <w:p>
            <w:pPr>
              <w:spacing w:after="0"/>
              <w:rPr>
                <w:sz w:val="18"/>
                <w:szCs w:val="18"/>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r>
      <w:tr>
        <w:trPr>
          <w:trHeight w:val="250"/>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Alpine Income Property Trust, Inc.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 w:type="dxa"/>
            <w:vAlign w:val="bottom"/>
          </w:tcPr>
          <w:p>
            <w:pPr>
              <w:spacing w:after="0"/>
              <w:rPr>
                <w:sz w:val="21"/>
                <w:szCs w:val="21"/>
                <w:color w:val="auto"/>
              </w:rPr>
            </w:pPr>
          </w:p>
        </w:tc>
      </w:tr>
      <w:tr>
        <w:trPr>
          <w:trHeight w:val="196"/>
        </w:trPr>
        <w:tc>
          <w:tcPr>
            <w:tcW w:w="5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 Common Share Data:</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Alpine Income Property Trust, Inc.</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14,628,921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13,621,208</w:t>
            </w:r>
          </w:p>
        </w:tc>
        <w:tc>
          <w:tcPr>
            <w:tcW w:w="20" w:type="dxa"/>
            <w:vAlign w:val="bottom"/>
          </w:tcPr>
          <w:p>
            <w:pPr>
              <w:spacing w:after="0"/>
              <w:rPr>
                <w:sz w:val="18"/>
                <w:szCs w:val="18"/>
                <w:color w:val="auto"/>
              </w:rPr>
            </w:pPr>
          </w:p>
        </w:tc>
      </w:tr>
      <w:tr>
        <w:trPr>
          <w:trHeight w:val="234"/>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15,852,775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14,845,062</w:t>
            </w:r>
          </w:p>
        </w:tc>
        <w:tc>
          <w:tcPr>
            <w:tcW w:w="20" w:type="dxa"/>
            <w:vAlign w:val="bottom"/>
          </w:tcPr>
          <w:p>
            <w:pPr>
              <w:spacing w:after="0"/>
              <w:rPr>
                <w:sz w:val="20"/>
                <w:szCs w:val="20"/>
                <w:color w:val="auto"/>
              </w:rPr>
            </w:pPr>
          </w:p>
        </w:tc>
      </w:tr>
    </w:tbl>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1680" w:right="1700"/>
        <w:spacing w:after="0" w:line="266" w:lineRule="auto"/>
        <w:rPr>
          <w:sz w:val="20"/>
          <w:szCs w:val="20"/>
          <w:color w:val="auto"/>
        </w:rPr>
      </w:pPr>
      <w:r>
        <w:rPr>
          <w:rFonts w:ascii="Times New Roman" w:cs="Times New Roman" w:eastAsia="Times New Roman" w:hAnsi="Times New Roman"/>
          <w:sz w:val="18"/>
          <w:szCs w:val="18"/>
          <w:color w:val="auto"/>
        </w:rPr>
        <w:t>ALPINE INCOME PROPERTY TRUST, INC. CONSOLIDATED STATEMENTS OF COMPREHENSIVE INCOME (Unaudited,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6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10"/>
        </w:trPr>
        <w:tc>
          <w:tcPr>
            <w:tcW w:w="5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Flow Hedging Derivative - Interest Rate Swaps</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(2,393)</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24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Less: Comprehensive (Income) Loss Attributable to Noncontrolling</w:t>
            </w: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4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Attributable to</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(194)</w:t>
            </w:r>
          </w:p>
        </w:tc>
        <w:tc>
          <w:tcPr>
            <w:tcW w:w="0" w:type="dxa"/>
            <w:vAlign w:val="bottom"/>
          </w:tcPr>
          <w:p>
            <w:pPr>
              <w:spacing w:after="0"/>
              <w:rPr>
                <w:sz w:val="1"/>
                <w:szCs w:val="1"/>
                <w:color w:val="auto"/>
              </w:rPr>
            </w:pPr>
          </w:p>
        </w:tc>
      </w:tr>
      <w:tr>
        <w:trPr>
          <w:trHeight w:val="196"/>
        </w:trPr>
        <w:tc>
          <w:tcPr>
            <w:tcW w:w="524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Comprehensive (Income) Loss Attributable to Noncontrolling Interest</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524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Comprehensive Income (Loss) Attributable to Alpine Income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(3,387)</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Trust, Inc.</w:t>
            </w:r>
          </w:p>
        </w:tc>
        <w:tc>
          <w:tcPr>
            <w:tcW w:w="16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5" w:lineRule="auto"/>
        <w:rPr>
          <w:sz w:val="20"/>
          <w:szCs w:val="20"/>
          <w:color w:val="auto"/>
        </w:rPr>
      </w:pPr>
      <w:r>
        <w:rPr>
          <w:rFonts w:ascii="Times New Roman" w:cs="Times New Roman" w:eastAsia="Times New Roman" w:hAnsi="Times New Roman"/>
          <w:sz w:val="17"/>
          <w:szCs w:val="17"/>
          <w:color w:val="auto"/>
        </w:rPr>
        <w:t>ALPINE INCOME PROPERTY TRUST, INC. CONSOLIDATED STATEMENTS OF STOCKHOLDERS’ EQUITY (Unaudited, in thousands, except per share data)</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three months ended March 31, 2025:</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b w:val="1"/>
                <w:bCs w:val="1"/>
                <w:color w:val="auto"/>
              </w:rPr>
              <w:t>Dividends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w w:val="98"/>
              </w:rPr>
              <w:t>Common</w:t>
            </w:r>
          </w:p>
        </w:tc>
        <w:tc>
          <w:tcPr>
            <w:tcW w:w="920" w:type="dxa"/>
            <w:vAlign w:val="bottom"/>
            <w:gridSpan w:val="3"/>
          </w:tcPr>
          <w:p>
            <w:pPr>
              <w:ind w:left="140"/>
              <w:spacing w:after="0"/>
              <w:rPr>
                <w:sz w:val="20"/>
                <w:szCs w:val="20"/>
                <w:color w:val="auto"/>
              </w:rPr>
            </w:pPr>
            <w:r>
              <w:rPr>
                <w:rFonts w:ascii="Times New Roman" w:cs="Times New Roman" w:eastAsia="Times New Roman" w:hAnsi="Times New Roman"/>
                <w:sz w:val="17"/>
                <w:szCs w:val="17"/>
                <w:b w:val="1"/>
                <w:bCs w:val="1"/>
                <w:color w:val="auto"/>
                <w:w w:val="98"/>
              </w:rPr>
              <w:t>Additional</w:t>
            </w:r>
          </w:p>
        </w:tc>
        <w:tc>
          <w:tcPr>
            <w:tcW w:w="14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in Excess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Stock at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4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of Net</w:t>
            </w:r>
          </w:p>
        </w:tc>
        <w:tc>
          <w:tcPr>
            <w:tcW w:w="1280" w:type="dxa"/>
            <w:vAlign w:val="bottom"/>
            <w:gridSpan w:val="3"/>
          </w:tcPr>
          <w:p>
            <w:pPr>
              <w:jc w:val="center"/>
              <w:ind w:left="55"/>
              <w:spacing w:after="0"/>
              <w:rPr>
                <w:sz w:val="20"/>
                <w:szCs w:val="20"/>
                <w:color w:val="auto"/>
              </w:rPr>
            </w:pPr>
            <w:r>
              <w:rPr>
                <w:rFonts w:ascii="Times New Roman" w:cs="Times New Roman" w:eastAsia="Times New Roman" w:hAnsi="Times New Roman"/>
                <w:sz w:val="17"/>
                <w:szCs w:val="17"/>
                <w:b w:val="1"/>
                <w:bCs w:val="1"/>
                <w:color w:val="auto"/>
              </w:rPr>
              <w:t>Comprehensive</w:t>
            </w:r>
          </w:p>
        </w:tc>
        <w:tc>
          <w:tcPr>
            <w:tcW w:w="1140" w:type="dxa"/>
            <w:vAlign w:val="bottom"/>
            <w:gridSpan w:val="3"/>
          </w:tcPr>
          <w:p>
            <w:pPr>
              <w:ind w:left="140"/>
              <w:spacing w:after="0"/>
              <w:rPr>
                <w:sz w:val="20"/>
                <w:szCs w:val="20"/>
                <w:color w:val="auto"/>
              </w:rPr>
            </w:pPr>
            <w:r>
              <w:rPr>
                <w:rFonts w:ascii="Times New Roman" w:cs="Times New Roman" w:eastAsia="Times New Roman" w:hAnsi="Times New Roman"/>
                <w:sz w:val="17"/>
                <w:szCs w:val="17"/>
                <w:b w:val="1"/>
                <w:bCs w:val="1"/>
                <w:color w:val="auto"/>
                <w:w w:val="98"/>
              </w:rPr>
              <w:t>Stockholders'</w:t>
            </w:r>
          </w:p>
        </w:tc>
        <w:tc>
          <w:tcPr>
            <w:tcW w:w="140" w:type="dxa"/>
            <w:vAlign w:val="bottom"/>
          </w:tcPr>
          <w:p>
            <w:pPr>
              <w:spacing w:after="0"/>
              <w:rPr>
                <w:sz w:val="17"/>
                <w:szCs w:val="17"/>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Noncontrolling</w:t>
            </w:r>
          </w:p>
        </w:tc>
        <w:tc>
          <w:tcPr>
            <w:tcW w:w="78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6"/>
        </w:trPr>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Par</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4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Interest</w:t>
            </w:r>
          </w:p>
        </w:tc>
        <w:tc>
          <w:tcPr>
            <w:tcW w:w="78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163"/>
        </w:trPr>
        <w:tc>
          <w:tcPr>
            <w:tcW w:w="1740" w:type="dxa"/>
            <w:vAlign w:val="bottom"/>
            <w:tcBorders>
              <w:top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Balance January 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261,831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(15,722)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6,771</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253,027</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23,468</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$ 276,495</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(1,179)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(1,278)</w:t>
            </w: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Repurchases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(4,479)</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(4,482)</w:t>
            </w:r>
          </w:p>
        </w:tc>
        <w:tc>
          <w:tcPr>
            <w:tcW w:w="0" w:type="dxa"/>
            <w:vAlign w:val="bottom"/>
          </w:tcPr>
          <w:p>
            <w:pPr>
              <w:spacing w:after="0"/>
              <w:rPr>
                <w:sz w:val="1"/>
                <w:szCs w:val="1"/>
                <w:color w:val="auto"/>
              </w:rPr>
            </w:pPr>
          </w:p>
        </w:tc>
      </w:tr>
      <w:tr>
        <w:trPr>
          <w:trHeight w:val="181"/>
        </w:trPr>
        <w:tc>
          <w:tcPr>
            <w:tcW w:w="17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Stock Issuance to</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Directors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183"/>
        </w:trPr>
        <w:tc>
          <w:tcPr>
            <w:tcW w:w="17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Payment of Equity</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Costs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181"/>
        </w:trPr>
        <w:tc>
          <w:tcPr>
            <w:tcW w:w="17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Cash Dividends ($0.285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per share)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(4,495)</w:t>
            </w:r>
          </w:p>
        </w:tc>
        <w:tc>
          <w:tcPr>
            <w:tcW w:w="0" w:type="dxa"/>
            <w:vAlign w:val="bottom"/>
          </w:tcPr>
          <w:p>
            <w:pPr>
              <w:spacing w:after="0"/>
              <w:rPr>
                <w:sz w:val="1"/>
                <w:szCs w:val="1"/>
                <w:color w:val="auto"/>
              </w:rPr>
            </w:pPr>
          </w:p>
        </w:tc>
      </w:tr>
      <w:tr>
        <w:trPr>
          <w:trHeight w:val="183"/>
        </w:trPr>
        <w:tc>
          <w:tcPr>
            <w:tcW w:w="17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Other Comprehensive</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(2,208)</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(2,208)</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(2,393)</w:t>
            </w:r>
          </w:p>
        </w:tc>
        <w:tc>
          <w:tcPr>
            <w:tcW w:w="0" w:type="dxa"/>
            <w:vAlign w:val="bottom"/>
          </w:tcPr>
          <w:p>
            <w:pPr>
              <w:spacing w:after="0"/>
              <w:rPr>
                <w:sz w:val="1"/>
                <w:szCs w:val="1"/>
                <w:color w:val="auto"/>
              </w:rPr>
            </w:pPr>
          </w:p>
        </w:tc>
      </w:tr>
      <w:tr>
        <w:trPr>
          <w:trHeight w:val="161"/>
        </w:trPr>
        <w:tc>
          <w:tcPr>
            <w:tcW w:w="1740" w:type="dxa"/>
            <w:vAlign w:val="bottom"/>
          </w:tcPr>
          <w:p>
            <w:pPr>
              <w:spacing w:after="0" w:line="161" w:lineRule="exact"/>
              <w:rPr>
                <w:sz w:val="20"/>
                <w:szCs w:val="20"/>
                <w:color w:val="auto"/>
              </w:rPr>
            </w:pPr>
            <w:r>
              <w:rPr>
                <w:rFonts w:ascii="Times New Roman" w:cs="Times New Roman" w:eastAsia="Times New Roman" w:hAnsi="Times New Roman"/>
                <w:sz w:val="17"/>
                <w:szCs w:val="17"/>
                <w:color w:val="auto"/>
              </w:rPr>
              <w:t>Balance March 31,</w:t>
            </w:r>
          </w:p>
        </w:tc>
        <w:tc>
          <w:tcPr>
            <w:tcW w:w="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257,290</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 (21,048)</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4,563</w:t>
            </w:r>
          </w:p>
        </w:tc>
        <w:tc>
          <w:tcPr>
            <w:tcW w:w="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240,949</w:t>
            </w:r>
          </w:p>
        </w:tc>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22,836</w:t>
            </w: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$ 263,785</w:t>
            </w:r>
          </w:p>
        </w:tc>
        <w:tc>
          <w:tcPr>
            <w:tcW w:w="0" w:type="dxa"/>
            <w:vAlign w:val="bottom"/>
          </w:tcPr>
          <w:p>
            <w:pPr>
              <w:spacing w:after="0"/>
              <w:rPr>
                <w:sz w:val="1"/>
                <w:szCs w:val="1"/>
                <w:color w:val="auto"/>
              </w:rPr>
            </w:pPr>
          </w:p>
        </w:tc>
      </w:tr>
      <w:tr>
        <w:trPr>
          <w:trHeight w:val="211"/>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24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three months ended March 31, 2024:</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gridSpan w:val="3"/>
          </w:tcPr>
          <w:p>
            <w:pPr>
              <w:jc w:val="center"/>
              <w:ind w:left="35"/>
              <w:spacing w:after="0"/>
              <w:rPr>
                <w:sz w:val="20"/>
                <w:szCs w:val="20"/>
                <w:color w:val="auto"/>
              </w:rPr>
            </w:pPr>
            <w:r>
              <w:rPr>
                <w:rFonts w:ascii="Times New Roman" w:cs="Times New Roman" w:eastAsia="Times New Roman" w:hAnsi="Times New Roman"/>
                <w:sz w:val="17"/>
                <w:szCs w:val="17"/>
                <w:b w:val="1"/>
                <w:bCs w:val="1"/>
                <w:color w:val="auto"/>
              </w:rPr>
              <w:t>Dividends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14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2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in Excess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6"/>
              </w:rPr>
              <w:t>Other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Stock at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of Net</w:t>
            </w:r>
          </w:p>
        </w:tc>
        <w:tc>
          <w:tcPr>
            <w:tcW w:w="1300" w:type="dxa"/>
            <w:vAlign w:val="bottom"/>
            <w:gridSpan w:val="3"/>
          </w:tcPr>
          <w:p>
            <w:pPr>
              <w:jc w:val="center"/>
              <w:ind w:left="35"/>
              <w:spacing w:after="0"/>
              <w:rPr>
                <w:sz w:val="20"/>
                <w:szCs w:val="20"/>
                <w:color w:val="auto"/>
              </w:rPr>
            </w:pPr>
            <w:r>
              <w:rPr>
                <w:rFonts w:ascii="Times New Roman" w:cs="Times New Roman" w:eastAsia="Times New Roman" w:hAnsi="Times New Roman"/>
                <w:sz w:val="17"/>
                <w:szCs w:val="17"/>
                <w:b w:val="1"/>
                <w:bCs w:val="1"/>
                <w:color w:val="auto"/>
              </w:rPr>
              <w:t>Comprehensive</w:t>
            </w:r>
          </w:p>
        </w:tc>
        <w:tc>
          <w:tcPr>
            <w:tcW w:w="1120" w:type="dxa"/>
            <w:vAlign w:val="bottom"/>
            <w:gridSpan w:val="3"/>
          </w:tcPr>
          <w:p>
            <w:pPr>
              <w:ind w:left="120"/>
              <w:spacing w:after="0"/>
              <w:rPr>
                <w:sz w:val="20"/>
                <w:szCs w:val="20"/>
                <w:color w:val="auto"/>
              </w:rPr>
            </w:pPr>
            <w:r>
              <w:rPr>
                <w:rFonts w:ascii="Times New Roman" w:cs="Times New Roman" w:eastAsia="Times New Roman" w:hAnsi="Times New Roman"/>
                <w:sz w:val="17"/>
                <w:szCs w:val="17"/>
                <w:b w:val="1"/>
                <w:bCs w:val="1"/>
                <w:color w:val="auto"/>
                <w:w w:val="98"/>
              </w:rPr>
              <w:t>Stockholders'</w:t>
            </w:r>
          </w:p>
        </w:tc>
        <w:tc>
          <w:tcPr>
            <w:tcW w:w="140" w:type="dxa"/>
            <w:vAlign w:val="bottom"/>
          </w:tcPr>
          <w:p>
            <w:pPr>
              <w:spacing w:after="0"/>
              <w:rPr>
                <w:sz w:val="17"/>
                <w:szCs w:val="17"/>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Noncontrolling</w:t>
            </w:r>
          </w:p>
        </w:tc>
        <w:tc>
          <w:tcPr>
            <w:tcW w:w="20" w:type="dxa"/>
            <w:vAlign w:val="bottom"/>
          </w:tcPr>
          <w:p>
            <w:pPr>
              <w:spacing w:after="0"/>
              <w:rPr>
                <w:sz w:val="17"/>
                <w:szCs w:val="17"/>
                <w:color w:val="auto"/>
              </w:rPr>
            </w:pPr>
          </w:p>
        </w:tc>
        <w:tc>
          <w:tcPr>
            <w:tcW w:w="7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6"/>
        </w:trPr>
        <w:tc>
          <w:tcPr>
            <w:tcW w:w="1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Par</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Interest</w:t>
            </w:r>
          </w:p>
        </w:tc>
        <w:tc>
          <w:tcPr>
            <w:tcW w:w="20" w:type="dxa"/>
            <w:vAlign w:val="bottom"/>
          </w:tcPr>
          <w:p>
            <w:pPr>
              <w:spacing w:after="0"/>
              <w:rPr>
                <w:sz w:val="19"/>
                <w:szCs w:val="19"/>
                <w:color w:val="auto"/>
              </w:rPr>
            </w:pPr>
          </w:p>
        </w:tc>
        <w:tc>
          <w:tcPr>
            <w:tcW w:w="78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163"/>
        </w:trPr>
        <w:tc>
          <w:tcPr>
            <w:tcW w:w="1640" w:type="dxa"/>
            <w:vAlign w:val="bottom"/>
            <w:tcBorders>
              <w:top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Balance January 1,</w:t>
            </w: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243,690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9,275</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250,743</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24,870</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$ 275,613</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0" w:type="dxa"/>
            <w:vAlign w:val="bottom"/>
          </w:tcPr>
          <w:p>
            <w:pPr>
              <w:spacing w:after="0"/>
              <w:rPr>
                <w:sz w:val="1"/>
                <w:szCs w:val="1"/>
                <w:color w:val="auto"/>
              </w:rPr>
            </w:pPr>
          </w:p>
        </w:tc>
      </w:tr>
      <w:tr>
        <w:trPr>
          <w:trHeight w:val="202"/>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Repurchases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w:t>
            </w:r>
          </w:p>
        </w:tc>
        <w:tc>
          <w:tcPr>
            <w:tcW w:w="0" w:type="dxa"/>
            <w:vAlign w:val="bottom"/>
          </w:tcPr>
          <w:p>
            <w:pPr>
              <w:spacing w:after="0"/>
              <w:rPr>
                <w:sz w:val="1"/>
                <w:szCs w:val="1"/>
                <w:color w:val="auto"/>
              </w:rPr>
            </w:pPr>
          </w:p>
        </w:tc>
      </w:tr>
      <w:tr>
        <w:trPr>
          <w:trHeight w:val="181"/>
        </w:trPr>
        <w:tc>
          <w:tcPr>
            <w:tcW w:w="16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Stock Issuance to</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640" w:type="dxa"/>
            <w:vAlign w:val="bottom"/>
          </w:tcPr>
          <w:p>
            <w:pPr>
              <w:spacing w:after="0"/>
              <w:rPr>
                <w:sz w:val="20"/>
                <w:szCs w:val="20"/>
                <w:color w:val="auto"/>
              </w:rPr>
            </w:pPr>
            <w:r>
              <w:rPr>
                <w:rFonts w:ascii="Times New Roman" w:cs="Times New Roman" w:eastAsia="Times New Roman" w:hAnsi="Times New Roman"/>
                <w:sz w:val="17"/>
                <w:szCs w:val="17"/>
                <w:color w:val="auto"/>
              </w:rPr>
              <w:t>Directors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183"/>
        </w:trPr>
        <w:tc>
          <w:tcPr>
            <w:tcW w:w="16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Payment of Equity</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Costs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181"/>
        </w:trPr>
        <w:tc>
          <w:tcPr>
            <w:tcW w:w="16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Cash Dividends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640" w:type="dxa"/>
            <w:vAlign w:val="bottom"/>
          </w:tcPr>
          <w:p>
            <w:pPr>
              <w:spacing w:after="0"/>
              <w:rPr>
                <w:sz w:val="20"/>
                <w:szCs w:val="20"/>
                <w:color w:val="auto"/>
              </w:rPr>
            </w:pPr>
            <w:r>
              <w:rPr>
                <w:rFonts w:ascii="Times New Roman" w:cs="Times New Roman" w:eastAsia="Times New Roman" w:hAnsi="Times New Roman"/>
                <w:sz w:val="17"/>
                <w:szCs w:val="17"/>
                <w:color w:val="auto"/>
              </w:rPr>
              <w:t>($0.275 per share)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(4,082)</w:t>
            </w:r>
          </w:p>
        </w:tc>
        <w:tc>
          <w:tcPr>
            <w:tcW w:w="0" w:type="dxa"/>
            <w:vAlign w:val="bottom"/>
          </w:tcPr>
          <w:p>
            <w:pPr>
              <w:spacing w:after="0"/>
              <w:rPr>
                <w:sz w:val="1"/>
                <w:szCs w:val="1"/>
                <w:color w:val="auto"/>
              </w:rPr>
            </w:pPr>
          </w:p>
        </w:tc>
      </w:tr>
      <w:tr>
        <w:trPr>
          <w:trHeight w:val="183"/>
        </w:trPr>
        <w:tc>
          <w:tcPr>
            <w:tcW w:w="16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Other Comprehensive</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2,161</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2,355</w:t>
            </w:r>
          </w:p>
        </w:tc>
        <w:tc>
          <w:tcPr>
            <w:tcW w:w="0" w:type="dxa"/>
            <w:vAlign w:val="bottom"/>
          </w:tcPr>
          <w:p>
            <w:pPr>
              <w:spacing w:after="0"/>
              <w:rPr>
                <w:sz w:val="1"/>
                <w:szCs w:val="1"/>
                <w:color w:val="auto"/>
              </w:rPr>
            </w:pPr>
          </w:p>
        </w:tc>
      </w:tr>
      <w:tr>
        <w:trPr>
          <w:trHeight w:val="161"/>
        </w:trPr>
        <w:tc>
          <w:tcPr>
            <w:tcW w:w="1640" w:type="dxa"/>
            <w:vAlign w:val="bottom"/>
          </w:tcPr>
          <w:p>
            <w:pPr>
              <w:spacing w:after="0" w:line="161" w:lineRule="exact"/>
              <w:rPr>
                <w:sz w:val="20"/>
                <w:szCs w:val="20"/>
                <w:color w:val="auto"/>
              </w:rPr>
            </w:pPr>
            <w:r>
              <w:rPr>
                <w:rFonts w:ascii="Times New Roman" w:cs="Times New Roman" w:eastAsia="Times New Roman" w:hAnsi="Times New Roman"/>
                <w:sz w:val="17"/>
                <w:szCs w:val="17"/>
                <w:color w:val="auto"/>
              </w:rPr>
              <w:t>Balance March 31,</w:t>
            </w:r>
          </w:p>
        </w:tc>
        <w:tc>
          <w:tcPr>
            <w:tcW w:w="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242,944</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(6,364)</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11,436</w:t>
            </w:r>
          </w:p>
        </w:tc>
        <w:tc>
          <w:tcPr>
            <w:tcW w:w="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248,152</w:t>
            </w:r>
          </w:p>
        </w:tc>
        <w:tc>
          <w:tcPr>
            <w:tcW w:w="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24,704</w:t>
            </w:r>
          </w:p>
        </w:tc>
        <w:tc>
          <w:tcPr>
            <w:tcW w:w="120" w:type="dxa"/>
            <w:vAlign w:val="bottom"/>
          </w:tcPr>
          <w:p>
            <w:pPr>
              <w:spacing w:after="0"/>
              <w:rPr>
                <w:sz w:val="13"/>
                <w:szCs w:val="13"/>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$ 272,856</w:t>
            </w:r>
          </w:p>
        </w:tc>
        <w:tc>
          <w:tcPr>
            <w:tcW w:w="0" w:type="dxa"/>
            <w:vAlign w:val="bottom"/>
          </w:tcPr>
          <w:p>
            <w:pPr>
              <w:spacing w:after="0"/>
              <w:rPr>
                <w:sz w:val="1"/>
                <w:szCs w:val="1"/>
                <w:color w:val="auto"/>
              </w:rPr>
            </w:pPr>
          </w:p>
        </w:tc>
      </w:tr>
      <w:tr>
        <w:trPr>
          <w:trHeight w:val="211"/>
        </w:trPr>
        <w:tc>
          <w:tcPr>
            <w:tcW w:w="164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30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ALPINE INCOME PROPERTY TRUST,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1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11" w:lineRule="exact"/>
        <w:rPr>
          <w:sz w:val="20"/>
          <w:szCs w:val="20"/>
          <w:color w:val="auto"/>
        </w:rPr>
      </w:pPr>
    </w:p>
    <w:tbl>
      <w:tblPr>
        <w:tblLayout w:type="fixed"/>
        <w:tblInd w:w="50" w:type="dxa"/>
        <w:tblCellMar>
          <w:top w:w="0" w:type="dxa"/>
          <w:left w:w="0" w:type="dxa"/>
          <w:bottom w:w="0" w:type="dxa"/>
          <w:right w:w="0" w:type="dxa"/>
        </w:tblCellMar>
      </w:tblPr>
      <w:tr>
        <w:trPr>
          <w:trHeight w:val="142"/>
        </w:trPr>
        <w:tc>
          <w:tcPr>
            <w:tcW w:w="3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20" w:type="dxa"/>
            <w:vAlign w:val="bottom"/>
          </w:tcPr>
          <w:p>
            <w:pPr>
              <w:spacing w:after="0"/>
              <w:rPr>
                <w:sz w:val="12"/>
                <w:szCs w:val="12"/>
                <w:color w:val="auto"/>
              </w:rPr>
            </w:pPr>
          </w:p>
        </w:tc>
      </w:tr>
      <w:tr>
        <w:trPr>
          <w:trHeight w:val="142"/>
        </w:trPr>
        <w:tc>
          <w:tcPr>
            <w:tcW w:w="5620" w:type="dxa"/>
            <w:vAlign w:val="bottom"/>
            <w:tcBorders>
              <w:top w:val="single" w:sz="8" w:color="CCEEFF"/>
              <w:left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Operating Activities:</w:t>
            </w:r>
          </w:p>
        </w:tc>
        <w:tc>
          <w:tcPr>
            <w:tcW w:w="18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6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(1,278)</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(283)</w:t>
            </w:r>
          </w:p>
        </w:tc>
        <w:tc>
          <w:tcPr>
            <w:tcW w:w="20" w:type="dxa"/>
            <w:vAlign w:val="bottom"/>
          </w:tcPr>
          <w:p>
            <w:pPr>
              <w:spacing w:after="0"/>
              <w:rPr>
                <w:sz w:val="12"/>
                <w:szCs w:val="12"/>
                <w:color w:val="auto"/>
              </w:rPr>
            </w:pPr>
          </w:p>
        </w:tc>
      </w:tr>
      <w:tr>
        <w:trPr>
          <w:trHeight w:val="148"/>
        </w:trPr>
        <w:tc>
          <w:tcPr>
            <w:tcW w:w="562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6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7,307</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6,382</w:t>
            </w:r>
          </w:p>
        </w:tc>
        <w:tc>
          <w:tcPr>
            <w:tcW w:w="20" w:type="dxa"/>
            <w:vAlign w:val="bottom"/>
          </w:tcPr>
          <w:p>
            <w:pPr>
              <w:spacing w:after="0"/>
              <w:rPr>
                <w:sz w:val="12"/>
                <w:szCs w:val="12"/>
                <w:color w:val="auto"/>
              </w:rPr>
            </w:pPr>
          </w:p>
        </w:tc>
      </w:tr>
      <w:tr>
        <w:trPr>
          <w:trHeight w:val="149"/>
        </w:trPr>
        <w:tc>
          <w:tcPr>
            <w:tcW w:w="56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Amortization of Intangible Lease Assets and Liabilities to Lease Income</w:t>
            </w: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20" w:type="dxa"/>
            <w:vAlign w:val="bottom"/>
          </w:tcPr>
          <w:p>
            <w:pPr>
              <w:spacing w:after="0"/>
              <w:rPr>
                <w:sz w:val="12"/>
                <w:szCs w:val="12"/>
                <w:color w:val="auto"/>
              </w:rPr>
            </w:pPr>
          </w:p>
        </w:tc>
      </w:tr>
      <w:tr>
        <w:trPr>
          <w:trHeight w:val="148"/>
        </w:trPr>
        <w:tc>
          <w:tcPr>
            <w:tcW w:w="56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Costs to Interest Expense</w:t>
            </w:r>
          </w:p>
        </w:tc>
        <w:tc>
          <w:tcPr>
            <w:tcW w:w="1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20" w:type="dxa"/>
            <w:vAlign w:val="bottom"/>
          </w:tcPr>
          <w:p>
            <w:pPr>
              <w:spacing w:after="0"/>
              <w:rPr>
                <w:sz w:val="12"/>
                <w:szCs w:val="12"/>
                <w:color w:val="auto"/>
              </w:rPr>
            </w:pPr>
          </w:p>
        </w:tc>
      </w:tr>
      <w:tr>
        <w:trPr>
          <w:trHeight w:val="148"/>
        </w:trPr>
        <w:tc>
          <w:tcPr>
            <w:tcW w:w="56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Accretion of Commercial Loans and Investments Origination Fees</w:t>
            </w: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20" w:type="dxa"/>
            <w:vAlign w:val="bottom"/>
          </w:tcPr>
          <w:p>
            <w:pPr>
              <w:spacing w:after="0"/>
              <w:rPr>
                <w:sz w:val="12"/>
                <w:szCs w:val="12"/>
                <w:color w:val="auto"/>
              </w:rPr>
            </w:pPr>
          </w:p>
        </w:tc>
      </w:tr>
      <w:tr>
        <w:trPr>
          <w:trHeight w:val="148"/>
        </w:trPr>
        <w:tc>
          <w:tcPr>
            <w:tcW w:w="56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Gain on Disposition of Assets</w:t>
            </w:r>
          </w:p>
        </w:tc>
        <w:tc>
          <w:tcPr>
            <w:tcW w:w="18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(1,151)</w:t>
            </w:r>
          </w:p>
        </w:tc>
        <w:tc>
          <w:tcPr>
            <w:tcW w:w="1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8"/>
        </w:trPr>
        <w:tc>
          <w:tcPr>
            <w:tcW w:w="56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Provision for Impairment</w:t>
            </w: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2,031</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20" w:type="dxa"/>
            <w:vAlign w:val="bottom"/>
          </w:tcPr>
          <w:p>
            <w:pPr>
              <w:spacing w:after="0"/>
              <w:rPr>
                <w:sz w:val="12"/>
                <w:szCs w:val="12"/>
                <w:color w:val="auto"/>
              </w:rPr>
            </w:pPr>
          </w:p>
        </w:tc>
      </w:tr>
      <w:tr>
        <w:trPr>
          <w:trHeight w:val="148"/>
        </w:trPr>
        <w:tc>
          <w:tcPr>
            <w:tcW w:w="56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Non-Cash Compensation</w:t>
            </w:r>
          </w:p>
        </w:tc>
        <w:tc>
          <w:tcPr>
            <w:tcW w:w="1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20" w:type="dxa"/>
            <w:vAlign w:val="bottom"/>
          </w:tcPr>
          <w:p>
            <w:pPr>
              <w:spacing w:after="0"/>
              <w:rPr>
                <w:sz w:val="12"/>
                <w:szCs w:val="12"/>
                <w:color w:val="auto"/>
              </w:rPr>
            </w:pPr>
          </w:p>
        </w:tc>
      </w:tr>
      <w:tr>
        <w:trPr>
          <w:trHeight w:val="149"/>
        </w:trPr>
        <w:tc>
          <w:tcPr>
            <w:tcW w:w="56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Decrease (Increase) in Assets:</w:t>
            </w: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6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Straight-Line Rent Adjustment</w:t>
            </w:r>
          </w:p>
        </w:tc>
        <w:tc>
          <w:tcPr>
            <w:tcW w:w="18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1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20" w:type="dxa"/>
            <w:vAlign w:val="bottom"/>
          </w:tcPr>
          <w:p>
            <w:pPr>
              <w:spacing w:after="0"/>
              <w:rPr>
                <w:sz w:val="12"/>
                <w:szCs w:val="12"/>
                <w:color w:val="auto"/>
              </w:rPr>
            </w:pPr>
          </w:p>
        </w:tc>
      </w:tr>
      <w:tr>
        <w:trPr>
          <w:trHeight w:val="148"/>
        </w:trPr>
        <w:tc>
          <w:tcPr>
            <w:tcW w:w="56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(331)</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(416)</w:t>
            </w:r>
          </w:p>
        </w:tc>
        <w:tc>
          <w:tcPr>
            <w:tcW w:w="20" w:type="dxa"/>
            <w:vAlign w:val="bottom"/>
          </w:tcPr>
          <w:p>
            <w:pPr>
              <w:spacing w:after="0"/>
              <w:rPr>
                <w:sz w:val="12"/>
                <w:szCs w:val="12"/>
                <w:color w:val="auto"/>
              </w:rPr>
            </w:pPr>
          </w:p>
        </w:tc>
      </w:tr>
      <w:tr>
        <w:trPr>
          <w:trHeight w:val="148"/>
        </w:trPr>
        <w:tc>
          <w:tcPr>
            <w:tcW w:w="56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Increase (Decrease) in Liabilities:</w:t>
            </w: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6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20" w:type="dxa"/>
            <w:vAlign w:val="bottom"/>
          </w:tcPr>
          <w:p>
            <w:pPr>
              <w:spacing w:after="0"/>
              <w:rPr>
                <w:sz w:val="12"/>
                <w:szCs w:val="12"/>
                <w:color w:val="auto"/>
              </w:rPr>
            </w:pPr>
          </w:p>
        </w:tc>
      </w:tr>
      <w:tr>
        <w:trPr>
          <w:trHeight w:val="149"/>
        </w:trPr>
        <w:tc>
          <w:tcPr>
            <w:tcW w:w="5620" w:type="dxa"/>
            <w:vAlign w:val="bottom"/>
            <w:tcBorders>
              <w:bottom w:val="single" w:sz="8" w:color="CCEEFF"/>
            </w:tcBorders>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Prepaid Rent and Deferred Revenue</w:t>
            </w: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1,272</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485</w:t>
            </w:r>
          </w:p>
        </w:tc>
        <w:tc>
          <w:tcPr>
            <w:tcW w:w="20" w:type="dxa"/>
            <w:vAlign w:val="bottom"/>
          </w:tcPr>
          <w:p>
            <w:pPr>
              <w:spacing w:after="0"/>
              <w:rPr>
                <w:sz w:val="12"/>
                <w:szCs w:val="12"/>
                <w:color w:val="auto"/>
              </w:rPr>
            </w:pPr>
          </w:p>
        </w:tc>
      </w:tr>
      <w:tr>
        <w:trPr>
          <w:trHeight w:val="142"/>
        </w:trPr>
        <w:tc>
          <w:tcPr>
            <w:tcW w:w="5620" w:type="dxa"/>
            <w:vAlign w:val="bottom"/>
            <w:tcBorders>
              <w:left w:val="single" w:sz="8" w:color="CCEEFF"/>
            </w:tcBorders>
            <w:gridSpan w:val="2"/>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1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7,901</w:t>
            </w: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6,760</w:t>
            </w:r>
          </w:p>
        </w:tc>
        <w:tc>
          <w:tcPr>
            <w:tcW w:w="20" w:type="dxa"/>
            <w:vAlign w:val="bottom"/>
          </w:tcPr>
          <w:p>
            <w:pPr>
              <w:spacing w:after="0"/>
              <w:rPr>
                <w:sz w:val="12"/>
                <w:szCs w:val="12"/>
                <w:color w:val="auto"/>
              </w:rPr>
            </w:pPr>
          </w:p>
        </w:tc>
      </w:tr>
      <w:tr>
        <w:trPr>
          <w:trHeight w:val="142"/>
        </w:trPr>
        <w:tc>
          <w:tcPr>
            <w:tcW w:w="56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Investing Activities:</w:t>
            </w: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6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Acquisition of Real Estate, Including Capitalized Expenditures</w:t>
            </w: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(39,988)</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(1,138)</w:t>
            </w:r>
          </w:p>
        </w:tc>
        <w:tc>
          <w:tcPr>
            <w:tcW w:w="20" w:type="dxa"/>
            <w:vAlign w:val="bottom"/>
          </w:tcPr>
          <w:p>
            <w:pPr>
              <w:spacing w:after="0"/>
              <w:rPr>
                <w:sz w:val="12"/>
                <w:szCs w:val="12"/>
                <w:color w:val="auto"/>
              </w:rPr>
            </w:pPr>
          </w:p>
        </w:tc>
      </w:tr>
      <w:tr>
        <w:trPr>
          <w:trHeight w:val="148"/>
        </w:trPr>
        <w:tc>
          <w:tcPr>
            <w:tcW w:w="56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Disposition of Assets</w:t>
            </w:r>
          </w:p>
        </w:tc>
        <w:tc>
          <w:tcPr>
            <w:tcW w:w="1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11,149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8"/>
        </w:trPr>
        <w:tc>
          <w:tcPr>
            <w:tcW w:w="56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Acquisition of Commercial Loans and Investments</w:t>
            </w: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(21,383)</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(3,597)</w:t>
            </w:r>
          </w:p>
        </w:tc>
        <w:tc>
          <w:tcPr>
            <w:tcW w:w="20" w:type="dxa"/>
            <w:vAlign w:val="bottom"/>
          </w:tcPr>
          <w:p>
            <w:pPr>
              <w:spacing w:after="0"/>
              <w:rPr>
                <w:sz w:val="12"/>
                <w:szCs w:val="12"/>
                <w:color w:val="auto"/>
              </w:rPr>
            </w:pPr>
          </w:p>
        </w:tc>
      </w:tr>
      <w:tr>
        <w:trPr>
          <w:trHeight w:val="148"/>
        </w:trPr>
        <w:tc>
          <w:tcPr>
            <w:tcW w:w="56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Principal Payments Received on Commercial Loans and Investments</w:t>
            </w:r>
          </w:p>
        </w:tc>
        <w:tc>
          <w:tcPr>
            <w:tcW w:w="1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630</w:t>
            </w:r>
          </w:p>
        </w:tc>
        <w:tc>
          <w:tcPr>
            <w:tcW w:w="20" w:type="dxa"/>
            <w:vAlign w:val="bottom"/>
          </w:tcPr>
          <w:p>
            <w:pPr>
              <w:spacing w:after="0"/>
              <w:rPr>
                <w:sz w:val="12"/>
                <w:szCs w:val="12"/>
                <w:color w:val="auto"/>
              </w:rPr>
            </w:pPr>
          </w:p>
        </w:tc>
      </w:tr>
      <w:tr>
        <w:trPr>
          <w:trHeight w:val="148"/>
        </w:trPr>
        <w:tc>
          <w:tcPr>
            <w:tcW w:w="56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on Participation Obligation</w:t>
            </w: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(819)</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2"/>
        </w:trPr>
        <w:tc>
          <w:tcPr>
            <w:tcW w:w="5620" w:type="dxa"/>
            <w:vAlign w:val="bottom"/>
            <w:tcBorders>
              <w:bottom w:val="single" w:sz="8" w:color="CCEEFF"/>
            </w:tcBorders>
            <w:gridSpan w:val="2"/>
          </w:tcPr>
          <w:p>
            <w:pPr>
              <w:ind w:left="34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18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(50,166)</w:t>
            </w: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(4,105)</w:t>
            </w:r>
          </w:p>
        </w:tc>
        <w:tc>
          <w:tcPr>
            <w:tcW w:w="20" w:type="dxa"/>
            <w:vAlign w:val="bottom"/>
          </w:tcPr>
          <w:p>
            <w:pPr>
              <w:spacing w:after="0"/>
              <w:rPr>
                <w:sz w:val="12"/>
                <w:szCs w:val="12"/>
                <w:color w:val="auto"/>
              </w:rPr>
            </w:pPr>
          </w:p>
        </w:tc>
      </w:tr>
      <w:tr>
        <w:trPr>
          <w:trHeight w:val="142"/>
        </w:trPr>
        <w:tc>
          <w:tcPr>
            <w:tcW w:w="5620" w:type="dxa"/>
            <w:vAlign w:val="bottom"/>
            <w:tcBorders>
              <w:left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Financing Activities:</w:t>
            </w: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6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Long-Term Debt</w:t>
            </w:r>
          </w:p>
        </w:tc>
        <w:tc>
          <w:tcPr>
            <w:tcW w:w="1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56,500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w:t>
            </w:r>
          </w:p>
        </w:tc>
        <w:tc>
          <w:tcPr>
            <w:tcW w:w="20" w:type="dxa"/>
            <w:vAlign w:val="bottom"/>
          </w:tcPr>
          <w:p>
            <w:pPr>
              <w:spacing w:after="0"/>
              <w:rPr>
                <w:sz w:val="12"/>
                <w:szCs w:val="12"/>
                <w:color w:val="auto"/>
              </w:rPr>
            </w:pPr>
          </w:p>
        </w:tc>
      </w:tr>
      <w:tr>
        <w:trPr>
          <w:trHeight w:val="148"/>
        </w:trPr>
        <w:tc>
          <w:tcPr>
            <w:tcW w:w="56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on Long-Term Debt</w:t>
            </w: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(1,500)</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(9,500)</w:t>
            </w:r>
          </w:p>
        </w:tc>
        <w:tc>
          <w:tcPr>
            <w:tcW w:w="20" w:type="dxa"/>
            <w:vAlign w:val="bottom"/>
          </w:tcPr>
          <w:p>
            <w:pPr>
              <w:spacing w:after="0"/>
              <w:rPr>
                <w:sz w:val="12"/>
                <w:szCs w:val="12"/>
                <w:color w:val="auto"/>
              </w:rPr>
            </w:pPr>
          </w:p>
        </w:tc>
      </w:tr>
      <w:tr>
        <w:trPr>
          <w:trHeight w:val="148"/>
        </w:trPr>
        <w:tc>
          <w:tcPr>
            <w:tcW w:w="56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Paid for Loan Fees</w:t>
            </w:r>
          </w:p>
        </w:tc>
        <w:tc>
          <w:tcPr>
            <w:tcW w:w="18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9"/>
        </w:trPr>
        <w:tc>
          <w:tcPr>
            <w:tcW w:w="56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(4,482)</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(775)</w:t>
            </w:r>
          </w:p>
        </w:tc>
        <w:tc>
          <w:tcPr>
            <w:tcW w:w="20" w:type="dxa"/>
            <w:vAlign w:val="bottom"/>
          </w:tcPr>
          <w:p>
            <w:pPr>
              <w:spacing w:after="0"/>
              <w:rPr>
                <w:sz w:val="12"/>
                <w:szCs w:val="12"/>
                <w:color w:val="auto"/>
              </w:rPr>
            </w:pPr>
          </w:p>
        </w:tc>
      </w:tr>
      <w:tr>
        <w:trPr>
          <w:trHeight w:val="148"/>
        </w:trPr>
        <w:tc>
          <w:tcPr>
            <w:tcW w:w="56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 of Equity Issuance Costs</w:t>
            </w:r>
          </w:p>
        </w:tc>
        <w:tc>
          <w:tcPr>
            <w:tcW w:w="18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1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20" w:type="dxa"/>
            <w:vAlign w:val="bottom"/>
          </w:tcPr>
          <w:p>
            <w:pPr>
              <w:spacing w:after="0"/>
              <w:rPr>
                <w:sz w:val="12"/>
                <w:szCs w:val="12"/>
                <w:color w:val="auto"/>
              </w:rPr>
            </w:pPr>
          </w:p>
        </w:tc>
      </w:tr>
      <w:tr>
        <w:trPr>
          <w:trHeight w:val="148"/>
        </w:trPr>
        <w:tc>
          <w:tcPr>
            <w:tcW w:w="56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Dividends Paid</w:t>
            </w: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(4,495)</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(4,082)</w:t>
            </w:r>
          </w:p>
        </w:tc>
        <w:tc>
          <w:tcPr>
            <w:tcW w:w="20" w:type="dxa"/>
            <w:vAlign w:val="bottom"/>
          </w:tcPr>
          <w:p>
            <w:pPr>
              <w:spacing w:after="0"/>
              <w:rPr>
                <w:sz w:val="12"/>
                <w:szCs w:val="12"/>
                <w:color w:val="auto"/>
              </w:rPr>
            </w:pPr>
          </w:p>
        </w:tc>
      </w:tr>
      <w:tr>
        <w:trPr>
          <w:trHeight w:val="142"/>
        </w:trPr>
        <w:tc>
          <w:tcPr>
            <w:tcW w:w="5620" w:type="dxa"/>
            <w:vAlign w:val="bottom"/>
            <w:tcBorders>
              <w:bottom w:val="single" w:sz="8" w:color="CCEEFF"/>
            </w:tcBorders>
            <w:gridSpan w:val="2"/>
          </w:tcPr>
          <w:p>
            <w:pPr>
              <w:ind w:left="340"/>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8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45,886</w:t>
            </w: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(8,408)</w:t>
            </w:r>
          </w:p>
        </w:tc>
        <w:tc>
          <w:tcPr>
            <w:tcW w:w="20" w:type="dxa"/>
            <w:vAlign w:val="bottom"/>
          </w:tcPr>
          <w:p>
            <w:pPr>
              <w:spacing w:after="0"/>
              <w:rPr>
                <w:sz w:val="12"/>
                <w:szCs w:val="12"/>
                <w:color w:val="auto"/>
              </w:rPr>
            </w:pPr>
          </w:p>
        </w:tc>
      </w:tr>
      <w:tr>
        <w:trPr>
          <w:trHeight w:val="142"/>
        </w:trPr>
        <w:tc>
          <w:tcPr>
            <w:tcW w:w="5620" w:type="dxa"/>
            <w:vAlign w:val="bottom"/>
            <w:tcBorders>
              <w:left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Increase (Decrease) in Cash and Cash Equivalents and Restricted Cash</w:t>
            </w: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3,621</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(5,753)</w:t>
            </w:r>
          </w:p>
        </w:tc>
        <w:tc>
          <w:tcPr>
            <w:tcW w:w="20" w:type="dxa"/>
            <w:vAlign w:val="bottom"/>
          </w:tcPr>
          <w:p>
            <w:pPr>
              <w:spacing w:after="0"/>
              <w:rPr>
                <w:sz w:val="12"/>
                <w:szCs w:val="12"/>
                <w:color w:val="auto"/>
              </w:rPr>
            </w:pPr>
          </w:p>
        </w:tc>
      </w:tr>
      <w:tr>
        <w:trPr>
          <w:trHeight w:val="148"/>
        </w:trPr>
        <w:tc>
          <w:tcPr>
            <w:tcW w:w="562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and Cash Equivalents and Restricted Cash, Beginning of Period</w:t>
            </w: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7,951</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13,731</w:t>
            </w:r>
          </w:p>
        </w:tc>
        <w:tc>
          <w:tcPr>
            <w:tcW w:w="20" w:type="dxa"/>
            <w:vAlign w:val="bottom"/>
          </w:tcPr>
          <w:p>
            <w:pPr>
              <w:spacing w:after="0"/>
              <w:rPr>
                <w:sz w:val="12"/>
                <w:szCs w:val="12"/>
                <w:color w:val="auto"/>
              </w:rPr>
            </w:pPr>
          </w:p>
        </w:tc>
      </w:tr>
      <w:tr>
        <w:trPr>
          <w:trHeight w:val="142"/>
        </w:trPr>
        <w:tc>
          <w:tcPr>
            <w:tcW w:w="5620" w:type="dxa"/>
            <w:vAlign w:val="bottom"/>
            <w:tcBorders>
              <w:left w:val="single" w:sz="8" w:color="CCEEFF"/>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and Cash Equivalents and Restricted Cash, End of Period</w:t>
            </w: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11,572</w:t>
            </w:r>
          </w:p>
        </w:tc>
        <w:tc>
          <w:tcPr>
            <w:tcW w:w="1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7,978</w:t>
            </w:r>
          </w:p>
        </w:tc>
        <w:tc>
          <w:tcPr>
            <w:tcW w:w="20" w:type="dxa"/>
            <w:vAlign w:val="bottom"/>
          </w:tcPr>
          <w:p>
            <w:pPr>
              <w:spacing w:after="0"/>
              <w:rPr>
                <w:sz w:val="12"/>
                <w:szCs w:val="12"/>
                <w:color w:val="auto"/>
              </w:rPr>
            </w:pPr>
          </w:p>
        </w:tc>
      </w:tr>
      <w:tr>
        <w:trPr>
          <w:trHeight w:val="20"/>
        </w:trPr>
        <w:tc>
          <w:tcPr>
            <w:tcW w:w="34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34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5620" w:type="dxa"/>
            <w:vAlign w:val="bottom"/>
            <w:tcBorders>
              <w:left w:val="single" w:sz="8" w:color="CCEEFF"/>
            </w:tcBorders>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Reconciliation of Cash to the Consolidated Balance Sheets:</w:t>
            </w:r>
          </w:p>
        </w:tc>
        <w:tc>
          <w:tcPr>
            <w:tcW w:w="1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3440" w:type="dxa"/>
            <w:vAlign w:val="bottom"/>
            <w:tcBorders>
              <w:left w:val="single" w:sz="8" w:color="CCEEFF"/>
            </w:tcBorders>
            <w:shd w:val="clear" w:color="auto" w:fill="000000"/>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56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6,138</w:t>
            </w:r>
          </w:p>
        </w:tc>
        <w:tc>
          <w:tcPr>
            <w:tcW w:w="160" w:type="dxa"/>
            <w:vAlign w:val="bottom"/>
          </w:tcPr>
          <w:p>
            <w:pPr>
              <w:spacing w:after="0"/>
              <w:rPr>
                <w:sz w:val="12"/>
                <w:szCs w:val="12"/>
                <w:color w:val="auto"/>
              </w:rPr>
            </w:pP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5,145</w:t>
            </w:r>
          </w:p>
        </w:tc>
        <w:tc>
          <w:tcPr>
            <w:tcW w:w="20" w:type="dxa"/>
            <w:vAlign w:val="bottom"/>
          </w:tcPr>
          <w:p>
            <w:pPr>
              <w:spacing w:after="0"/>
              <w:rPr>
                <w:sz w:val="12"/>
                <w:szCs w:val="12"/>
                <w:color w:val="auto"/>
              </w:rPr>
            </w:pPr>
          </w:p>
        </w:tc>
      </w:tr>
      <w:tr>
        <w:trPr>
          <w:trHeight w:val="149"/>
        </w:trPr>
        <w:tc>
          <w:tcPr>
            <w:tcW w:w="562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5,434</w:t>
            </w: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2,833</w:t>
            </w:r>
          </w:p>
        </w:tc>
        <w:tc>
          <w:tcPr>
            <w:tcW w:w="20" w:type="dxa"/>
            <w:vAlign w:val="bottom"/>
          </w:tcPr>
          <w:p>
            <w:pPr>
              <w:spacing w:after="0"/>
              <w:rPr>
                <w:sz w:val="12"/>
                <w:szCs w:val="12"/>
                <w:color w:val="auto"/>
              </w:rPr>
            </w:pPr>
          </w:p>
        </w:tc>
      </w:tr>
      <w:tr>
        <w:trPr>
          <w:trHeight w:val="142"/>
        </w:trPr>
        <w:tc>
          <w:tcPr>
            <w:tcW w:w="56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Cash</w:t>
            </w:r>
          </w:p>
        </w:tc>
        <w:tc>
          <w:tcPr>
            <w:tcW w:w="1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11,572</w:t>
            </w:r>
          </w:p>
        </w:tc>
        <w:tc>
          <w:tcPr>
            <w:tcW w:w="160" w:type="dxa"/>
            <w:vAlign w:val="bottom"/>
          </w:tcPr>
          <w:p>
            <w:pPr>
              <w:spacing w:after="0"/>
              <w:rPr>
                <w:sz w:val="12"/>
                <w:szCs w:val="12"/>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7,978</w:t>
            </w:r>
          </w:p>
        </w:tc>
        <w:tc>
          <w:tcPr>
            <w:tcW w:w="20" w:type="dxa"/>
            <w:vAlign w:val="bottom"/>
          </w:tcPr>
          <w:p>
            <w:pPr>
              <w:spacing w:after="0"/>
              <w:rPr>
                <w:sz w:val="12"/>
                <w:szCs w:val="12"/>
                <w:color w:val="auto"/>
              </w:rPr>
            </w:pPr>
          </w:p>
        </w:tc>
      </w:tr>
      <w:tr>
        <w:trPr>
          <w:trHeight w:val="20"/>
        </w:trPr>
        <w:tc>
          <w:tcPr>
            <w:tcW w:w="34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1640" w:right="1840"/>
        <w:spacing w:after="0" w:line="266" w:lineRule="auto"/>
        <w:rPr>
          <w:sz w:val="20"/>
          <w:szCs w:val="20"/>
          <w:color w:val="auto"/>
        </w:rPr>
      </w:pPr>
      <w:r>
        <w:rPr>
          <w:rFonts w:ascii="Times New Roman" w:cs="Times New Roman" w:eastAsia="Times New Roman" w:hAnsi="Times New Roman"/>
          <w:sz w:val="18"/>
          <w:szCs w:val="18"/>
          <w:color w:val="auto"/>
        </w:rPr>
        <w:t>ALPINE INCOME PROPERTY TRUST, INC. CONSOLIDATED STATEMENTS OF CASH FLOWS (Continued) (Unaudited,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4"/>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2"/>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220" w:type="dxa"/>
            <w:vAlign w:val="bottom"/>
          </w:tcPr>
          <w:p>
            <w:pPr>
              <w:spacing w:after="0"/>
              <w:rPr>
                <w:sz w:val="12"/>
                <w:szCs w:val="12"/>
                <w:color w:val="auto"/>
              </w:rPr>
            </w:pPr>
          </w:p>
        </w:tc>
        <w:tc>
          <w:tcPr>
            <w:tcW w:w="1280" w:type="dxa"/>
            <w:vAlign w:val="bottom"/>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142"/>
        </w:trPr>
        <w:tc>
          <w:tcPr>
            <w:tcW w:w="56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22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r>
      <w:tr>
        <w:trPr>
          <w:trHeight w:val="148"/>
        </w:trPr>
        <w:tc>
          <w:tcPr>
            <w:tcW w:w="56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3,173</w:t>
            </w:r>
          </w:p>
        </w:tc>
        <w:tc>
          <w:tcPr>
            <w:tcW w:w="160" w:type="dxa"/>
            <w:vAlign w:val="bottom"/>
          </w:tcPr>
          <w:p>
            <w:pPr>
              <w:spacing w:after="0"/>
              <w:rPr>
                <w:sz w:val="12"/>
                <w:szCs w:val="12"/>
                <w:color w:val="auto"/>
              </w:rPr>
            </w:pPr>
          </w:p>
        </w:tc>
        <w:tc>
          <w:tcPr>
            <w:tcW w:w="2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2,787</w:t>
            </w:r>
          </w:p>
        </w:tc>
      </w:tr>
      <w:tr>
        <w:trPr>
          <w:trHeight w:val="148"/>
        </w:trPr>
        <w:tc>
          <w:tcPr>
            <w:tcW w:w="5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149"/>
        </w:trPr>
        <w:tc>
          <w:tcPr>
            <w:tcW w:w="56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8"/>
        </w:trPr>
        <w:tc>
          <w:tcPr>
            <w:tcW w:w="56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Unrealized Gain (Loss) on Cash Flow Hedge</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(2,393)</w:t>
            </w:r>
          </w:p>
        </w:tc>
        <w:tc>
          <w:tcPr>
            <w:tcW w:w="2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2,355</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 BUSINESS AND ORGANIZATION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BUSINESS</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Alpine Income Property Trust, Inc. (the “Company” or “PINE”) is a real estate investment trust (“REIT”) that owns and operates a high-quality portfolio of commercial net lease properties. The terms “us,” “we,” “our,” and “the Company” as used in this report refer to Alpine Income Property Trust, Inc. together with our consolidated subsidiaries.</w:t>
      </w:r>
    </w:p>
    <w:p>
      <w:pPr>
        <w:spacing w:after="0" w:line="17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income property portfolio consists of 134 net leased properties located in 35 states. The properties in our portfolio are primarily subject to long-term, net leases, which generally require the tenant to pay directly or reimburse us for property operating expenses such as real estate taxes, insurance, assessments and other governmental fees, utilities, repairs and maintenance and certain capital expenditures. The Company may also acquire or originate commercial loans and investments. Our investments in commercial loans are generally secured by real estate or the borrower’s pledge of its ownership interest in an entity that owns real estate. As more fully described in Note 4, “Commercial Loans and Investments,” the three Tampa Properties (defined in Note 4 below), which were purchased during the year ended December 31, 2024 through a sale-leaseback transaction that includes a tenant repurchase option are, for GAAP purposes, accounted for as a financing arrangement. However, as the Tampa Properties constitute real estate assets for both legal and tax purposes, we include the Tampa Properties in the property portfolio when describing our property portfolio and for purposes of providing statistics related thereto.</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operates in two primary business segments: income properties and commercial loans and investments.</w:t>
      </w:r>
    </w:p>
    <w:p>
      <w:pPr>
        <w:spacing w:after="0" w:line="22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has no employees and is externally managed by Alpine Income Property Manager, LLC, a Delaware limited liability company and a wholly owned subsidiary of CTO Realty Growth, Inc. (our “Manager”). CTO Realty Growth, Inc. (NYSE: CTO) is a Maryland corporation that is a publicly traded REIT and the sole member of our Manager (“CTO”). All of our executive officers also serve as executive officers of CTO, and one of our executive officers and directors, John P. Albright, also serves as an executive officer and director of CTO.</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is a Maryland corporation that was formed on August 19, 2019. On November 26, 2019, the Company closed its initial public offering (“IPO”). We are externally managed by our Manager and conduct the substantial majority of our operations through Alpine Income Property OP, LP (the “Operating Partnership”). Our wholly owned subsidiary, Alpine Income Property GP, LLC (“PINE GP”), is the sole general partner of the Operating Partnership. Substantially all of our assets are held by, and our operations are conducted through, the Operating Partnership. As of March 31, 2025, we have a total ownership interest in the Operating Partnership of 92.2%, with CTO holding, directly and indirectly, a 7.8% ownership interest in the Operating Partnership. Our interest in the Operating Partnership generally entitles us to share in cash distributions from, and in the profits and losses of, the Operating Partnership in proportion to our percentage ownership. We, through PINE GP, generally have the exclusive power under the partnership agreement to manage and conduct the business and affairs of the Operating Partnership, subject to certain approval and voting rights of the limited partners. Our Board of Directors (the “Board”) oversees our business and affairs.</w:t>
      </w:r>
    </w:p>
    <w:p>
      <w:pPr>
        <w:spacing w:after="0" w:line="192" w:lineRule="exact"/>
        <w:rPr>
          <w:sz w:val="20"/>
          <w:szCs w:val="20"/>
          <w:color w:val="auto"/>
        </w:rPr>
      </w:pPr>
    </w:p>
    <w:p>
      <w:pPr>
        <w:jc w:val="both"/>
        <w:ind w:left="60" w:right="59" w:firstLine="385"/>
        <w:spacing w:after="0" w:line="253" w:lineRule="auto"/>
        <w:rPr>
          <w:sz w:val="20"/>
          <w:szCs w:val="20"/>
          <w:color w:val="auto"/>
        </w:rPr>
      </w:pPr>
      <w:r>
        <w:rPr>
          <w:rFonts w:ascii="Times New Roman" w:cs="Times New Roman" w:eastAsia="Times New Roman" w:hAnsi="Times New Roman"/>
          <w:sz w:val="18"/>
          <w:szCs w:val="18"/>
          <w:color w:val="auto"/>
        </w:rPr>
        <w:t>The Company has elected to be taxed as a REIT for U.S. federal income tax purposes under the Internal Revenue Code of 1986, as amended (the “Code”). To qualify as a REIT, the Company must meet certain organizational and operational requirements, including a requirement to distribute at least 90% of the Company’s annual REIT taxable income, determined without regard to the dividends paid deduction and excluding net capital gain, to its stockholders (which does not necessarily equal net income as calculated in accordance with generally accepted accounting principles). As a REIT, the Company is generally not subject to U.S. federal corporate income tax to the extent of its distributions to stockholders. If the Company fails to qualify as a REIT in any taxable year, the Company will be subject to U.S. federal income tax on its taxable income at regular corporate rates and generally will not be permitted to qualify for treatment as a REIT for the four taxable years following the year during which qualification is lost unless the Internal Revenue Service grants the Company relief under certain statutory provisions. Such an event could materially adversely affect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Company’s net income and net cash available for distribution to stockholders. Even if the Company qualifies for taxation as a REIT, the Company may be subject to state and local taxes on its income and property and federal income and excise taxes on its undistributed income.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 SUMMARY OF SIGNIFICANT ACCOUNTING POLICIES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its wholly owned subsidiaries, and other entities in which we have a controlling interest. All inter-company balances and transactions have been eliminated in the consolidated financial statements.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12" w:lineRule="exact"/>
        <w:rPr>
          <w:sz w:val="20"/>
          <w:szCs w:val="20"/>
          <w:color w:val="auto"/>
        </w:rPr>
      </w:pPr>
    </w:p>
    <w:p>
      <w:pPr>
        <w:jc w:val="both"/>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 xml:space="preserve">Financial Accounting Standards Board </w:t>
      </w:r>
      <w:r>
        <w:rPr>
          <w:rFonts w:ascii="Times New Roman" w:cs="Times New Roman" w:eastAsia="Times New Roman" w:hAnsi="Times New Roman"/>
          <w:sz w:val="18"/>
          <w:szCs w:val="18"/>
          <w:i w:val="1"/>
          <w:iCs w:val="1"/>
          <w:color w:val="auto"/>
        </w:rPr>
        <w:t>Accounting Standards Codification</w:t>
      </w:r>
      <w:r>
        <w:rPr>
          <w:rFonts w:ascii="Times New Roman" w:cs="Times New Roman" w:eastAsia="Times New Roman" w:hAnsi="Times New Roman"/>
          <w:sz w:val="18"/>
          <w:szCs w:val="18"/>
          <w:color w:val="auto"/>
        </w:rPr>
        <w:t xml:space="preserve"> (“FASB ASC”) Topic 280,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establishes standards related to the manner in which enterprises report operating segment information.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operates in two primary business segments including income properties and commercial loans and investments, as further discussed within Note 21, “Business Segment Data”. The Company has no other reportable segments. The Company’s chief executive officer, who is the Company’s chief operating decision maker (“CODM”), reviews financial information on a disaggregated basis for purposes of allocating and evaluating financial performance.</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USE OF ESTIMATES IN THE PREPARATION OF FINANCIAL STATEMENTS</w:t>
      </w:r>
    </w:p>
    <w:p>
      <w:pPr>
        <w:spacing w:after="0" w:line="214"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presented. Actual results could differ from those estimates.</w:t>
      </w:r>
    </w:p>
    <w:p>
      <w:pPr>
        <w:spacing w:after="0" w:line="17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Among other factors, fluctuating market conditions that can exist in the national real estate markets and the volatility and uncertainty in the financial and credit markets make it possible that the estimates and assumptions, most notably those related to PINE’s investment in properties, could change materially due to continued volatility in the real estate and financial markets, or as a result of a significant dislocation in those markets.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REAL ESTATE</w:t>
      </w:r>
    </w:p>
    <w:p>
      <w:pPr>
        <w:spacing w:after="0" w:line="227" w:lineRule="exact"/>
        <w:rPr>
          <w:sz w:val="20"/>
          <w:szCs w:val="20"/>
          <w:color w:val="auto"/>
        </w:rPr>
      </w:pPr>
    </w:p>
    <w:p>
      <w:pPr>
        <w:jc w:val="both"/>
        <w:ind w:left="60" w:right="59" w:firstLine="324"/>
        <w:spacing w:after="0" w:line="247" w:lineRule="auto"/>
        <w:rPr>
          <w:sz w:val="20"/>
          <w:szCs w:val="20"/>
          <w:color w:val="auto"/>
        </w:rPr>
      </w:pPr>
      <w:r>
        <w:rPr>
          <w:rFonts w:ascii="Times New Roman" w:cs="Times New Roman" w:eastAsia="Times New Roman" w:hAnsi="Times New Roman"/>
          <w:sz w:val="18"/>
          <w:szCs w:val="18"/>
          <w:color w:val="auto"/>
        </w:rPr>
        <w:t>The Company’s real estate assets are comprised of the properties in its portfolio, and are stated at cost, less accumulated depreciation and amortization. Such properties are depreciated on a straight-line basis over their estimated useful lives. Renewals and betterments are capitalized to the applicable property accounts. The cost of maintenance and repairs is expensed as incurred. The cost of property retired or otherwise disposed of, and the related accumulated depreciation or amortization, are removed from the accounts, and any resulting gain or loss is recorded in the statement of operations. The amount of depreciation of real estate, exclusive of amortization related to intangible assets, recognized for the three months ended March 31, 2025 and 2024, was $4.8 million and $4.2 million, respectively.</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25" w:lineRule="exact"/>
        <w:rPr>
          <w:sz w:val="20"/>
          <w:szCs w:val="20"/>
          <w:color w:val="auto"/>
        </w:rPr>
      </w:pPr>
    </w:p>
    <w:p>
      <w:pPr>
        <w:jc w:val="both"/>
        <w:ind w:left="60" w:right="59" w:firstLine="396"/>
        <w:spacing w:after="0" w:line="265" w:lineRule="auto"/>
        <w:rPr>
          <w:sz w:val="20"/>
          <w:szCs w:val="20"/>
          <w:color w:val="auto"/>
        </w:rPr>
      </w:pPr>
      <w:r>
        <w:rPr>
          <w:rFonts w:ascii="Times New Roman" w:cs="Times New Roman" w:eastAsia="Times New Roman" w:hAnsi="Times New Roman"/>
          <w:sz w:val="17"/>
          <w:szCs w:val="17"/>
          <w:color w:val="auto"/>
        </w:rPr>
        <w:t xml:space="preserve">The Company follows FASB ASC Topic 360-10, </w:t>
      </w:r>
      <w:r>
        <w:rPr>
          <w:rFonts w:ascii="Times New Roman" w:cs="Times New Roman" w:eastAsia="Times New Roman" w:hAnsi="Times New Roman"/>
          <w:sz w:val="17"/>
          <w:szCs w:val="17"/>
          <w:i w:val="1"/>
          <w:iCs w:val="1"/>
          <w:color w:val="auto"/>
        </w:rPr>
        <w:t>Property, Plant, and Equipment,</w:t>
      </w:r>
      <w:r>
        <w:rPr>
          <w:rFonts w:ascii="Times New Roman" w:cs="Times New Roman" w:eastAsia="Times New Roman" w:hAnsi="Times New Roman"/>
          <w:sz w:val="17"/>
          <w:szCs w:val="17"/>
          <w:color w:val="auto"/>
        </w:rPr>
        <w:t xml:space="preserve"> in conducting its impairment analyses. The Company reviews the recoverability of long-lived assets, primarily real estate, and real estate held for sale, for impairment whenever events or changes in circumstances indicate that the carrying amount of an asset may not be recoverable. Examples of situations considered to be triggering events include: a substantial decline in operating cash flows during the period, a current or projected loss from operations, a property not fully leased or leased at rates that are less than current market rates, and any other quantitative or qualitative events deemed significant by management. Long-lived assets are evaluated for impairment by using an undiscounted cash flow approach, which considers future estimated capital expenditures. Impairment of long-lived assets is measured at the difference of carrying value and fair value less cost to sell.</w:t>
      </w:r>
    </w:p>
    <w:p>
      <w:pPr>
        <w:sectPr>
          <w:pgSz w:w="11900" w:h="16838" w:orient="portrait"/>
          <w:cols w:equalWidth="0" w:num="1">
            <w:col w:w="9019"/>
          </w:cols>
          <w:pgMar w:left="1440" w:top="513"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PURCHASE ACCOUNTING FOR ACQUISITIONS OF REAL ESTATE SUBJECT TO A LEASE</w:t>
      </w:r>
    </w:p>
    <w:p>
      <w:pPr>
        <w:spacing w:after="0" w:line="227" w:lineRule="exact"/>
        <w:rPr>
          <w:sz w:val="20"/>
          <w:szCs w:val="20"/>
          <w:color w:val="auto"/>
        </w:rPr>
      </w:pPr>
    </w:p>
    <w:p>
      <w:pPr>
        <w:jc w:val="both"/>
        <w:ind w:left="60" w:right="59" w:firstLine="376"/>
        <w:spacing w:after="0" w:line="253" w:lineRule="auto"/>
        <w:rPr>
          <w:sz w:val="20"/>
          <w:szCs w:val="20"/>
          <w:color w:val="auto"/>
        </w:rPr>
      </w:pPr>
      <w:r>
        <w:rPr>
          <w:rFonts w:ascii="Times New Roman" w:cs="Times New Roman" w:eastAsia="Times New Roman" w:hAnsi="Times New Roman"/>
          <w:sz w:val="18"/>
          <w:szCs w:val="18"/>
          <w:color w:val="auto"/>
        </w:rPr>
        <w:t>Investments in real estate are carried at cost less accumulated depreciation and impairment losses, if any. The cost of investments in real estate reflects their purchase price or development cost. We evaluate each acquisition transaction to determine whether the acquired asset meets the definition of a business. Under Accounting Standards Update (“ASU”) 2017-01, Business Combinations (Topic 805): Clarifying the Definition of a Business,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management believes the lease includes bargain renewal options that are likely to be exercised, in which case the Company includes such renewal periods in the amortization period utilized. The Company considers both qualitative and quantitative factors in considering if a lease contains a bargain renewal option and the likelihood of a tenant exercising such option.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ASSETS HELD FOR SALE</w:t>
      </w:r>
    </w:p>
    <w:p>
      <w:pPr>
        <w:spacing w:after="0" w:line="225"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Investments in real estate which are determined to be “held for sale” pursuant to FASB Topic 360-10, </w:t>
      </w:r>
      <w:r>
        <w:rPr>
          <w:rFonts w:ascii="Times New Roman" w:cs="Times New Roman" w:eastAsia="Times New Roman" w:hAnsi="Times New Roman"/>
          <w:sz w:val="18"/>
          <w:szCs w:val="18"/>
          <w:i w:val="1"/>
          <w:iCs w:val="1"/>
          <w:color w:val="auto"/>
        </w:rPr>
        <w:t>Property, Plant,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Equipment </w:t>
      </w:r>
      <w:r>
        <w:rPr>
          <w:rFonts w:ascii="Times New Roman" w:cs="Times New Roman" w:eastAsia="Times New Roman" w:hAnsi="Times New Roman"/>
          <w:sz w:val="18"/>
          <w:szCs w:val="18"/>
          <w:color w:val="auto"/>
        </w:rPr>
        <w:t>are reported separately on the consolidated balance sheets at the lesser of carrying value or fair value,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to sell. Real estate investments classified as held for sale are not depreciated.</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SALES OF REAL ESTATE</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When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gains on dispositions of assets. In accordance with the FASB guidance, gains or losses on sales of real estate are generally recognized using the full accrual method.</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PROPERTY LEASE REVENUE</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rental arrangements associated with the Company’s property portfolio are classified as operating leases. The Company recognizes lease income on these properties on a straight-line basis over the term of the lease. Accordingly, contractual lease payment increases are recognized evenly over the term of the lease. The periodic difference between lease income recognized under this method and contractual lease payment terms (i.e., straight-line rent) is recorded as a deferred operating lease receivable and is included in straight-line rent adjustment on the accompanying consolidated balance sheets. The Company’s leases provide for reimbursement from tenants for variable lease payments including common area maintenance, insurance, real estate taxes and other operating expenses. A portion of our variable lease payment revenue is estimated each period and is recognized as rental income in the period the recoverable costs are incurred and accrued.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collectability of tenant receivables and straight-line rent adjustments is determined based on, among other things, the aging of the tenant receivable, management’s evaluation of credit risk associated with the tenant and industry of the tenant, and a review of specifically identified accounts using judgment. As of March 31, 2025 and December 31, 2024, the Company’s allowance for doubtful accounts totaled $0.4 million and $0.3 million, respectively.</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COMMERCIAL LOANS AND INVESTMENTS</w:t>
      </w:r>
    </w:p>
    <w:p>
      <w:pPr>
        <w:spacing w:after="0" w:line="22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Investments in commercial loans and investments held for investment are recorded at historical cost, net of unaccreted origination costs and current expected credit losses (“CECL”) reserve.</w:t>
      </w:r>
    </w:p>
    <w:p>
      <w:pPr>
        <w:spacing w:after="0" w:line="16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Pursuant to ASC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the Company measures and records a provision for CECL each time a new investment is made, or a loan is repaid, as well as if changes to estimates occur during a quarterly measurement period.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spacing w:after="0" w:line="18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Sales of participations in commercial loans and investments are evaluated for achievement of the characteristics of participating interest pursuant to ASC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If the sale of a participation has all of the characteristics of a participating interest, it achieves sale accounting, and the commercial loan or investment is presented net of the participating interest. If the sale of a participation does not have all of the characteristics of a participating interest, it does not achieve sale accounting and is treated as a secured borrowing. The Company’s participation in commercial loans and investments purchased by a third-party did not achieve sale accounting and has been presented as an Obligation under Participation Agreement within the liabilities portion of the Company’s consolidated balance sheets.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RECOGNITION OF INTEREST INCOME FROM COMMERCIAL LOANS AND INVESTMENTS</w:t>
      </w:r>
    </w:p>
    <w:p>
      <w:pPr>
        <w:spacing w:after="0" w:line="227" w:lineRule="exact"/>
        <w:rPr>
          <w:sz w:val="20"/>
          <w:szCs w:val="20"/>
          <w:color w:val="auto"/>
        </w:rPr>
      </w:pPr>
    </w:p>
    <w:p>
      <w:pPr>
        <w:jc w:val="both"/>
        <w:ind w:left="60" w:right="59" w:firstLine="389"/>
        <w:spacing w:after="0" w:line="261" w:lineRule="auto"/>
        <w:rPr>
          <w:sz w:val="20"/>
          <w:szCs w:val="20"/>
          <w:color w:val="auto"/>
        </w:rPr>
      </w:pPr>
      <w:r>
        <w:rPr>
          <w:rFonts w:ascii="Times New Roman" w:cs="Times New Roman" w:eastAsia="Times New Roman" w:hAnsi="Times New Roman"/>
          <w:sz w:val="18"/>
          <w:szCs w:val="18"/>
          <w:color w:val="auto"/>
        </w:rPr>
        <w:t>Interest income on commercial loans and investments includes interest payments made by the borrower and the accretion of loan origination fees, offset by the amortization of loan costs, if any. Interest payments are accrued based on the actual coupon rate and the outstanding principal balance and purchase discounts and loan origination fees are accreted into income using the effective yield method, adjusted for prepayments.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OPERATING LAND LEASE EXPENSE</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is the lessee under operating land leases for certain of its properties, which leases are classified as operating leases pursuant to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corresponding lease expense is recognized on a straight-line basis over the term of the lease and is included in real estate expenses in the accompanying consolidated statements of operations.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Cash and cash equivalents include cash on hand, bank demand accounts, and money market accounts having original maturities of 90 days or less. The Company’s bank balances as of March 31, 2025 and December 31, 2024 include certain amounts over the Federal Deposit Insurance Corporation limits. The carrying value of cash and cash equivalents is reported at Level 1 in the fair value hierarchy, which represents valuation based upon quoted prices in active markets for identical assets or liabilities.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27"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Restricted cash totaled $5.4 million as of March 31, 2025, of which $2.4 million is being held in two escrow accounts to be reinvested through the like-kind exchange structure into other income properties and $3.0 million is being held in interest, real estate tax, insurance, and/or capital expenditure reserve accounts related to the Company’s portfolio of commercial loans and investments.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DERIVATIVE FINANCIAL INSTRUMENTS AND HEDGING ACTIVITY</w:t>
      </w:r>
    </w:p>
    <w:p>
      <w:pPr>
        <w:spacing w:after="0" w:line="22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its cash flow hedging derivatives in accordance with FASB ASC Topic 815-20,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Hedging</w:t>
      </w:r>
      <w:r>
        <w:rPr>
          <w:rFonts w:ascii="Times New Roman" w:cs="Times New Roman" w:eastAsia="Times New Roman" w:hAnsi="Times New Roman"/>
          <w:sz w:val="18"/>
          <w:szCs w:val="18"/>
          <w:color w:val="auto"/>
        </w:rPr>
        <w:t>. Depending upon the hedge’s value at each balance sheet date, the derivatives are included in either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accounts payable, accrued expenses, and other liabilities on the accompanying consolidated balance sheet at its fair value. On the date each interest rate swap was entered into, the Company designated the derivatives as a hedge of the variability of cash flows to be paid related to the recognized long-term debt liabilities.</w:t>
      </w:r>
    </w:p>
    <w:p>
      <w:pPr>
        <w:spacing w:after="0" w:line="18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documented the relationship between the hedging instruments and the hedged item, as well as its risk-management objective and strategy for undertaking the hedge transactions. At the hedges’ inception, the Company assessed whether the derivatives that are used in hedging the transactions are highly effective in offsetting changes in cash flows of the hedged items and will continue to do so on a quarterly basis.</w:t>
      </w:r>
    </w:p>
    <w:p>
      <w:pPr>
        <w:spacing w:after="0" w:line="180"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14, “Interest Rate Swaps”).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carrying amounts of the Company’s financial assets and liabilities including cash and cash equivalents, restricted cash, accounts receivable included in other assets, accounts payable, and accrued expenses and other liabilities at March 31, 2025 and December 31, 2024, approximate fair value because of the short maturity of these instruments. The carrying value of the Credit Facility, hereinafter defined, approximates current market rates for revolving credit arrangements with similar risks and maturities. The Company estimates the fair value of its commercial loans and investments and term loans based on incremental borrowing rates for similar types of borrowing arrangements with the same remaining maturity and on the discounted estimated future cash payments to be made for other debt. The discount rate used to calculate the fair value of debt approximates current lending rates for loans and assumes the debt is outstanding through maturity. Since such amounts are estimates that are based on limited available market information for similar transactions, which is a Level 2 non-recurring measurement, there can be no assurance that the disclosed value of any financial instrument could be realized by immediate settlement of the instrument.</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1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Company’s estimates of fair value of financial and non-financial assets and liabilities is based on the framework established by GAAP. The framework specifies a hierarchy of valuation inputs which was established to increase consistency, clarity and comparability in fair value measurements and related disclosures. GAAP describes a fair value hierarchy based upon three levels of inputs that may be used to measure fair value, two of which are considered observable and one that is considered unobservable. The following describes the three levels:</w:t>
      </w:r>
    </w:p>
    <w:p>
      <w:pPr>
        <w:spacing w:after="0" w:line="170" w:lineRule="exact"/>
        <w:rPr>
          <w:sz w:val="20"/>
          <w:szCs w:val="20"/>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 is based upon quoted prices in active markets for identical assets or liabilities.</w:t>
      </w:r>
    </w:p>
    <w:p>
      <w:pPr>
        <w:spacing w:after="0" w:line="211"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63"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EARNINGS PER COMMON SHARE</w:t>
      </w:r>
    </w:p>
    <w:p>
      <w:pPr>
        <w:spacing w:after="0" w:line="21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Basic earnings per common share is computed by dividing net income attributable to the Company for the period by the weighted average number of shares outstanding for the period. Diluted earnings per common share is based on the assumption that the OP Units issued are redeemed for shares of our common stock on a one-for-one basis.</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1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has elected to be taxed as a REIT for U.S. federal income tax purposes under the Code. We believe the Company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The Company may form one or more taxable REIT subsidiaries (“TRSs”), which will be subject to applicable U.S. federal, state and local corporate income tax on their taxable income. For the periods presented, the Company did not have any TRSs that would be subject to taxation.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14"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Certain individual tenants in the Company’s portfolio of properties accounted for more than 10% of lease income from the Company’s income properties during the three months ended March 31, 2025 and 2024.</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the three months ended March 31, 2025, Dick’s Sporting Goods accounted for 12% of lease income revenue.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three months ended March 31, 2024, Walgreens accounted for 11% of lease income revenue.</w:t>
      </w:r>
    </w:p>
    <w:p>
      <w:pPr>
        <w:spacing w:after="0" w:line="20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March 31, 2025, 10% of the Company’s income property portfolio, based on square footage, was located in each of the states of New Jersey and Michigan. As of December 31, 2024, 11% of the Company’s income property portfolio, based on square footage, was located in each of the states of New Jersey and Michigan.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3. PROPERTY PORTFOLIO</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As of March 31, 2025, the Company’s income property portfolio consisted of 134 properties, including three properties classified as commercial loans and investments, with total square footage of 4.1 million.</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Leasing revenue consists of long-term rental revenue from net leased commercial properties, which is recognized as earned, using the straight-line method over the life of each lease. Lease payments below include straight-line base rental revenue as well as the non-cash accretion of above and below market lease amortization. The variable lease payments are comprised of percentage rent payments and reimbursements from tenants for common area maintenance, insurance, real estate taxes, and other operating expenses.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components of leasing revenue are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428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Borders>
              <w:bottom w:val="single" w:sz="8" w:color="auto"/>
            </w:tcBorders>
          </w:tcPr>
          <w:p>
            <w:pPr>
              <w:spacing w:after="0"/>
              <w:rPr>
                <w:sz w:val="20"/>
                <w:szCs w:val="20"/>
                <w:color w:val="auto"/>
              </w:rPr>
            </w:pPr>
          </w:p>
        </w:tc>
      </w:tr>
      <w:tr>
        <w:trPr>
          <w:trHeight w:val="210"/>
        </w:trPr>
        <w:tc>
          <w:tcPr>
            <w:tcW w:w="406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5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560" w:type="dxa"/>
            <w:vAlign w:val="bottom"/>
            <w:tcBorders>
              <w:bottom w:val="single" w:sz="8" w:color="auto"/>
            </w:tcBorders>
          </w:tcPr>
          <w:p>
            <w:pPr>
              <w:spacing w:after="0"/>
              <w:rPr>
                <w:sz w:val="18"/>
                <w:szCs w:val="18"/>
                <w:color w:val="auto"/>
              </w:rPr>
            </w:pPr>
          </w:p>
        </w:tc>
      </w:tr>
      <w:tr>
        <w:trPr>
          <w:trHeight w:val="21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Income</w:t>
            </w:r>
          </w:p>
        </w:tc>
        <w:tc>
          <w:tcPr>
            <w:tcW w:w="1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Payments</w:t>
            </w:r>
          </w:p>
        </w:tc>
        <w:tc>
          <w:tcPr>
            <w:tcW w:w="174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10,200</w:t>
            </w:r>
          </w:p>
        </w:tc>
        <w:tc>
          <w:tcPr>
            <w:tcW w:w="220" w:type="dxa"/>
            <w:vAlign w:val="bottom"/>
          </w:tcPr>
          <w:p>
            <w:pPr>
              <w:spacing w:after="0"/>
              <w:rPr>
                <w:sz w:val="18"/>
                <w:szCs w:val="18"/>
                <w:color w:val="auto"/>
              </w:rPr>
            </w:pPr>
          </w:p>
        </w:tc>
        <w:tc>
          <w:tcPr>
            <w:tcW w:w="176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9,862</w:t>
            </w:r>
          </w:p>
        </w:tc>
      </w:tr>
      <w:tr>
        <w:trPr>
          <w:trHeight w:val="216"/>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Variable Lease Payments</w:t>
            </w:r>
          </w:p>
        </w:tc>
        <w:tc>
          <w:tcPr>
            <w:tcW w:w="17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22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r>
      <w:tr>
        <w:trPr>
          <w:trHeight w:val="21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Income</w:t>
            </w:r>
          </w:p>
        </w:tc>
        <w:tc>
          <w:tcPr>
            <w:tcW w:w="1740" w:type="dxa"/>
            <w:vAlign w:val="bottom"/>
            <w:tcBorders>
              <w:bottom w:val="single" w:sz="8" w:color="auto"/>
            </w:tcBorders>
          </w:tcPr>
          <w:p>
            <w:pPr>
              <w:jc w:val="right"/>
              <w:ind w:right="15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11,826</w:t>
            </w:r>
          </w:p>
        </w:tc>
        <w:tc>
          <w:tcPr>
            <w:tcW w:w="220" w:type="dxa"/>
            <w:vAlign w:val="bottom"/>
          </w:tcPr>
          <w:p>
            <w:pPr>
              <w:spacing w:after="0"/>
              <w:rPr>
                <w:sz w:val="18"/>
                <w:szCs w:val="18"/>
                <w:color w:val="auto"/>
              </w:rPr>
            </w:pPr>
          </w:p>
        </w:tc>
        <w:tc>
          <w:tcPr>
            <w:tcW w:w="1760" w:type="dxa"/>
            <w:vAlign w:val="bottom"/>
            <w:tcBorders>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11,464</w:t>
            </w:r>
          </w:p>
        </w:tc>
      </w:tr>
      <w:tr>
        <w:trPr>
          <w:trHeight w:val="20"/>
        </w:trPr>
        <w:tc>
          <w:tcPr>
            <w:tcW w:w="40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Minimum Future Rental Receipts. </w:t>
      </w:r>
      <w:r>
        <w:rPr>
          <w:rFonts w:ascii="Times New Roman" w:cs="Times New Roman" w:eastAsia="Times New Roman" w:hAnsi="Times New Roman"/>
          <w:sz w:val="18"/>
          <w:szCs w:val="18"/>
          <w:color w:val="auto"/>
        </w:rPr>
        <w:t>Minimum future rental receipts under non-cancelable operating leases, excluding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rent and other lease payments that are not fixed and determinable, having remaining terms in excess of one year subsequent to March 31, 2025, are summarized as follows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60" w:type="dxa"/>
            <w:vAlign w:val="bottom"/>
          </w:tcPr>
          <w:p>
            <w:pPr>
              <w:spacing w:after="0"/>
              <w:rPr>
                <w:sz w:val="20"/>
                <w:szCs w:val="20"/>
                <w:color w:val="auto"/>
              </w:rPr>
            </w:pPr>
          </w:p>
        </w:tc>
        <w:tc>
          <w:tcPr>
            <w:tcW w:w="188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10"/>
        </w:trPr>
        <w:tc>
          <w:tcPr>
            <w:tcW w:w="6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31,513</w:t>
            </w: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41,578</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38,278</w:t>
            </w: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33,775</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29,306</w:t>
            </w: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25,778</w:t>
            </w:r>
          </w:p>
        </w:tc>
      </w:tr>
      <w:tr>
        <w:trPr>
          <w:trHeight w:val="216"/>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 and Thereafter (Cumulative)</w:t>
            </w:r>
          </w:p>
        </w:tc>
        <w:tc>
          <w:tcPr>
            <w:tcW w:w="4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110,320</w:t>
            </w:r>
          </w:p>
        </w:tc>
      </w:tr>
      <w:tr>
        <w:trPr>
          <w:trHeight w:val="209"/>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310,548</w:t>
            </w:r>
          </w:p>
        </w:tc>
      </w:tr>
      <w:tr>
        <w:trPr>
          <w:trHeight w:val="20"/>
        </w:trPr>
        <w:tc>
          <w:tcPr>
            <w:tcW w:w="6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2025 Activity. </w:t>
      </w:r>
      <w:r>
        <w:rPr>
          <w:rFonts w:ascii="Times New Roman" w:cs="Times New Roman" w:eastAsia="Times New Roman" w:hAnsi="Times New Roman"/>
          <w:sz w:val="18"/>
          <w:szCs w:val="18"/>
          <w:color w:val="auto"/>
        </w:rPr>
        <w:t>During the three months ended March 31, 2025, the Company acquired three properties for a combined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price of $39.7 million, or a cost of $39.9 million including capitalized acquisition costs. The properties are located in three different states, leased to three different tenants, and had a weighted average remaining lease term of 14.3 years at the time of acquisition. Of the total acquisition cost, $4.7 million was allocated to land, $28.8 million was allocated to buildings and improvements, and $6.4 million was allocated to intangible assets pertaining to the in-place lease value, leasing fees, and above market lease value. The weighted average amortization period for the intangible assets was 14.1 years at acquisition.</w:t>
      </w:r>
    </w:p>
    <w:p>
      <w:pPr>
        <w:spacing w:after="0" w:line="185"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 Company sold three properties for an aggregate sales price of $11.7 million, generating aggregate gains on sale of $1.2 million.</w:t>
      </w:r>
    </w:p>
    <w:p>
      <w:pPr>
        <w:spacing w:after="0" w:line="92"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2024 Activity. </w:t>
      </w:r>
      <w:r>
        <w:rPr>
          <w:rFonts w:ascii="Times New Roman" w:cs="Times New Roman" w:eastAsia="Times New Roman" w:hAnsi="Times New Roman"/>
          <w:sz w:val="18"/>
          <w:szCs w:val="18"/>
          <w:color w:val="auto"/>
        </w:rPr>
        <w:t>During the three months ended March 31, 2024, the Company acquired one land parcel, for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already owned the property leased to CVS in Baton Rouge, Louisiana, for a purchase price of $1.0 million.</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 properties were sold during the three months ended March 31, 2024.</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4. COMMERCIAL LOANS AND INVESTMENTS</w:t>
      </w:r>
    </w:p>
    <w:p>
      <w:pPr>
        <w:spacing w:after="0" w:line="227"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2025 Activity. </w:t>
      </w:r>
      <w:r>
        <w:rPr>
          <w:rFonts w:ascii="Times New Roman" w:cs="Times New Roman" w:eastAsia="Times New Roman" w:hAnsi="Times New Roman"/>
          <w:sz w:val="18"/>
          <w:szCs w:val="18"/>
          <w:color w:val="auto"/>
        </w:rPr>
        <w:t>During the three months ended March 31, 2025, the Company originated two commercial loans for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volume of $21.7 million at a weighted average initial cash yield of 9.6%. Additionally, during the three months ended March 31, 2025, the Company amended four existing commercial loan investments whereby certain maturity dates were extended and two loan investments total face amounts were upsized by an aggregate of $17.8 million. In the aggregate, during the three months ended March 31, 2025, commercial loan and investment activity totaled $39.5 million at a weighted average initial cash yield of 9.5%.</w:t>
      </w:r>
    </w:p>
    <w:p>
      <w:pPr>
        <w:spacing w:after="0" w:line="182"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2024 Activity. </w:t>
      </w:r>
      <w:r>
        <w:rPr>
          <w:rFonts w:ascii="Times New Roman" w:cs="Times New Roman" w:eastAsia="Times New Roman" w:hAnsi="Times New Roman"/>
          <w:sz w:val="18"/>
          <w:szCs w:val="18"/>
          <w:color w:val="auto"/>
        </w:rPr>
        <w:t>During the three months ended March 31, 2024, the Company originated one commercial loan for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volume of $7.2 million at a weighted average initial cash yield of 11.3%.</w:t>
      </w:r>
    </w:p>
    <w:p>
      <w:pPr>
        <w:spacing w:after="0" w:line="15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Other Activity. </w:t>
      </w:r>
      <w:r>
        <w:rPr>
          <w:rFonts w:ascii="Times New Roman" w:cs="Times New Roman" w:eastAsia="Times New Roman" w:hAnsi="Times New Roman"/>
          <w:sz w:val="18"/>
          <w:szCs w:val="18"/>
          <w:color w:val="auto"/>
        </w:rPr>
        <w:t>During the year ended December 31, 2024, the Company acquired three single-tenant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properties (the “Tampa Properties”) in the greater Tampa Bay, Florida area, which acquisition was structured as a sale-leaseback transaction whereby the Company entered into three new 30-year lease agreements which include annual base rent escalations and a repurchase right by the tenant upon completion of the fifth lease year, i.e., on August 1, 2029. Pursuant to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future repurchase rights present in the lease agreements preclude the transaction from being accounted for as a real estate acquisition. Accordingly, for GAAP purposes, the acquisition of the Tampa Properties is accounted for as a financing arrangement, and the related assets and corresponding revenue are included in the Company’s commercial loans and investments on its consolidated balance sheets and consolidated statements of operations. The Company has imputed interest on the 30-year leases which is recognized as interest income from commercial loans and investments on the accompanying consolidated statements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During the year ended December 31, 2023, the Company originated a $24.0 million first mortgage secured by a portfolio of assets and related improvements (the “Mortgage Note”). The Mortgage Note is being repaid by the borrower as the underlying assets within the portfolio are sold. During the year ended December 31, 2024, the Company sold a $13.6 million A-1 participation interest (the “Loan Participation Sale”) in its Mortgage Note, which is entitled to an 8.0% yield on its respective portion of the outstanding principal balance and has priority preference with respect to all principal and interest payments of the Mortgage Note. This sale did not achieve sale accounting pursuant to ASC 860, </w:t>
      </w:r>
      <w:r>
        <w:rPr>
          <w:rFonts w:ascii="Times New Roman" w:cs="Times New Roman" w:eastAsia="Times New Roman" w:hAnsi="Times New Roman"/>
          <w:sz w:val="18"/>
          <w:szCs w:val="18"/>
          <w:i w:val="1"/>
          <w:iCs w:val="1"/>
          <w:color w:val="auto"/>
        </w:rPr>
        <w:t>Transfers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Servicing</w:t>
      </w:r>
      <w:r>
        <w:rPr>
          <w:rFonts w:ascii="Times New Roman" w:cs="Times New Roman" w:eastAsia="Times New Roman" w:hAnsi="Times New Roman"/>
          <w:sz w:val="18"/>
          <w:szCs w:val="18"/>
          <w:color w:val="auto"/>
        </w:rPr>
        <w:t>, and accordingly, is treated as a secured borrowing. See Note 12, “Obligation Under Participation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further information. As of March 31, 2025, after adjusting for the Loan Participation Sale, the Company’s remaining investment in the Mortgage Note is $9.7 million.</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commercial loans and investments were comprised of the following at March 31, 2025 (in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2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Original</w:t>
            </w:r>
          </w:p>
        </w:tc>
        <w:tc>
          <w:tcPr>
            <w:tcW w:w="8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Current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2"/>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w w:val="99"/>
              </w:rPr>
              <w:t>Date of</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w w:val="99"/>
              </w:rPr>
              <w:t>Face</w:t>
            </w:r>
          </w:p>
        </w:tc>
        <w:tc>
          <w:tcPr>
            <w:tcW w:w="80" w:type="dxa"/>
            <w:vAlign w:val="bottom"/>
          </w:tcPr>
          <w:p>
            <w:pPr>
              <w:spacing w:after="0"/>
              <w:rPr>
                <w:sz w:val="14"/>
                <w:szCs w:val="14"/>
                <w:color w:val="auto"/>
              </w:rPr>
            </w:pPr>
          </w:p>
        </w:tc>
        <w:tc>
          <w:tcPr>
            <w:tcW w:w="8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w w:val="99"/>
              </w:rPr>
              <w:t>Face</w:t>
            </w:r>
          </w:p>
        </w:tc>
        <w:tc>
          <w:tcPr>
            <w:tcW w:w="80" w:type="dxa"/>
            <w:vAlign w:val="bottom"/>
          </w:tcPr>
          <w:p>
            <w:pPr>
              <w:spacing w:after="0"/>
              <w:rPr>
                <w:sz w:val="14"/>
                <w:szCs w:val="14"/>
                <w:color w:val="auto"/>
              </w:rPr>
            </w:pPr>
          </w:p>
        </w:tc>
        <w:tc>
          <w:tcPr>
            <w:tcW w:w="8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Carrying</w:t>
            </w:r>
          </w:p>
        </w:tc>
        <w:tc>
          <w:tcPr>
            <w:tcW w:w="880" w:type="dxa"/>
            <w:vAlign w:val="bottom"/>
          </w:tcPr>
          <w:p>
            <w:pPr>
              <w:spacing w:after="0"/>
              <w:rPr>
                <w:sz w:val="14"/>
                <w:szCs w:val="14"/>
                <w:color w:val="auto"/>
              </w:rPr>
            </w:pPr>
          </w:p>
        </w:tc>
      </w:tr>
      <w:tr>
        <w:trPr>
          <w:trHeight w:val="183"/>
        </w:trPr>
        <w:tc>
          <w:tcPr>
            <w:tcW w:w="29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Maturity Date</w:t>
            </w:r>
          </w:p>
        </w:tc>
        <w:tc>
          <w:tcPr>
            <w:tcW w:w="8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8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80" w:type="dxa"/>
            <w:vAlign w:val="bottom"/>
          </w:tcPr>
          <w:p>
            <w:pPr>
              <w:spacing w:after="0"/>
              <w:rPr>
                <w:sz w:val="15"/>
                <w:szCs w:val="15"/>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8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w w:val="99"/>
              </w:rPr>
              <w:t>Coupon Rate</w:t>
            </w:r>
          </w:p>
        </w:tc>
      </w:tr>
      <w:tr>
        <w:trPr>
          <w:trHeight w:val="138"/>
        </w:trPr>
        <w:tc>
          <w:tcPr>
            <w:tcW w:w="2760" w:type="dxa"/>
            <w:vAlign w:val="bottom"/>
            <w:tcBorders>
              <w:top w:val="single" w:sz="8" w:color="auto"/>
            </w:tcBorders>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color w:val="auto"/>
              </w:rPr>
              <w:t>Construction Loan – Wawa Land</w:t>
            </w:r>
          </w:p>
        </w:tc>
        <w:tc>
          <w:tcPr>
            <w:tcW w:w="16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r>
      <w:tr>
        <w:trPr>
          <w:trHeight w:val="179"/>
        </w:trPr>
        <w:tc>
          <w:tcPr>
            <w:tcW w:w="2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Development – Greenwood, IN</w:t>
            </w:r>
          </w:p>
        </w:tc>
        <w:tc>
          <w:tcPr>
            <w:tcW w:w="11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5"/>
                <w:szCs w:val="15"/>
                <w:color w:val="auto"/>
              </w:rPr>
              <w:t>July 2023</w:t>
            </w:r>
          </w:p>
        </w:tc>
        <w:tc>
          <w:tcPr>
            <w:tcW w:w="11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July 2026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14,800</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7,155</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7,149</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9.25%</w:t>
            </w:r>
          </w:p>
        </w:tc>
      </w:tr>
      <w:tr>
        <w:trPr>
          <w:trHeight w:val="145"/>
        </w:trPr>
        <w:tc>
          <w:tcPr>
            <w:tcW w:w="292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5"/>
                <w:szCs w:val="15"/>
                <w:color w:val="auto"/>
              </w:rPr>
              <w:t>Construction Loan – Wawa Land</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79"/>
        </w:trPr>
        <w:tc>
          <w:tcPr>
            <w:tcW w:w="29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Development – Antioch, TN</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October 2023</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October 2026</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6,825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4,709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4,695</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9.50%</w:t>
            </w:r>
          </w:p>
        </w:tc>
      </w:tr>
      <w:tr>
        <w:trPr>
          <w:trHeight w:val="162"/>
        </w:trPr>
        <w:tc>
          <w:tcPr>
            <w:tcW w:w="2920" w:type="dxa"/>
            <w:vAlign w:val="bottom"/>
            <w:gridSpan w:val="3"/>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Mortgage Note – Portfolio</w:t>
            </w:r>
          </w:p>
        </w:tc>
        <w:tc>
          <w:tcPr>
            <w:tcW w:w="118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November 2023</w:t>
            </w:r>
          </w:p>
        </w:tc>
        <w:tc>
          <w:tcPr>
            <w:tcW w:w="118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November 2026</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24,000</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20,321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20,256</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7"/>
              </w:rPr>
              <w:t>9.00%</w:t>
            </w:r>
          </w:p>
        </w:tc>
      </w:tr>
      <w:tr>
        <w:trPr>
          <w:trHeight w:val="145"/>
        </w:trPr>
        <w:tc>
          <w:tcPr>
            <w:tcW w:w="292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5"/>
                <w:szCs w:val="15"/>
                <w:color w:val="auto"/>
              </w:rPr>
              <w:t>Construction Loan – Retail Outparcels –</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79"/>
        </w:trPr>
        <w:tc>
          <w:tcPr>
            <w:tcW w:w="29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Lawrenceville, GA</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January 2024</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January 2026</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7,200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6,618</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6,581</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11.25%</w:t>
            </w:r>
          </w:p>
        </w:tc>
      </w:tr>
      <w:tr>
        <w:trPr>
          <w:trHeight w:val="145"/>
        </w:trPr>
        <w:tc>
          <w:tcPr>
            <w:tcW w:w="292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5"/>
                <w:szCs w:val="15"/>
                <w:color w:val="auto"/>
              </w:rPr>
              <w:t>Construction Loan – Wawa Land</w:t>
            </w: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79"/>
        </w:trPr>
        <w:tc>
          <w:tcPr>
            <w:tcW w:w="2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Development – Mount Carmel, OH</w:t>
            </w:r>
          </w:p>
        </w:tc>
        <w:tc>
          <w:tcPr>
            <w:tcW w:w="11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June 2024</w:t>
            </w:r>
          </w:p>
        </w:tc>
        <w:tc>
          <w:tcPr>
            <w:tcW w:w="11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September 2026</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6,127</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5,810</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5,787</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11.50%</w:t>
            </w:r>
          </w:p>
        </w:tc>
      </w:tr>
      <w:tr>
        <w:trPr>
          <w:trHeight w:val="203"/>
        </w:trPr>
        <w:tc>
          <w:tcPr>
            <w:tcW w:w="29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Sale-Leaseback - Bradenton Beach, FL</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August 2024</w:t>
            </w:r>
          </w:p>
        </w:tc>
        <w:tc>
          <w:tcPr>
            <w:tcW w:w="1180" w:type="dxa"/>
            <w:vAlign w:val="bottom"/>
            <w:gridSpan w:val="2"/>
          </w:tcPr>
          <w:p>
            <w:pPr>
              <w:jc w:val="center"/>
              <w:ind w:right="180"/>
              <w:spacing w:after="0" w:line="203" w:lineRule="exact"/>
              <w:rPr>
                <w:sz w:val="20"/>
                <w:szCs w:val="20"/>
                <w:color w:val="auto"/>
              </w:rPr>
            </w:pPr>
            <w:r>
              <w:rPr>
                <w:rFonts w:ascii="Times New Roman" w:cs="Times New Roman" w:eastAsia="Times New Roman" w:hAnsi="Times New Roman"/>
                <w:sz w:val="15"/>
                <w:szCs w:val="15"/>
                <w:color w:val="auto"/>
                <w:w w:val="97"/>
              </w:rPr>
              <w:t xml:space="preserve">August 2029 </w:t>
            </w:r>
            <w:r>
              <w:rPr>
                <w:rFonts w:ascii="Times New Roman" w:cs="Times New Roman" w:eastAsia="Times New Roman" w:hAnsi="Times New Roman"/>
                <w:sz w:val="22"/>
                <w:szCs w:val="22"/>
                <w:color w:val="auto"/>
                <w:w w:val="97"/>
                <w:vertAlign w:val="superscript"/>
              </w:rPr>
              <w:t>(1)</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9,608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9,569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9,569</w:t>
            </w:r>
          </w:p>
        </w:tc>
        <w:tc>
          <w:tcPr>
            <w:tcW w:w="1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8.30%</w:t>
            </w:r>
          </w:p>
        </w:tc>
      </w:tr>
      <w:tr>
        <w:trPr>
          <w:trHeight w:val="162"/>
        </w:trPr>
        <w:tc>
          <w:tcPr>
            <w:tcW w:w="2920" w:type="dxa"/>
            <w:vAlign w:val="bottom"/>
            <w:gridSpan w:val="3"/>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Sale-Leaseback - Anna Maria, FL</w:t>
            </w:r>
          </w:p>
        </w:tc>
        <w:tc>
          <w:tcPr>
            <w:tcW w:w="118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August 2024</w:t>
            </w:r>
          </w:p>
        </w:tc>
        <w:tc>
          <w:tcPr>
            <w:tcW w:w="1180" w:type="dxa"/>
            <w:vAlign w:val="bottom"/>
            <w:gridSpan w:val="2"/>
            <w:shd w:val="clear" w:color="auto" w:fill="CCEEFF"/>
          </w:tcPr>
          <w:p>
            <w:pPr>
              <w:jc w:val="center"/>
              <w:ind w:right="180"/>
              <w:spacing w:after="0" w:line="162" w:lineRule="exact"/>
              <w:rPr>
                <w:sz w:val="20"/>
                <w:szCs w:val="20"/>
                <w:color w:val="auto"/>
              </w:rPr>
            </w:pPr>
            <w:r>
              <w:rPr>
                <w:rFonts w:ascii="Times New Roman" w:cs="Times New Roman" w:eastAsia="Times New Roman" w:hAnsi="Times New Roman"/>
                <w:sz w:val="13"/>
                <w:szCs w:val="13"/>
                <w:color w:val="auto"/>
              </w:rPr>
              <w:t xml:space="preserve">August 2029 </w:t>
            </w:r>
            <w:r>
              <w:rPr>
                <w:rFonts w:ascii="Times New Roman" w:cs="Times New Roman" w:eastAsia="Times New Roman" w:hAnsi="Times New Roman"/>
                <w:sz w:val="18"/>
                <w:szCs w:val="18"/>
                <w:color w:val="auto"/>
                <w:vertAlign w:val="superscript"/>
              </w:rPr>
              <w:t>(1)</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16,408</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16,341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16,341</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7"/>
              </w:rPr>
              <w:t>8.30%</w:t>
            </w:r>
          </w:p>
        </w:tc>
      </w:tr>
      <w:tr>
        <w:trPr>
          <w:trHeight w:val="162"/>
        </w:trPr>
        <w:tc>
          <w:tcPr>
            <w:tcW w:w="292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5"/>
                <w:szCs w:val="15"/>
                <w:color w:val="auto"/>
              </w:rPr>
              <w:t>Sale-Leaseback - Long Boat Key, FL</w:t>
            </w:r>
          </w:p>
        </w:tc>
        <w:tc>
          <w:tcPr>
            <w:tcW w:w="118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August 2024</w:t>
            </w:r>
          </w:p>
        </w:tc>
        <w:tc>
          <w:tcPr>
            <w:tcW w:w="118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3"/>
                <w:szCs w:val="13"/>
                <w:color w:val="auto"/>
              </w:rPr>
              <w:t xml:space="preserve">August 2029 </w:t>
            </w:r>
            <w:r>
              <w:rPr>
                <w:rFonts w:ascii="Times New Roman" w:cs="Times New Roman" w:eastAsia="Times New Roman" w:hAnsi="Times New Roman"/>
                <w:sz w:val="18"/>
                <w:szCs w:val="18"/>
                <w:color w:val="auto"/>
                <w:vertAlign w:val="superscript"/>
              </w:rPr>
              <w:t>(1)</w:t>
            </w:r>
          </w:p>
        </w:tc>
        <w:tc>
          <w:tcPr>
            <w:tcW w:w="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5,408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5,386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5,386</w:t>
            </w:r>
          </w:p>
        </w:tc>
        <w:tc>
          <w:tcPr>
            <w:tcW w:w="160" w:type="dxa"/>
            <w:vAlign w:val="bottom"/>
          </w:tcPr>
          <w:p>
            <w:pPr>
              <w:spacing w:after="0"/>
              <w:rPr>
                <w:sz w:val="14"/>
                <w:szCs w:val="14"/>
                <w:color w:val="auto"/>
              </w:rPr>
            </w:pPr>
          </w:p>
        </w:tc>
        <w:tc>
          <w:tcPr>
            <w:tcW w:w="8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w w:val="97"/>
              </w:rPr>
              <w:t>8.30%</w:t>
            </w:r>
          </w:p>
        </w:tc>
      </w:tr>
      <w:tr>
        <w:trPr>
          <w:trHeight w:val="145"/>
        </w:trPr>
        <w:tc>
          <w:tcPr>
            <w:tcW w:w="292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5"/>
                <w:szCs w:val="15"/>
                <w:color w:val="auto"/>
              </w:rPr>
              <w:t>Construction Loan – Publix Land</w:t>
            </w: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79"/>
        </w:trPr>
        <w:tc>
          <w:tcPr>
            <w:tcW w:w="2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Development – Charlotte, NC</w:t>
            </w:r>
          </w:p>
        </w:tc>
        <w:tc>
          <w:tcPr>
            <w:tcW w:w="11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5"/>
                <w:szCs w:val="15"/>
                <w:color w:val="auto"/>
              </w:rPr>
              <w:t>September 2024</w:t>
            </w:r>
          </w:p>
        </w:tc>
        <w:tc>
          <w:tcPr>
            <w:tcW w:w="11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September 2025</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28,600</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22,952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22,873</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9.50%</w:t>
            </w:r>
          </w:p>
        </w:tc>
      </w:tr>
      <w:tr>
        <w:trPr>
          <w:trHeight w:val="145"/>
        </w:trPr>
        <w:tc>
          <w:tcPr>
            <w:tcW w:w="292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5"/>
                <w:szCs w:val="15"/>
                <w:color w:val="auto"/>
              </w:rPr>
              <w:t>Mortgage Note – At Home Plaza - North</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79"/>
        </w:trPr>
        <w:tc>
          <w:tcPr>
            <w:tcW w:w="29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Canton, OH</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March 2025</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March 2028</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6,200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6,200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6,200</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8.65%</w:t>
            </w:r>
          </w:p>
        </w:tc>
      </w:tr>
      <w:tr>
        <w:trPr>
          <w:trHeight w:val="145"/>
        </w:trPr>
        <w:tc>
          <w:tcPr>
            <w:tcW w:w="292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5"/>
                <w:szCs w:val="15"/>
                <w:color w:val="auto"/>
              </w:rPr>
              <w:t>Construction Loan – Retail Land</w:t>
            </w: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79"/>
        </w:trPr>
        <w:tc>
          <w:tcPr>
            <w:tcW w:w="2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Development – Palm City, FL</w:t>
            </w:r>
          </w:p>
        </w:tc>
        <w:tc>
          <w:tcPr>
            <w:tcW w:w="11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March 2025</w:t>
            </w:r>
          </w:p>
        </w:tc>
        <w:tc>
          <w:tcPr>
            <w:tcW w:w="11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March 2027</w:t>
            </w: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15,500</w:t>
            </w:r>
          </w:p>
        </w:tc>
        <w:tc>
          <w:tcPr>
            <w:tcW w:w="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6,441</w:t>
            </w: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6,287</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10.00%</w:t>
            </w:r>
          </w:p>
        </w:tc>
      </w:tr>
      <w:tr>
        <w:trPr>
          <w:trHeight w:val="195"/>
        </w:trPr>
        <w:tc>
          <w:tcPr>
            <w:tcW w:w="224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140,676</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111,502</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CCEEFF"/>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111,124</w:t>
            </w:r>
          </w:p>
        </w:tc>
        <w:tc>
          <w:tcPr>
            <w:tcW w:w="16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r>
      <w:tr>
        <w:trPr>
          <w:trHeight w:val="183"/>
        </w:trPr>
        <w:tc>
          <w:tcPr>
            <w:tcW w:w="2920" w:type="dxa"/>
            <w:vAlign w:val="bottom"/>
            <w:tcBorders>
              <w:bottom w:val="single" w:sz="8" w:color="CCEEFF"/>
            </w:tcBorders>
            <w:gridSpan w:val="3"/>
            <w:shd w:val="clear" w:color="auto" w:fill="CCEEFF"/>
          </w:tcPr>
          <w:p>
            <w:pPr>
              <w:ind w:left="20"/>
              <w:spacing w:after="0" w:line="161" w:lineRule="exact"/>
              <w:rPr>
                <w:sz w:val="20"/>
                <w:szCs w:val="20"/>
                <w:color w:val="auto"/>
              </w:rPr>
            </w:pPr>
            <w:r>
              <w:rPr>
                <w:rFonts w:ascii="Times New Roman" w:cs="Times New Roman" w:eastAsia="Times New Roman" w:hAnsi="Times New Roman"/>
                <w:sz w:val="15"/>
                <w:szCs w:val="15"/>
                <w:color w:val="auto"/>
              </w:rPr>
              <w:t>CECL Reserve</w:t>
            </w:r>
          </w:p>
        </w:tc>
        <w:tc>
          <w:tcPr>
            <w:tcW w:w="10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line="161" w:lineRule="exact"/>
              <w:rPr>
                <w:sz w:val="20"/>
                <w:szCs w:val="20"/>
                <w:color w:val="auto"/>
              </w:rPr>
            </w:pPr>
            <w:r>
              <w:rPr>
                <w:rFonts w:ascii="Times New Roman" w:cs="Times New Roman" w:eastAsia="Times New Roman" w:hAnsi="Times New Roman"/>
                <w:sz w:val="15"/>
                <w:szCs w:val="15"/>
                <w:color w:val="auto"/>
              </w:rPr>
              <w:t>(1,115)</w:t>
            </w:r>
          </w:p>
        </w:tc>
        <w:tc>
          <w:tcPr>
            <w:tcW w:w="880" w:type="dxa"/>
            <w:vAlign w:val="bottom"/>
            <w:tcBorders>
              <w:bottom w:val="single" w:sz="8" w:color="CCEEFF"/>
            </w:tcBorders>
            <w:shd w:val="clear" w:color="auto" w:fill="CCEEFF"/>
          </w:tcPr>
          <w:p>
            <w:pPr>
              <w:spacing w:after="0"/>
              <w:rPr>
                <w:sz w:val="15"/>
                <w:szCs w:val="15"/>
                <w:color w:val="auto"/>
              </w:rPr>
            </w:pPr>
          </w:p>
        </w:tc>
      </w:tr>
      <w:tr>
        <w:trPr>
          <w:trHeight w:val="169"/>
        </w:trPr>
        <w:tc>
          <w:tcPr>
            <w:tcW w:w="292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5"/>
                <w:szCs w:val="15"/>
                <w:color w:val="auto"/>
              </w:rPr>
              <w:t>Total Commercial Loans and Investments</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110,009</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
        </w:trPr>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r>
    </w:tbl>
    <w:p>
      <w:pPr>
        <w:spacing w:after="0" w:line="58" w:lineRule="exact"/>
        <w:rPr>
          <w:sz w:val="20"/>
          <w:szCs w:val="20"/>
          <w:color w:val="auto"/>
        </w:rPr>
      </w:pPr>
    </w:p>
    <w:p>
      <w:pPr>
        <w:ind w:left="380" w:hanging="330"/>
        <w:spacing w:after="0"/>
        <w:tabs>
          <w:tab w:leader="none" w:pos="38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maturity date reflects the date the tenant’s repurchase right first becomes exercisable pursuant to the lease agreement.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99" w:firstLine="324"/>
        <w:spacing w:after="0" w:line="282" w:lineRule="auto"/>
        <w:rPr>
          <w:sz w:val="20"/>
          <w:szCs w:val="20"/>
          <w:color w:val="auto"/>
        </w:rPr>
      </w:pPr>
      <w:r>
        <w:rPr>
          <w:rFonts w:ascii="Times New Roman" w:cs="Times New Roman" w:eastAsia="Times New Roman" w:hAnsi="Times New Roman"/>
          <w:sz w:val="18"/>
          <w:szCs w:val="18"/>
          <w:color w:val="auto"/>
        </w:rPr>
        <w:t>The Company’s commercial loans and investments were comprised of the following at December 31, 2024 (in thousands):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2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Original</w:t>
            </w:r>
          </w:p>
        </w:tc>
        <w:tc>
          <w:tcPr>
            <w:tcW w:w="10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Current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62"/>
        </w:trPr>
        <w:tc>
          <w:tcPr>
            <w:tcW w:w="2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Date of</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w w:val="99"/>
              </w:rPr>
              <w:t>Face</w:t>
            </w:r>
          </w:p>
        </w:tc>
        <w:tc>
          <w:tcPr>
            <w:tcW w:w="100" w:type="dxa"/>
            <w:vAlign w:val="bottom"/>
          </w:tcPr>
          <w:p>
            <w:pPr>
              <w:spacing w:after="0"/>
              <w:rPr>
                <w:sz w:val="14"/>
                <w:szCs w:val="14"/>
                <w:color w:val="auto"/>
              </w:rPr>
            </w:pPr>
          </w:p>
        </w:tc>
        <w:tc>
          <w:tcPr>
            <w:tcW w:w="8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Face</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b w:val="1"/>
                <w:bCs w:val="1"/>
                <w:color w:val="auto"/>
                <w:w w:val="97"/>
              </w:rPr>
              <w:t>Carrying</w:t>
            </w:r>
          </w:p>
        </w:tc>
        <w:tc>
          <w:tcPr>
            <w:tcW w:w="860" w:type="dxa"/>
            <w:vAlign w:val="bottom"/>
          </w:tcPr>
          <w:p>
            <w:pPr>
              <w:spacing w:after="0"/>
              <w:rPr>
                <w:sz w:val="14"/>
                <w:szCs w:val="14"/>
                <w:color w:val="auto"/>
              </w:rPr>
            </w:pPr>
          </w:p>
        </w:tc>
      </w:tr>
      <w:tr>
        <w:trPr>
          <w:trHeight w:val="183"/>
        </w:trPr>
        <w:tc>
          <w:tcPr>
            <w:tcW w:w="29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Maturity Date</w:t>
            </w:r>
          </w:p>
        </w:tc>
        <w:tc>
          <w:tcPr>
            <w:tcW w:w="10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8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8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w w:val="99"/>
              </w:rPr>
              <w:t>Coupon Rate</w:t>
            </w:r>
          </w:p>
        </w:tc>
      </w:tr>
      <w:tr>
        <w:trPr>
          <w:trHeight w:val="138"/>
        </w:trPr>
        <w:tc>
          <w:tcPr>
            <w:tcW w:w="2740" w:type="dxa"/>
            <w:vAlign w:val="bottom"/>
            <w:tcBorders>
              <w:top w:val="single" w:sz="8" w:color="auto"/>
            </w:tcBorders>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color w:val="auto"/>
              </w:rPr>
              <w:t>Construction Loan – Wawa Land</w:t>
            </w:r>
          </w:p>
        </w:tc>
        <w:tc>
          <w:tcPr>
            <w:tcW w:w="1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r>
      <w:tr>
        <w:trPr>
          <w:trHeight w:val="179"/>
        </w:trPr>
        <w:tc>
          <w:tcPr>
            <w:tcW w:w="2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Development – Greenwood, IN</w:t>
            </w:r>
          </w:p>
        </w:tc>
        <w:tc>
          <w:tcPr>
            <w:tcW w:w="11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July 2023</w:t>
            </w:r>
          </w:p>
        </w:tc>
        <w:tc>
          <w:tcPr>
            <w:tcW w:w="11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5"/>
                <w:szCs w:val="15"/>
                <w:color w:val="auto"/>
              </w:rPr>
              <w:t>July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7,800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7,149</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7,138</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9.25%</w:t>
            </w:r>
          </w:p>
        </w:tc>
      </w:tr>
      <w:tr>
        <w:trPr>
          <w:trHeight w:val="145"/>
        </w:trPr>
        <w:tc>
          <w:tcPr>
            <w:tcW w:w="292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5"/>
                <w:szCs w:val="15"/>
                <w:color w:val="auto"/>
              </w:rPr>
              <w:t>Construction Loan – Wawa Land</w:t>
            </w: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79"/>
        </w:trPr>
        <w:tc>
          <w:tcPr>
            <w:tcW w:w="29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Development – Antioch, TN</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October 2023</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October 2025</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6,825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4,694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4,673</w:t>
            </w:r>
          </w:p>
        </w:tc>
        <w:tc>
          <w:tcPr>
            <w:tcW w:w="1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9.50%</w:t>
            </w:r>
          </w:p>
        </w:tc>
      </w:tr>
      <w:tr>
        <w:trPr>
          <w:trHeight w:val="162"/>
        </w:trPr>
        <w:tc>
          <w:tcPr>
            <w:tcW w:w="2920" w:type="dxa"/>
            <w:vAlign w:val="bottom"/>
            <w:gridSpan w:val="3"/>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Mortgage Note – Portfolio</w:t>
            </w:r>
          </w:p>
        </w:tc>
        <w:tc>
          <w:tcPr>
            <w:tcW w:w="116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November 2023</w:t>
            </w:r>
          </w:p>
        </w:tc>
        <w:tc>
          <w:tcPr>
            <w:tcW w:w="118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November 2026</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24,000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21,140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21,066</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9.00%</w:t>
            </w:r>
          </w:p>
        </w:tc>
      </w:tr>
      <w:tr>
        <w:trPr>
          <w:trHeight w:val="145"/>
        </w:trPr>
        <w:tc>
          <w:tcPr>
            <w:tcW w:w="292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5"/>
                <w:szCs w:val="15"/>
                <w:color w:val="auto"/>
              </w:rPr>
              <w:t>Construction Loan – Retail Outparcels –</w:t>
            </w: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79"/>
        </w:trPr>
        <w:tc>
          <w:tcPr>
            <w:tcW w:w="29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Lawrenceville, GA</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January 2024</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January 2026</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7,200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6,618</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6,569</w:t>
            </w:r>
          </w:p>
        </w:tc>
        <w:tc>
          <w:tcPr>
            <w:tcW w:w="1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11.25%</w:t>
            </w:r>
          </w:p>
        </w:tc>
      </w:tr>
      <w:tr>
        <w:trPr>
          <w:trHeight w:val="145"/>
        </w:trPr>
        <w:tc>
          <w:tcPr>
            <w:tcW w:w="292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5"/>
                <w:szCs w:val="15"/>
                <w:color w:val="auto"/>
              </w:rPr>
              <w:t>Construction Loan – Wawa Land</w:t>
            </w: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79"/>
        </w:trPr>
        <w:tc>
          <w:tcPr>
            <w:tcW w:w="2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Development – Mount Carmel, OH</w:t>
            </w:r>
          </w:p>
        </w:tc>
        <w:tc>
          <w:tcPr>
            <w:tcW w:w="11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June 2024</w:t>
            </w:r>
          </w:p>
        </w:tc>
        <w:tc>
          <w:tcPr>
            <w:tcW w:w="11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5"/>
                <w:szCs w:val="15"/>
                <w:color w:val="auto"/>
              </w:rPr>
              <w:t>September 2025</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6,127</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5,196</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5,162</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11.50%</w:t>
            </w:r>
          </w:p>
        </w:tc>
      </w:tr>
      <w:tr>
        <w:trPr>
          <w:trHeight w:val="203"/>
        </w:trPr>
        <w:tc>
          <w:tcPr>
            <w:tcW w:w="29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Sale-Leaseback - Bradenton Beach, FL</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August 2024</w:t>
            </w:r>
          </w:p>
        </w:tc>
        <w:tc>
          <w:tcPr>
            <w:tcW w:w="1180" w:type="dxa"/>
            <w:vAlign w:val="bottom"/>
            <w:gridSpan w:val="2"/>
          </w:tcPr>
          <w:p>
            <w:pPr>
              <w:jc w:val="center"/>
              <w:ind w:right="140"/>
              <w:spacing w:after="0" w:line="203" w:lineRule="exact"/>
              <w:rPr>
                <w:sz w:val="20"/>
                <w:szCs w:val="20"/>
                <w:color w:val="auto"/>
              </w:rPr>
            </w:pPr>
            <w:r>
              <w:rPr>
                <w:rFonts w:ascii="Times New Roman" w:cs="Times New Roman" w:eastAsia="Times New Roman" w:hAnsi="Times New Roman"/>
                <w:sz w:val="15"/>
                <w:szCs w:val="15"/>
                <w:color w:val="auto"/>
                <w:w w:val="97"/>
              </w:rPr>
              <w:t xml:space="preserve">August 2029 </w:t>
            </w:r>
            <w:r>
              <w:rPr>
                <w:rFonts w:ascii="Times New Roman" w:cs="Times New Roman" w:eastAsia="Times New Roman" w:hAnsi="Times New Roman"/>
                <w:sz w:val="22"/>
                <w:szCs w:val="22"/>
                <w:color w:val="auto"/>
                <w:w w:val="97"/>
                <w:vertAlign w:val="superscript"/>
              </w:rPr>
              <w:t>(1)</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9,608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9,586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9,586</w:t>
            </w:r>
          </w:p>
        </w:tc>
        <w:tc>
          <w:tcPr>
            <w:tcW w:w="16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8.30%</w:t>
            </w:r>
          </w:p>
        </w:tc>
      </w:tr>
      <w:tr>
        <w:trPr>
          <w:trHeight w:val="162"/>
        </w:trPr>
        <w:tc>
          <w:tcPr>
            <w:tcW w:w="2920" w:type="dxa"/>
            <w:vAlign w:val="bottom"/>
            <w:gridSpan w:val="3"/>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Sale-Leaseback - Anna Maria, FL</w:t>
            </w:r>
          </w:p>
        </w:tc>
        <w:tc>
          <w:tcPr>
            <w:tcW w:w="116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August 2024</w:t>
            </w:r>
          </w:p>
        </w:tc>
        <w:tc>
          <w:tcPr>
            <w:tcW w:w="1180" w:type="dxa"/>
            <w:vAlign w:val="bottom"/>
            <w:gridSpan w:val="2"/>
            <w:shd w:val="clear" w:color="auto" w:fill="CCEEFF"/>
          </w:tcPr>
          <w:p>
            <w:pPr>
              <w:jc w:val="center"/>
              <w:ind w:right="140"/>
              <w:spacing w:after="0" w:line="162" w:lineRule="exact"/>
              <w:rPr>
                <w:sz w:val="20"/>
                <w:szCs w:val="20"/>
                <w:color w:val="auto"/>
              </w:rPr>
            </w:pPr>
            <w:r>
              <w:rPr>
                <w:rFonts w:ascii="Times New Roman" w:cs="Times New Roman" w:eastAsia="Times New Roman" w:hAnsi="Times New Roman"/>
                <w:sz w:val="13"/>
                <w:szCs w:val="13"/>
                <w:color w:val="auto"/>
              </w:rPr>
              <w:t xml:space="preserve">August 2029 </w:t>
            </w:r>
            <w:r>
              <w:rPr>
                <w:rFonts w:ascii="Times New Roman" w:cs="Times New Roman" w:eastAsia="Times New Roman" w:hAnsi="Times New Roman"/>
                <w:sz w:val="18"/>
                <w:szCs w:val="18"/>
                <w:color w:val="auto"/>
                <w:vertAlign w:val="superscript"/>
              </w:rPr>
              <w:t>(1)</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16,408</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16,371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16,371</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8.30%</w:t>
            </w:r>
          </w:p>
        </w:tc>
      </w:tr>
      <w:tr>
        <w:trPr>
          <w:trHeight w:val="162"/>
        </w:trPr>
        <w:tc>
          <w:tcPr>
            <w:tcW w:w="292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5"/>
                <w:szCs w:val="15"/>
                <w:color w:val="auto"/>
              </w:rPr>
              <w:t>Sale-Leaseback - Long Boat Key, FL</w:t>
            </w:r>
          </w:p>
        </w:tc>
        <w:tc>
          <w:tcPr>
            <w:tcW w:w="11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August 2024</w:t>
            </w:r>
          </w:p>
        </w:tc>
        <w:tc>
          <w:tcPr>
            <w:tcW w:w="11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3"/>
                <w:szCs w:val="13"/>
                <w:color w:val="auto"/>
              </w:rPr>
              <w:t xml:space="preserve">August 2029 </w:t>
            </w:r>
            <w:r>
              <w:rPr>
                <w:rFonts w:ascii="Times New Roman" w:cs="Times New Roman" w:eastAsia="Times New Roman" w:hAnsi="Times New Roman"/>
                <w:sz w:val="18"/>
                <w:szCs w:val="18"/>
                <w:color w:val="auto"/>
                <w:vertAlign w:val="superscript"/>
              </w:rPr>
              <w:t>(1)</w:t>
            </w:r>
          </w:p>
        </w:tc>
        <w:tc>
          <w:tcPr>
            <w:tcW w:w="10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5,408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5,396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5,396</w:t>
            </w:r>
          </w:p>
        </w:tc>
        <w:tc>
          <w:tcPr>
            <w:tcW w:w="160" w:type="dxa"/>
            <w:vAlign w:val="bottom"/>
          </w:tcPr>
          <w:p>
            <w:pPr>
              <w:spacing w:after="0"/>
              <w:rPr>
                <w:sz w:val="14"/>
                <w:szCs w:val="14"/>
                <w:color w:val="auto"/>
              </w:rPr>
            </w:pPr>
          </w:p>
        </w:tc>
        <w:tc>
          <w:tcPr>
            <w:tcW w:w="8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8.30%</w:t>
            </w:r>
          </w:p>
        </w:tc>
      </w:tr>
      <w:tr>
        <w:trPr>
          <w:trHeight w:val="145"/>
        </w:trPr>
        <w:tc>
          <w:tcPr>
            <w:tcW w:w="292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5"/>
                <w:szCs w:val="15"/>
                <w:color w:val="auto"/>
              </w:rPr>
              <w:t>Construction Loan – Publix Land</w:t>
            </w: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79"/>
        </w:trPr>
        <w:tc>
          <w:tcPr>
            <w:tcW w:w="2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Development – Charlotte, NC</w:t>
            </w:r>
          </w:p>
        </w:tc>
        <w:tc>
          <w:tcPr>
            <w:tcW w:w="11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September 2024</w:t>
            </w:r>
          </w:p>
        </w:tc>
        <w:tc>
          <w:tcPr>
            <w:tcW w:w="11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5"/>
                <w:szCs w:val="15"/>
                <w:color w:val="auto"/>
              </w:rPr>
              <w:t>September 2025</w:t>
            </w: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17,760</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14,640</w:t>
            </w: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14,576</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9.50%</w:t>
            </w:r>
          </w:p>
        </w:tc>
      </w:tr>
      <w:tr>
        <w:trPr>
          <w:trHeight w:val="196"/>
        </w:trPr>
        <w:tc>
          <w:tcPr>
            <w:tcW w:w="224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101,136</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90,790</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CCEEFF"/>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90,537</w:t>
            </w:r>
          </w:p>
        </w:tc>
        <w:tc>
          <w:tcPr>
            <w:tcW w:w="16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r>
      <w:tr>
        <w:trPr>
          <w:trHeight w:val="156"/>
        </w:trPr>
        <w:tc>
          <w:tcPr>
            <w:tcW w:w="2920" w:type="dxa"/>
            <w:vAlign w:val="bottom"/>
            <w:gridSpan w:val="3"/>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CECL Reserve</w:t>
            </w: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(908)</w:t>
            </w:r>
          </w:p>
        </w:tc>
        <w:tc>
          <w:tcPr>
            <w:tcW w:w="860" w:type="dxa"/>
            <w:vAlign w:val="bottom"/>
            <w:shd w:val="clear" w:color="auto" w:fill="CCEEFF"/>
          </w:tcPr>
          <w:p>
            <w:pPr>
              <w:spacing w:after="0"/>
              <w:rPr>
                <w:sz w:val="13"/>
                <w:szCs w:val="13"/>
                <w:color w:val="auto"/>
              </w:rPr>
            </w:pPr>
          </w:p>
        </w:tc>
      </w:tr>
      <w:tr>
        <w:trPr>
          <w:trHeight w:val="169"/>
        </w:trPr>
        <w:tc>
          <w:tcPr>
            <w:tcW w:w="292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5"/>
                <w:szCs w:val="15"/>
                <w:color w:val="auto"/>
              </w:rPr>
              <w:t>Total Commercial Loans and Investments</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89,629</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
        </w:trPr>
        <w:tc>
          <w:tcPr>
            <w:tcW w:w="2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r>
    </w:tbl>
    <w:p>
      <w:pPr>
        <w:spacing w:after="0" w:line="58" w:lineRule="exact"/>
        <w:rPr>
          <w:sz w:val="20"/>
          <w:szCs w:val="20"/>
          <w:color w:val="auto"/>
        </w:rPr>
      </w:pPr>
    </w:p>
    <w:p>
      <w:pPr>
        <w:ind w:left="380" w:hanging="330"/>
        <w:spacing w:after="0"/>
        <w:tabs>
          <w:tab w:leader="none" w:pos="38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maturity date reflects the date the tenant’s repurchase right first becomes exercisable pursuant to the lease agreement.</w:t>
      </w:r>
    </w:p>
    <w:p>
      <w:pPr>
        <w:spacing w:after="0" w:line="208" w:lineRule="exact"/>
        <w:rPr>
          <w:sz w:val="20"/>
          <w:szCs w:val="20"/>
          <w:color w:val="auto"/>
        </w:rPr>
      </w:pPr>
    </w:p>
    <w:p>
      <w:pPr>
        <w:ind w:left="60" w:right="639" w:firstLine="389"/>
        <w:spacing w:after="0" w:line="282" w:lineRule="auto"/>
        <w:rPr>
          <w:sz w:val="20"/>
          <w:szCs w:val="20"/>
          <w:color w:val="auto"/>
        </w:rPr>
      </w:pPr>
      <w:r>
        <w:rPr>
          <w:rFonts w:ascii="Times New Roman" w:cs="Times New Roman" w:eastAsia="Times New Roman" w:hAnsi="Times New Roman"/>
          <w:sz w:val="18"/>
          <w:szCs w:val="18"/>
          <w:color w:val="auto"/>
        </w:rPr>
        <w:t>The carrying value of the commercial loans and investments consisted of the following at March 31, 2025 and December 31, 2024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5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 w:type="dxa"/>
            <w:vAlign w:val="bottom"/>
          </w:tcPr>
          <w:p>
            <w:pPr>
              <w:spacing w:after="0"/>
              <w:rPr>
                <w:sz w:val="18"/>
                <w:szCs w:val="18"/>
                <w:color w:val="auto"/>
              </w:rPr>
            </w:pPr>
          </w:p>
        </w:tc>
      </w:tr>
      <w:tr>
        <w:trPr>
          <w:trHeight w:val="210"/>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Face Amount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111,502</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90,790</w:t>
            </w:r>
          </w:p>
        </w:tc>
        <w:tc>
          <w:tcPr>
            <w:tcW w:w="20" w:type="dxa"/>
            <w:vAlign w:val="bottom"/>
          </w:tcPr>
          <w:p>
            <w:pPr>
              <w:spacing w:after="0"/>
              <w:rPr>
                <w:sz w:val="18"/>
                <w:szCs w:val="18"/>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Unaccreted Origination Fees</w:t>
            </w:r>
          </w:p>
        </w:tc>
        <w:tc>
          <w:tcPr>
            <w:tcW w:w="1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(378)</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 w:type="dxa"/>
            <w:vAlign w:val="bottom"/>
          </w:tcPr>
          <w:p>
            <w:pPr>
              <w:spacing w:after="0"/>
              <w:rPr>
                <w:sz w:val="18"/>
                <w:szCs w:val="18"/>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CECL Reserve</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(1,115)</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0" w:type="dxa"/>
            <w:vAlign w:val="bottom"/>
          </w:tcPr>
          <w:p>
            <w:pPr>
              <w:spacing w:after="0"/>
              <w:rPr>
                <w:sz w:val="18"/>
                <w:szCs w:val="18"/>
                <w:color w:val="auto"/>
              </w:rPr>
            </w:pPr>
          </w:p>
        </w:tc>
      </w:tr>
      <w:tr>
        <w:trPr>
          <w:trHeight w:val="20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Commercial Loans and Investments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110,009</w:t>
            </w:r>
          </w:p>
        </w:tc>
        <w:tc>
          <w:tcPr>
            <w:tcW w:w="2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89,629</w:t>
            </w:r>
          </w:p>
        </w:tc>
        <w:tc>
          <w:tcPr>
            <w:tcW w:w="2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5. FAIR VALUE OF FINANCIAL INSTRUMENTS</w:t>
      </w:r>
    </w:p>
    <w:p>
      <w:pPr>
        <w:spacing w:after="0" w:line="216" w:lineRule="exact"/>
        <w:rPr>
          <w:sz w:val="20"/>
          <w:szCs w:val="20"/>
          <w:color w:val="auto"/>
        </w:rPr>
      </w:pPr>
    </w:p>
    <w:p>
      <w:pPr>
        <w:jc w:val="both"/>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The following table presents the carrying value and estimated fair value of the Company’s financial instruments not carried at fair value on the consolidated balance sheets at March 31, 2025 and December 31, 2024 (in thousands):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80" w:type="dxa"/>
            <w:vAlign w:val="bottom"/>
          </w:tcPr>
          <w:p>
            <w:pPr>
              <w:spacing w:after="0"/>
              <w:rPr>
                <w:sz w:val="20"/>
                <w:szCs w:val="20"/>
                <w:color w:val="auto"/>
              </w:rPr>
            </w:pPr>
          </w:p>
        </w:tc>
        <w:tc>
          <w:tcPr>
            <w:tcW w:w="2620" w:type="dxa"/>
            <w:vAlign w:val="bottom"/>
            <w:gridSpan w:val="4"/>
          </w:tcPr>
          <w:p>
            <w:pPr>
              <w:jc w:val="right"/>
              <w:ind w:right="533"/>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80"/>
        </w:trPr>
        <w:tc>
          <w:tcPr>
            <w:tcW w:w="3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ind w:left="100"/>
              <w:spacing w:after="0" w:line="181"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193"/>
              <w:spacing w:after="0" w:line="181" w:lineRule="exact"/>
              <w:rPr>
                <w:sz w:val="20"/>
                <w:szCs w:val="20"/>
                <w:color w:val="auto"/>
              </w:rPr>
            </w:pPr>
            <w:r>
              <w:rPr>
                <w:rFonts w:ascii="Times New Roman" w:cs="Times New Roman" w:eastAsia="Times New Roman" w:hAnsi="Times New Roman"/>
                <w:sz w:val="16"/>
                <w:szCs w:val="16"/>
                <w:b w:val="1"/>
                <w:bCs w:val="1"/>
                <w:color w:val="auto"/>
              </w:rPr>
              <w:t>Estimated</w:t>
            </w:r>
          </w:p>
        </w:tc>
      </w:tr>
      <w:tr>
        <w:trPr>
          <w:trHeight w:val="215"/>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18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180" w:type="dxa"/>
            <w:vAlign w:val="bottom"/>
          </w:tcPr>
          <w:p>
            <w:pPr>
              <w:spacing w:after="0"/>
              <w:rPr>
                <w:sz w:val="18"/>
                <w:szCs w:val="18"/>
                <w:color w:val="auto"/>
              </w:rPr>
            </w:pPr>
          </w:p>
        </w:tc>
        <w:tc>
          <w:tcPr>
            <w:tcW w:w="110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3"/>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 Level 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 Level 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w:t>
            </w:r>
          </w:p>
        </w:tc>
      </w:tr>
      <w:tr>
        <w:trPr>
          <w:trHeight w:val="198"/>
        </w:trPr>
        <w:tc>
          <w:tcPr>
            <w:tcW w:w="33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Commercial Loans and Investments - Level</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4"/>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110,009</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120,753</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89,629</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98,830</w:t>
            </w:r>
          </w:p>
        </w:tc>
      </w:tr>
      <w:tr>
        <w:trPr>
          <w:trHeight w:val="198"/>
        </w:trPr>
        <w:tc>
          <w:tcPr>
            <w:tcW w:w="33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Obligation Under Participation Agreement</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Level 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10,584</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10,719</w:t>
            </w:r>
          </w:p>
        </w:tc>
        <w:tc>
          <w:tcPr>
            <w:tcW w:w="1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11,558</w:t>
            </w: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 Level 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356,511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351,205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301,466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294,808</w:t>
            </w:r>
          </w:p>
        </w:tc>
      </w:tr>
    </w:tbl>
    <w:p>
      <w:pPr>
        <w:spacing w:after="0" w:line="225" w:lineRule="exact"/>
        <w:rPr>
          <w:sz w:val="20"/>
          <w:szCs w:val="20"/>
          <w:color w:val="auto"/>
        </w:rPr>
      </w:pPr>
    </w:p>
    <w:p>
      <w:pPr>
        <w:jc w:val="both"/>
        <w:ind w:left="60" w:right="59" w:firstLine="324"/>
        <w:spacing w:after="0" w:line="242" w:lineRule="auto"/>
        <w:rPr>
          <w:sz w:val="20"/>
          <w:szCs w:val="20"/>
          <w:color w:val="auto"/>
        </w:rPr>
      </w:pPr>
      <w:r>
        <w:rPr>
          <w:rFonts w:ascii="Times New Roman" w:cs="Times New Roman" w:eastAsia="Times New Roman" w:hAnsi="Times New Roman"/>
          <w:sz w:val="18"/>
          <w:szCs w:val="18"/>
          <w:color w:val="auto"/>
        </w:rPr>
        <w:t>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324"/>
        <w:spacing w:after="0" w:line="242" w:lineRule="auto"/>
        <w:rPr>
          <w:sz w:val="20"/>
          <w:szCs w:val="20"/>
          <w:color w:val="auto"/>
        </w:rPr>
      </w:pPr>
      <w:r>
        <w:rPr>
          <w:rFonts w:ascii="Times New Roman" w:cs="Times New Roman" w:eastAsia="Times New Roman" w:hAnsi="Times New Roman"/>
          <w:sz w:val="18"/>
          <w:szCs w:val="18"/>
          <w:color w:val="auto"/>
        </w:rPr>
        <w:t>The following tables present the fair value of assets measured on a recurring basis by level as of March 31, 2025 and December 31, 2024 (in thousands). See Note 14, “Interest Rate Swaps” for further disclosure related to the Company’s interest rate swaps.</w:t>
      </w:r>
    </w:p>
    <w:p>
      <w:pPr>
        <w:spacing w:after="0" w:line="16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Fair Value at Reporting Date Using</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7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Borders>
              <w:top w:val="single" w:sz="8" w:color="auto"/>
            </w:tcBorders>
            <w:gridSpan w:val="3"/>
          </w:tcPr>
          <w:p>
            <w:pPr>
              <w:jc w:val="center"/>
              <w:ind w:right="140"/>
              <w:spacing w:after="0" w:line="181" w:lineRule="exact"/>
              <w:rPr>
                <w:sz w:val="20"/>
                <w:szCs w:val="20"/>
                <w:color w:val="auto"/>
              </w:rPr>
            </w:pPr>
            <w:r>
              <w:rPr>
                <w:rFonts w:ascii="Times New Roman" w:cs="Times New Roman" w:eastAsia="Times New Roman" w:hAnsi="Times New Roman"/>
                <w:sz w:val="16"/>
                <w:szCs w:val="16"/>
                <w:b w:val="1"/>
                <w:bCs w:val="1"/>
                <w:color w:val="auto"/>
              </w:rPr>
              <w:t>Quoted Prices in</w:t>
            </w: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r>
      <w:tr>
        <w:trPr>
          <w:trHeight w:val="203"/>
        </w:trPr>
        <w:tc>
          <w:tcPr>
            <w:tcW w:w="7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Active Markets</w:t>
            </w:r>
          </w:p>
        </w:tc>
        <w:tc>
          <w:tcPr>
            <w:tcW w:w="14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3"/>
        </w:trPr>
        <w:tc>
          <w:tcPr>
            <w:tcW w:w="7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 Identical</w:t>
            </w:r>
          </w:p>
        </w:tc>
        <w:tc>
          <w:tcPr>
            <w:tcW w:w="16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100" w:type="dxa"/>
            <w:vAlign w:val="bottom"/>
          </w:tcPr>
          <w:p>
            <w:pPr>
              <w:spacing w:after="0"/>
              <w:rPr>
                <w:sz w:val="17"/>
                <w:szCs w:val="17"/>
                <w:color w:val="auto"/>
              </w:rPr>
            </w:pPr>
          </w:p>
        </w:tc>
        <w:tc>
          <w:tcPr>
            <w:tcW w:w="118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Unobservable</w:t>
            </w:r>
          </w:p>
        </w:tc>
      </w:tr>
      <w:tr>
        <w:trPr>
          <w:trHeight w:val="215"/>
        </w:trPr>
        <w:tc>
          <w:tcPr>
            <w:tcW w:w="7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Assets (Level 1)</w:t>
            </w:r>
          </w:p>
        </w:tc>
        <w:tc>
          <w:tcPr>
            <w:tcW w:w="14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Inputs (Level 2)</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Inputs (Level 3)</w:t>
            </w:r>
          </w:p>
        </w:tc>
      </w:tr>
      <w:tr>
        <w:trPr>
          <w:trHeight w:val="213"/>
        </w:trPr>
        <w:tc>
          <w:tcPr>
            <w:tcW w:w="33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2026</w:t>
            </w:r>
          </w:p>
        </w:tc>
        <w:tc>
          <w:tcPr>
            <w:tcW w:w="266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Term Loan Interest Rate Swap </w:t>
            </w:r>
            <w:r>
              <w:rPr>
                <w:rFonts w:ascii="Times New Roman" w:cs="Times New Roman" w:eastAsia="Times New Roman" w:hAnsi="Times New Roman"/>
                <w:sz w:val="25"/>
                <w:szCs w:val="25"/>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2027</w:t>
            </w:r>
          </w:p>
        </w:tc>
        <w:tc>
          <w:tcPr>
            <w:tcW w:w="26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Term Loan Interest Rate Swap </w:t>
            </w:r>
            <w:r>
              <w:rPr>
                <w:rFonts w:ascii="Times New Roman" w:cs="Times New Roman" w:eastAsia="Times New Roman" w:hAnsi="Times New Roman"/>
                <w:sz w:val="25"/>
                <w:szCs w:val="25"/>
                <w:color w:val="auto"/>
                <w:vertAlign w:val="superscript"/>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gridSpan w:val="2"/>
          </w:tcPr>
          <w:p>
            <w:pPr>
              <w:ind w:left="340"/>
              <w:spacing w:after="0" w:line="216" w:lineRule="exact"/>
              <w:rPr>
                <w:sz w:val="20"/>
                <w:szCs w:val="20"/>
                <w:color w:val="auto"/>
              </w:rPr>
            </w:pPr>
            <w:r>
              <w:rPr>
                <w:rFonts w:ascii="Times New Roman" w:cs="Times New Roman" w:eastAsia="Times New Roman" w:hAnsi="Times New Roman"/>
                <w:sz w:val="17"/>
                <w:szCs w:val="17"/>
                <w:color w:val="auto"/>
              </w:rPr>
              <w:t xml:space="preserve">Credit Facility Interest Rate Swap </w:t>
            </w:r>
            <w:r>
              <w:rPr>
                <w:rFonts w:ascii="Times New Roman" w:cs="Times New Roman" w:eastAsia="Times New Roman" w:hAnsi="Times New Roman"/>
                <w:sz w:val="25"/>
                <w:szCs w:val="25"/>
                <w:color w:val="auto"/>
                <w:vertAlign w:val="superscript"/>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2026</w:t>
            </w:r>
          </w:p>
        </w:tc>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Interest Rate Swap</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2027</w:t>
            </w:r>
          </w:p>
        </w:tc>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Interest Rate Swap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Credit Facility Interest Rate Swap</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41" w:lineRule="exact"/>
        <w:rPr>
          <w:sz w:val="20"/>
          <w:szCs w:val="20"/>
          <w:color w:val="auto"/>
        </w:rPr>
      </w:pPr>
    </w:p>
    <w:p>
      <w:pPr>
        <w:jc w:val="both"/>
        <w:ind w:left="380" w:right="79" w:hanging="330"/>
        <w:spacing w:after="0" w:line="229" w:lineRule="auto"/>
        <w:tabs>
          <w:tab w:leader="none" w:pos="38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March 31, 2025, the Company has utilized interest rate swaps to fix SOFR and achieve a weighted average fixed interest rate of 2.05% plus 0.10% and the applicable spread on the $100.0 million 2026 Term Loan (hereinafter defined) balance. See Note 14, “Interest Rate Swaps” for further disclosure related to the Company’s interest rate swaps.</w:t>
      </w:r>
    </w:p>
    <w:p>
      <w:pPr>
        <w:jc w:val="both"/>
        <w:ind w:left="380" w:right="79" w:hanging="330"/>
        <w:spacing w:after="0" w:line="221" w:lineRule="auto"/>
        <w:tabs>
          <w:tab w:leader="none" w:pos="38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March 31, 2025, the Company has utilized interest rate swaps to fix SOFR and achieve a weighted average fixed interest rate of 2.05% plus 0.10% and the applicable spread on the $100.0 million 2027 Term Loan (hereinafter defined) balance. See Note 14, “Interest Rate Swaps” for further disclosure related to the Company’s interest rate swaps.</w:t>
      </w:r>
    </w:p>
    <w:p>
      <w:pPr>
        <w:jc w:val="both"/>
        <w:ind w:left="380" w:right="79" w:hanging="330"/>
        <w:spacing w:after="0" w:line="233" w:lineRule="auto"/>
        <w:tabs>
          <w:tab w:leader="none" w:pos="38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March 31, 2025, the Company utilized an interest rate swap to fix SOFR and achieve a fixed interest rate of 3.21% plus 0.10% and the applicable spread on $50.0 million of the outstanding balance on the Credit Facility (hereinafter defined). See Note 14, “Interest Rate Swaps” for further disclosure related to the Company’s interest rate swaps.</w:t>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6. INTANGIBLE ASSETS AND LIABILITIES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Intangible assets and liabilities consist of the value of above-market and below-market leases, the value of in-place leases, and the value of leasing costs. Intangible assets and liabilities consisted of the following as of March 31, 2025 and December 31, 2024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5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 w:type="dxa"/>
            <w:vAlign w:val="bottom"/>
          </w:tcPr>
          <w:p>
            <w:pPr>
              <w:spacing w:after="0"/>
              <w:rPr>
                <w:sz w:val="18"/>
                <w:szCs w:val="18"/>
                <w:color w:val="auto"/>
              </w:rPr>
            </w:pPr>
          </w:p>
        </w:tc>
      </w:tr>
      <w:tr>
        <w:trPr>
          <w:trHeight w:val="210"/>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Lease Assets:</w:t>
            </w: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Value of In-Place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50,210</w:t>
            </w:r>
          </w:p>
        </w:tc>
        <w:tc>
          <w:tcPr>
            <w:tcW w:w="200" w:type="dxa"/>
            <w:vAlign w:val="bottom"/>
          </w:tcPr>
          <w:p>
            <w:pPr>
              <w:spacing w:after="0"/>
              <w:rPr>
                <w:sz w:val="18"/>
                <w:szCs w:val="18"/>
                <w:color w:val="auto"/>
              </w:rPr>
            </w:pPr>
          </w:p>
        </w:tc>
        <w:tc>
          <w:tcPr>
            <w:tcW w:w="54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48,768</w:t>
            </w:r>
          </w:p>
        </w:tc>
        <w:tc>
          <w:tcPr>
            <w:tcW w:w="20" w:type="dxa"/>
            <w:vAlign w:val="bottom"/>
          </w:tcPr>
          <w:p>
            <w:pPr>
              <w:spacing w:after="0"/>
              <w:rPr>
                <w:sz w:val="18"/>
                <w:szCs w:val="18"/>
                <w:color w:val="auto"/>
              </w:rPr>
            </w:pPr>
          </w:p>
        </w:tc>
      </w:tr>
      <w:tr>
        <w:trPr>
          <w:trHeight w:val="216"/>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Value of Above Market In-Place Leases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20" w:type="dxa"/>
            <w:vAlign w:val="bottom"/>
          </w:tcPr>
          <w:p>
            <w:pPr>
              <w:spacing w:after="0"/>
              <w:rPr>
                <w:sz w:val="18"/>
                <w:szCs w:val="18"/>
                <w:color w:val="auto"/>
              </w:rPr>
            </w:pPr>
          </w:p>
        </w:tc>
      </w:tr>
      <w:tr>
        <w:trPr>
          <w:trHeight w:val="216"/>
        </w:trPr>
        <w:tc>
          <w:tcPr>
            <w:tcW w:w="5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Value of Intangible Leasing Costs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20,116</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19,091</w:t>
            </w:r>
          </w:p>
        </w:tc>
        <w:tc>
          <w:tcPr>
            <w:tcW w:w="20" w:type="dxa"/>
            <w:vAlign w:val="bottom"/>
          </w:tcPr>
          <w:p>
            <w:pPr>
              <w:spacing w:after="0"/>
              <w:rPr>
                <w:sz w:val="18"/>
                <w:szCs w:val="18"/>
                <w:color w:val="auto"/>
              </w:rPr>
            </w:pPr>
          </w:p>
        </w:tc>
      </w:tr>
      <w:tr>
        <w:trPr>
          <w:trHeight w:val="210"/>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Sub-total Intangible Lease 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72,592</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70,001</w:t>
            </w:r>
          </w:p>
        </w:tc>
        <w:tc>
          <w:tcPr>
            <w:tcW w:w="20" w:type="dxa"/>
            <w:vAlign w:val="bottom"/>
          </w:tcPr>
          <w:p>
            <w:pPr>
              <w:spacing w:after="0"/>
              <w:rPr>
                <w:sz w:val="18"/>
                <w:szCs w:val="18"/>
                <w:color w:val="auto"/>
              </w:rPr>
            </w:pPr>
          </w:p>
        </w:tc>
      </w:tr>
      <w:tr>
        <w:trPr>
          <w:trHeight w:val="216"/>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(26,532)</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(26,076)</w:t>
            </w:r>
          </w:p>
        </w:tc>
        <w:tc>
          <w:tcPr>
            <w:tcW w:w="20" w:type="dxa"/>
            <w:vAlign w:val="bottom"/>
          </w:tcPr>
          <w:p>
            <w:pPr>
              <w:spacing w:after="0"/>
              <w:rPr>
                <w:sz w:val="18"/>
                <w:szCs w:val="18"/>
                <w:color w:val="auto"/>
              </w:rPr>
            </w:pPr>
          </w:p>
        </w:tc>
      </w:tr>
      <w:tr>
        <w:trPr>
          <w:trHeight w:val="210"/>
        </w:trPr>
        <w:tc>
          <w:tcPr>
            <w:tcW w:w="55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Sub-total Intangible Lease Assets—Net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46,060</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43,925</w:t>
            </w:r>
          </w:p>
        </w:tc>
        <w:tc>
          <w:tcPr>
            <w:tcW w:w="20" w:type="dxa"/>
            <w:vAlign w:val="bottom"/>
          </w:tcPr>
          <w:p>
            <w:pPr>
              <w:spacing w:after="0"/>
              <w:rPr>
                <w:sz w:val="18"/>
                <w:szCs w:val="18"/>
                <w:color w:val="auto"/>
              </w:rPr>
            </w:pPr>
          </w:p>
        </w:tc>
      </w:tr>
      <w:tr>
        <w:trPr>
          <w:trHeight w:val="20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Lease Liabilities: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Value of Below Market In-Place Leases</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(6,612)</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(6,986)</w:t>
            </w:r>
          </w:p>
        </w:tc>
        <w:tc>
          <w:tcPr>
            <w:tcW w:w="20" w:type="dxa"/>
            <w:vAlign w:val="bottom"/>
          </w:tcPr>
          <w:p>
            <w:pPr>
              <w:spacing w:after="0"/>
              <w:rPr>
                <w:sz w:val="18"/>
                <w:szCs w:val="18"/>
                <w:color w:val="auto"/>
              </w:rPr>
            </w:pPr>
          </w:p>
        </w:tc>
      </w:tr>
      <w:tr>
        <w:trPr>
          <w:trHeight w:val="210"/>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 Intangible Lease Liabilities</w:t>
            </w: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2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(6,986)</w:t>
            </w:r>
          </w:p>
        </w:tc>
        <w:tc>
          <w:tcPr>
            <w:tcW w:w="20" w:type="dxa"/>
            <w:vAlign w:val="bottom"/>
          </w:tcPr>
          <w:p>
            <w:pPr>
              <w:spacing w:after="0"/>
              <w:rPr>
                <w:sz w:val="18"/>
                <w:szCs w:val="18"/>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20" w:type="dxa"/>
            <w:vAlign w:val="bottom"/>
          </w:tcPr>
          <w:p>
            <w:pPr>
              <w:spacing w:after="0"/>
              <w:rPr>
                <w:sz w:val="18"/>
                <w:szCs w:val="18"/>
                <w:color w:val="auto"/>
              </w:rPr>
            </w:pPr>
          </w:p>
        </w:tc>
      </w:tr>
      <w:tr>
        <w:trPr>
          <w:trHeight w:val="210"/>
        </w:trPr>
        <w:tc>
          <w:tcPr>
            <w:tcW w:w="5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Sub-total Intangible Lease Liabilities—Net</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20" w:type="dxa"/>
            <w:vAlign w:val="bottom"/>
          </w:tcPr>
          <w:p>
            <w:pPr>
              <w:spacing w:after="0"/>
              <w:rPr>
                <w:sz w:val="18"/>
                <w:szCs w:val="18"/>
                <w:color w:val="auto"/>
              </w:rPr>
            </w:pPr>
          </w:p>
        </w:tc>
      </w:tr>
      <w:tr>
        <w:trPr>
          <w:trHeight w:val="209"/>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and Liabilities—Net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41,734</w:t>
            </w: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39,151</w:t>
            </w:r>
          </w:p>
        </w:tc>
        <w:tc>
          <w:tcPr>
            <w:tcW w:w="20" w:type="dxa"/>
            <w:vAlign w:val="bottom"/>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reflects the net amortization of intangible assets and liabilities during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2025 and 2024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40" w:type="dxa"/>
            <w:vAlign w:val="bottom"/>
            <w:gridSpan w:val="5"/>
          </w:tcPr>
          <w:p>
            <w:pPr>
              <w:ind w:left="8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0"/>
        </w:trPr>
        <w:tc>
          <w:tcPr>
            <w:tcW w:w="5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 w:type="dxa"/>
            <w:vAlign w:val="bottom"/>
          </w:tcPr>
          <w:p>
            <w:pPr>
              <w:spacing w:after="0"/>
              <w:rPr>
                <w:sz w:val="18"/>
                <w:szCs w:val="18"/>
                <w:color w:val="auto"/>
              </w:rPr>
            </w:pPr>
          </w:p>
        </w:tc>
      </w:tr>
      <w:tr>
        <w:trPr>
          <w:trHeight w:val="209"/>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20" w:type="dxa"/>
            <w:vAlign w:val="bottom"/>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to Properties Revenue</w:t>
            </w:r>
          </w:p>
        </w:tc>
        <w:tc>
          <w:tcPr>
            <w:tcW w:w="20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18"/>
                <w:szCs w:val="18"/>
                <w:color w:val="auto"/>
              </w:rPr>
            </w:pPr>
          </w:p>
        </w:tc>
      </w:tr>
      <w:tr>
        <w:trPr>
          <w:trHeight w:val="210"/>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Amortization of Intangible Assets and Liabilities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20" w:type="dxa"/>
            <w:vAlign w:val="bottom"/>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estimated future amortization expense (income) related to net intangible assets and liabilities is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Net Future</w:t>
            </w:r>
          </w:p>
        </w:tc>
      </w:tr>
      <w:tr>
        <w:trPr>
          <w:trHeight w:val="216"/>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Amortization of</w:t>
            </w:r>
          </w:p>
        </w:tc>
      </w:tr>
      <w:tr>
        <w:trPr>
          <w:trHeight w:val="216"/>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Future Amortization</w:t>
            </w:r>
          </w:p>
        </w:tc>
        <w:tc>
          <w:tcPr>
            <w:tcW w:w="12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Future Accretion to</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Intangible Assets and</w:t>
            </w:r>
          </w:p>
        </w:tc>
      </w:tr>
      <w:tr>
        <w:trPr>
          <w:trHeight w:val="238"/>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320" w:type="dxa"/>
            <w:vAlign w:val="bottom"/>
          </w:tcPr>
          <w:p>
            <w:pPr>
              <w:spacing w:after="0"/>
              <w:rPr>
                <w:sz w:val="20"/>
                <w:szCs w:val="20"/>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20" w:type="dxa"/>
            <w:vAlign w:val="bottom"/>
          </w:tcPr>
          <w:p>
            <w:pPr>
              <w:spacing w:after="0"/>
              <w:rPr>
                <w:sz w:val="20"/>
                <w:szCs w:val="20"/>
                <w:color w:val="auto"/>
              </w:rPr>
            </w:pPr>
          </w:p>
        </w:tc>
        <w:tc>
          <w:tcPr>
            <w:tcW w:w="1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Property Revenue</w:t>
            </w:r>
          </w:p>
        </w:tc>
        <w:tc>
          <w:tcPr>
            <w:tcW w:w="180" w:type="dxa"/>
            <w:vAlign w:val="bottom"/>
          </w:tcPr>
          <w:p>
            <w:pPr>
              <w:spacing w:after="0"/>
              <w:rPr>
                <w:sz w:val="20"/>
                <w:szCs w:val="20"/>
                <w:color w:val="auto"/>
              </w:rPr>
            </w:pPr>
          </w:p>
        </w:tc>
        <w:tc>
          <w:tcPr>
            <w:tcW w:w="15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r>
      <w:tr>
        <w:trPr>
          <w:trHeight w:val="209"/>
        </w:trPr>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5,786</w:t>
            </w:r>
          </w:p>
        </w:tc>
      </w:tr>
      <w:tr>
        <w:trPr>
          <w:trHeight w:val="21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(637)</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7,435</w:t>
            </w:r>
          </w:p>
        </w:tc>
      </w:tr>
      <w:tr>
        <w:trPr>
          <w:trHeight w:val="21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(659)</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w:t>
            </w:r>
          </w:p>
        </w:tc>
      </w:tr>
      <w:tr>
        <w:trPr>
          <w:trHeight w:val="21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(454)</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w:t>
            </w:r>
          </w:p>
        </w:tc>
      </w:tr>
      <w:tr>
        <w:trPr>
          <w:trHeight w:val="21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(298)</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w:t>
            </w:r>
          </w:p>
        </w:tc>
      </w:tr>
      <w:tr>
        <w:trPr>
          <w:trHeight w:val="21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w:t>
            </w:r>
          </w:p>
        </w:tc>
      </w:tr>
      <w:tr>
        <w:trPr>
          <w:trHeight w:val="21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 and Thereafter</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9,596</w:t>
            </w:r>
          </w:p>
        </w:tc>
      </w:tr>
      <w:tr>
        <w:trPr>
          <w:trHeight w:val="21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44,607</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41,734</w:t>
            </w:r>
          </w:p>
        </w:tc>
      </w:tr>
      <w:tr>
        <w:trPr>
          <w:trHeight w:val="20"/>
        </w:trPr>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As of March 31, 2025, the weighted average amortization period of both the total intangible assets and liabilities was 9.1 years.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7. PROVISION FOR IMPAIRMENT</w:t>
      </w:r>
    </w:p>
    <w:p>
      <w:pPr>
        <w:spacing w:after="0" w:line="227"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Income Properties</w:t>
      </w:r>
      <w:r>
        <w:rPr>
          <w:rFonts w:ascii="Times New Roman" w:cs="Times New Roman" w:eastAsia="Times New Roman" w:hAnsi="Times New Roman"/>
          <w:sz w:val="18"/>
          <w:szCs w:val="18"/>
          <w:color w:val="auto"/>
        </w:rPr>
        <w:t>. The Company assesses the impairment of long-lived assets whenever events or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indicate that the carrying amount of an asset may not be recoverable. The fair value of long-lived assets required to be assessed for impairment is determined on a non-recurring basis using Level 3 inputs in the fair value hierarchy. These Level 3 inputs may include, but are not limited to, letters of intent on specific properties, executed purchase and sale agreements on specific properties, third person valuations, discounted cash flow models, and other model-based techniques.</w:t>
      </w:r>
    </w:p>
    <w:p>
      <w:pPr>
        <w:spacing w:after="0" w:line="18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2025, the Company recorded a $1.8 million impairment charge primarily related to the provision for losses related to two retail properties, leased to Walgreens, within the Company’s income properties segment, which are classified as held for sale. The impairment charge of $1.8 million is equal to the estimated sales prices for these assets pursuant to purchase and sale agreements executed during the three months ended March 31, 2025, less the book value of the assets as of March 31, 2025, less estimated costs to sell.</w:t>
      </w:r>
    </w:p>
    <w:p>
      <w:pPr>
        <w:spacing w:after="0" w:line="183"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There were no impairment charges on the Company’s income property portfolio during the three months ended March 31, 2024.</w:t>
      </w:r>
    </w:p>
    <w:p>
      <w:pPr>
        <w:spacing w:after="0" w:line="16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Commercial Loans and Investments</w:t>
      </w:r>
      <w:r>
        <w:rPr>
          <w:rFonts w:ascii="Times New Roman" w:cs="Times New Roman" w:eastAsia="Times New Roman" w:hAnsi="Times New Roman"/>
          <w:sz w:val="18"/>
          <w:szCs w:val="18"/>
          <w:color w:val="auto"/>
        </w:rPr>
        <w:t>. The Company evaluates the collectability of its commercial loans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investments on a quarterly basis or whenever events or changes in circumstances indicate that the carrying amount of an asset may not be recoverable. The Company accounts for provisions for expected credit losses in accordance with ASC Topic 326,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Changes in the Company’s allowance for credit losses are presented within the provision for impairment in the accompanying consolidated statements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recorded a charge of $0.2 million and less than $0.1 million, respectively, representing the provision for credit losses related to our commercial loans and investments. The impairment charges were driven by the initial estimated CECL allowance based on our investment activity during the three months ended March 31, 2025 and 2024.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NOTE 8. OTHER ASSETS</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58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40" w:type="dxa"/>
            <w:vAlign w:val="bottom"/>
            <w:tcBorders>
              <w:bottom w:val="single" w:sz="8" w:color="auto"/>
            </w:tcBorders>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r>
      <w:tr>
        <w:trPr>
          <w:trHeight w:val="210"/>
        </w:trPr>
        <w:tc>
          <w:tcPr>
            <w:tcW w:w="5820" w:type="dxa"/>
            <w:vAlign w:val="bottom"/>
            <w:tcBorders>
              <w:top w:val="single" w:sz="8" w:color="CCEEFF"/>
            </w:tcBorders>
            <w:gridSpan w:val="4"/>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Tenant Receivables—Net of Allowance for Doubtful Accounts </w:t>
            </w:r>
            <w:r>
              <w:rPr>
                <w:rFonts w:ascii="Times New Roman" w:cs="Times New Roman" w:eastAsia="Times New Roman" w:hAnsi="Times New Roman"/>
                <w:sz w:val="24"/>
                <w:szCs w:val="24"/>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r>
      <w:tr>
        <w:trPr>
          <w:trHeight w:val="216"/>
        </w:trPr>
        <w:tc>
          <w:tcPr>
            <w:tcW w:w="5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16"/>
        </w:trPr>
        <w:tc>
          <w:tcPr>
            <w:tcW w:w="5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Deposits, and Other</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16"/>
        </w:trPr>
        <w:tc>
          <w:tcPr>
            <w:tcW w:w="5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Deferred Financing Costs—Net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16"/>
        </w:trPr>
        <w:tc>
          <w:tcPr>
            <w:tcW w:w="5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w:t>
            </w:r>
          </w:p>
        </w:tc>
      </w:tr>
      <w:tr>
        <w:trPr>
          <w:trHeight w:val="216"/>
        </w:trPr>
        <w:tc>
          <w:tcPr>
            <w:tcW w:w="5820" w:type="dxa"/>
            <w:vAlign w:val="bottom"/>
            <w:tcBorders>
              <w:bottom w:val="single" w:sz="8" w:color="CCEEFF"/>
            </w:tcBorders>
            <w:gridSpan w:val="4"/>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Operating Leases - Right-of-Use Asset </w:t>
            </w:r>
            <w:r>
              <w:rPr>
                <w:rFonts w:ascii="Times New Roman" w:cs="Times New Roman" w:eastAsia="Times New Roman" w:hAnsi="Times New Roman"/>
                <w:sz w:val="25"/>
                <w:szCs w:val="25"/>
                <w:color w:val="auto"/>
                <w:vertAlign w:val="superscript"/>
              </w:rPr>
              <w:t>(2)</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w:t>
            </w:r>
          </w:p>
        </w:tc>
      </w:tr>
      <w:tr>
        <w:trPr>
          <w:trHeight w:val="209"/>
        </w:trPr>
        <w:tc>
          <w:tcPr>
            <w:tcW w:w="58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15,734</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tcPr>
          <w:p>
            <w:pPr>
              <w:spacing w:after="0"/>
              <w:rPr>
                <w:sz w:val="7"/>
                <w:szCs w:val="7"/>
                <w:color w:val="auto"/>
              </w:rPr>
            </w:pPr>
          </w:p>
        </w:tc>
      </w:tr>
    </w:tbl>
    <w:p>
      <w:pPr>
        <w:spacing w:after="0" w:line="58" w:lineRule="exact"/>
        <w:rPr>
          <w:sz w:val="20"/>
          <w:szCs w:val="20"/>
          <w:color w:val="auto"/>
        </w:rPr>
      </w:pPr>
    </w:p>
    <w:p>
      <w:pPr>
        <w:ind w:left="380" w:hanging="330"/>
        <w:spacing w:after="0"/>
        <w:tabs>
          <w:tab w:leader="none" w:pos="38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Includes a $0.4 million and $0.3 million allowance for doubtful accounts as of March 31, 2025 and December 31, 2024, respectively.</w:t>
      </w:r>
    </w:p>
    <w:p>
      <w:pPr>
        <w:spacing w:after="0" w:line="3" w:lineRule="exact"/>
        <w:rPr>
          <w:rFonts w:ascii="Times New Roman" w:cs="Times New Roman" w:eastAsia="Times New Roman" w:hAnsi="Times New Roman"/>
          <w:sz w:val="11"/>
          <w:szCs w:val="11"/>
          <w:color w:val="auto"/>
        </w:rPr>
      </w:pPr>
    </w:p>
    <w:p>
      <w:pPr>
        <w:ind w:left="380" w:hanging="330"/>
        <w:spacing w:after="0"/>
        <w:tabs>
          <w:tab w:leader="none" w:pos="38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See Note 9, “Operating Land Leases” for further disclosure related to the Company’s right-of-use asset balance as of March 31, 2025.</w:t>
      </w:r>
    </w:p>
    <w:p>
      <w:pPr>
        <w:spacing w:after="0" w:line="2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9. OPERATING LAND LEASES</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is the lessee under operating land leases for certain of its properties.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requires a lessee to recognize right-of-use assets and lease liabilities that arise from leases, whether qualifying as an operating or finance lease. As of March 31, 2025 and December 31, 2024, the Company’s right-of-use assets totaled $3.2 million and the corresponding lease liabilities totaled $3.2 million, which balances are reflected within other assets and accounts payable, accrued expenses, and other liabilities, respectively, on the consolidated balance sheets. The right-of-use assets and lease liabilities are measured based on the present value of the lease payments utilizing discount rates estimated to be equal to that which the Company would pay to borrow on a collateralized basis over a similar term, for an amount equal to the lease payments, in a similar economic environment.</w:t>
      </w:r>
    </w:p>
    <w:p>
      <w:pPr>
        <w:spacing w:after="0" w:line="187"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Company’s operating land leases do not include variable lease payments and generally provide renewal options, at the Company’s election, to extend the terms of the respective leases. Renewal option periods are included in the calculation of the right-of-use assets and corresponding lease liabilities when it is reasonably certain that the Company, as lessee, will exercise the option to extend the lease.</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Amortization of right-of-use assets for operating land leases is recognized on a straight-line basis over the term of the lease and is included within real estate expenses in the consolidated statements of operations. Amortization totaled less than $0.1 million during each of the three months ended March 31, 2025 and 2024.</w:t>
      </w:r>
    </w:p>
    <w:p>
      <w:pPr>
        <w:spacing w:after="0" w:line="1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a summary of operating land leases, under which the Company is the lessee, for the three months ended March 31, 2025 and 2024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00" w:type="dxa"/>
            <w:vAlign w:val="bottom"/>
            <w:gridSpan w:val="5"/>
          </w:tcPr>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9"/>
        </w:trPr>
        <w:tc>
          <w:tcPr>
            <w:tcW w:w="50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20" w:type="dxa"/>
            <w:vAlign w:val="bottom"/>
          </w:tcPr>
          <w:p>
            <w:pPr>
              <w:spacing w:after="0"/>
              <w:rPr>
                <w:sz w:val="18"/>
                <w:szCs w:val="18"/>
                <w:color w:val="auto"/>
              </w:rPr>
            </w:pPr>
          </w:p>
        </w:tc>
      </w:tr>
      <w:tr>
        <w:trPr>
          <w:trHeight w:val="210"/>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Outflows</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18"/>
                <w:szCs w:val="18"/>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4.2 %</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2.0 %</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Minimum future lease payments under non-cancelable operating land leases, having remaining terms in excess of one year subsequent to March 31, 2025, are summarized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9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10"/>
        </w:trPr>
        <w:tc>
          <w:tcPr>
            <w:tcW w:w="6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3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 and Thereafter</w:t>
            </w:r>
          </w:p>
        </w:tc>
        <w:tc>
          <w:tcPr>
            <w:tcW w:w="9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w:t>
            </w:r>
          </w:p>
        </w:tc>
      </w:tr>
      <w:tr>
        <w:trPr>
          <w:trHeight w:val="209"/>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5,607</w:t>
            </w:r>
          </w:p>
        </w:tc>
      </w:tr>
      <w:tr>
        <w:trPr>
          <w:trHeight w:val="216"/>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Imputed Interest</w:t>
            </w:r>
          </w:p>
        </w:tc>
        <w:tc>
          <w:tcPr>
            <w:tcW w:w="9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w:t>
            </w:r>
          </w:p>
        </w:tc>
      </w:tr>
      <w:tr>
        <w:trPr>
          <w:trHeight w:val="210"/>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 – Liability</w:t>
            </w: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w:t>
            </w:r>
          </w:p>
        </w:tc>
      </w:tr>
      <w:tr>
        <w:trPr>
          <w:trHeight w:val="20"/>
        </w:trPr>
        <w:tc>
          <w:tcPr>
            <w:tcW w:w="6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10. ASSETS HELD FOR SALE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Assets held for sale consisted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46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As of</w:t>
            </w:r>
          </w:p>
        </w:tc>
        <w:tc>
          <w:tcPr>
            <w:tcW w:w="18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4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tcPr>
          <w:p>
            <w:pPr>
              <w:spacing w:after="0"/>
              <w:rPr>
                <w:sz w:val="18"/>
                <w:szCs w:val="18"/>
                <w:color w:val="auto"/>
              </w:rPr>
            </w:pPr>
          </w:p>
        </w:tc>
        <w:tc>
          <w:tcPr>
            <w:tcW w:w="1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 w:type="dxa"/>
            <w:vAlign w:val="bottom"/>
          </w:tcPr>
          <w:p>
            <w:pPr>
              <w:spacing w:after="0"/>
              <w:rPr>
                <w:sz w:val="18"/>
                <w:szCs w:val="18"/>
                <w:color w:val="auto"/>
              </w:rPr>
            </w:pPr>
          </w:p>
        </w:tc>
      </w:tr>
      <w:tr>
        <w:trPr>
          <w:trHeight w:val="209"/>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Estate—Net</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10,174</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20" w:type="dxa"/>
            <w:vAlign w:val="bottom"/>
          </w:tcPr>
          <w:p>
            <w:pPr>
              <w:spacing w:after="0"/>
              <w:rPr>
                <w:sz w:val="18"/>
                <w:szCs w:val="18"/>
                <w:color w:val="auto"/>
              </w:rPr>
            </w:pP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Lease Assets—Net</w:t>
            </w:r>
          </w:p>
        </w:tc>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0" w:type="dxa"/>
            <w:vAlign w:val="bottom"/>
          </w:tcPr>
          <w:p>
            <w:pPr>
              <w:spacing w:after="0"/>
              <w:rPr>
                <w:sz w:val="18"/>
                <w:szCs w:val="18"/>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Lease Liabilities—Net</w:t>
            </w:r>
          </w:p>
        </w:tc>
        <w:tc>
          <w:tcPr>
            <w:tcW w:w="2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Straight-Line Rent Adjustment</w:t>
            </w:r>
          </w:p>
        </w:tc>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r>
      <w:tr>
        <w:trPr>
          <w:trHeight w:val="21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Prior to Provision for Impairment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10,993</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20" w:type="dxa"/>
            <w:vAlign w:val="bottom"/>
          </w:tcPr>
          <w:p>
            <w:pPr>
              <w:spacing w:after="0"/>
              <w:rPr>
                <w:sz w:val="18"/>
                <w:szCs w:val="18"/>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Provision for Impairment</w:t>
            </w:r>
          </w:p>
        </w:tc>
        <w:tc>
          <w:tcPr>
            <w:tcW w:w="2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(3,566)</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20" w:type="dxa"/>
            <w:vAlign w:val="bottom"/>
          </w:tcPr>
          <w:p>
            <w:pPr>
              <w:spacing w:after="0"/>
              <w:rPr>
                <w:sz w:val="18"/>
                <w:szCs w:val="18"/>
                <w:color w:val="auto"/>
              </w:rPr>
            </w:pPr>
          </w:p>
        </w:tc>
      </w:tr>
      <w:tr>
        <w:trPr>
          <w:trHeight w:val="21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Held for Sale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20" w:type="dxa"/>
            <w:vAlign w:val="bottom"/>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11. ACCOUNTS PAYABLE, ACCRUED EXPENSES, AND OTHER LIABILITIES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40" w:type="dxa"/>
            <w:vAlign w:val="bottom"/>
            <w:tcBorders>
              <w:bottom w:val="single" w:sz="8" w:color="auto"/>
            </w:tcBorders>
          </w:tcPr>
          <w:p>
            <w:pPr>
              <w:spacing w:after="0"/>
              <w:rPr>
                <w:sz w:val="20"/>
                <w:szCs w:val="20"/>
                <w:color w:val="auto"/>
              </w:rPr>
            </w:pPr>
          </w:p>
        </w:tc>
      </w:tr>
      <w:tr>
        <w:trPr>
          <w:trHeight w:val="210"/>
        </w:trPr>
        <w:tc>
          <w:tcPr>
            <w:tcW w:w="22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40" w:type="dxa"/>
            <w:vAlign w:val="bottom"/>
          </w:tcPr>
          <w:p>
            <w:pPr>
              <w:spacing w:after="0"/>
              <w:rPr>
                <w:sz w:val="18"/>
                <w:szCs w:val="18"/>
                <w:color w:val="auto"/>
              </w:rPr>
            </w:pP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5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w:t>
            </w:r>
          </w:p>
        </w:tc>
      </w:tr>
      <w:tr>
        <w:trPr>
          <w:trHeight w:val="216"/>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Security Deposits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to CTO</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r>
      <w:tr>
        <w:trPr>
          <w:trHeight w:val="216"/>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 Reserves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51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Operating Leases - Liability </w:t>
            </w:r>
            <w:r>
              <w:rPr>
                <w:rFonts w:ascii="Times New Roman" w:cs="Times New Roman" w:eastAsia="Times New Roman" w:hAnsi="Times New Roman"/>
                <w:sz w:val="25"/>
                <w:szCs w:val="25"/>
                <w:color w:val="auto"/>
                <w:vertAlign w:val="superscript"/>
              </w:rPr>
              <w:t>(1)</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r>
      <w:tr>
        <w:trPr>
          <w:trHeight w:val="210"/>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Accounts Payable, Accrued Expenses, and Other Liabilities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8,507</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8,445</w:t>
            </w:r>
          </w:p>
        </w:tc>
      </w:tr>
      <w:tr>
        <w:trPr>
          <w:trHeight w:val="20"/>
        </w:trPr>
        <w:tc>
          <w:tcPr>
            <w:tcW w:w="22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40" w:type="dxa"/>
            <w:vAlign w:val="bottom"/>
          </w:tcPr>
          <w:p>
            <w:pPr>
              <w:spacing w:after="0"/>
              <w:rPr>
                <w:sz w:val="7"/>
                <w:szCs w:val="7"/>
                <w:color w:val="auto"/>
              </w:rPr>
            </w:pPr>
          </w:p>
        </w:tc>
      </w:tr>
    </w:tbl>
    <w:p>
      <w:pPr>
        <w:spacing w:after="0" w:line="58" w:lineRule="exact"/>
        <w:rPr>
          <w:sz w:val="20"/>
          <w:szCs w:val="20"/>
          <w:color w:val="auto"/>
        </w:rPr>
      </w:pPr>
    </w:p>
    <w:p>
      <w:pPr>
        <w:ind w:left="380" w:hanging="330"/>
        <w:spacing w:after="0"/>
        <w:tabs>
          <w:tab w:leader="none" w:pos="38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See Note 9, “Operating Land Leases” for further disclosure related to the Company’s operating lease liability balance as of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12. OBLIGATION UNDER PARTICIPATION AGREEMENT</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As discussed in Note 2, “Summary of Significant Accounting Policies,” the Company follows the guidance in FASB Topic ASC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xml:space="preserve"> when accounting for participation in commercial loans and investments. ASC 860 states, if the sale of a participation does not have all of the characteristics of a participating interest, it does not achieve sale accounting and is treated as a secured borrowing and accordingly, the original commercial loan investment remains on the Company’s consolidated balance sheets and the proceeds are recorded as an obligation under participation agreement. As described in Note 4, “Commercial Loans and Investments”, the Company’s Loan Participation Sale for $13.6 million at an 8.0% interest rate did not achieve sale accounting. As of March 31, 2025, the Company’s obligation under participation agreement had a face value of $10.6 million, and the carrying value of the loan that is associated with this obligation under participation agreement was $10.5 million, net of a CECL reserve of $0.1 million. As of December 31, 2024, the Company’s obligation under participation agreement had a face value of $11.4 million, and the carrying value of the loan that is associated with this obligation under participation agreement was $11.3 million, net of a CECL reserve of $0.1 million.</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13. LONG-TERM DEBT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2025, the Company’s outstanding indebtedness, at face value, was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Wtd. Avg.</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Rate as of</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Face Value Debt</w:t>
            </w:r>
          </w:p>
        </w:tc>
        <w:tc>
          <w:tcPr>
            <w:tcW w:w="14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Stated Interest</w:t>
            </w:r>
          </w:p>
        </w:tc>
        <w:tc>
          <w:tcPr>
            <w:tcW w:w="1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20"/>
                <w:szCs w:val="20"/>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0" w:type="dxa"/>
            <w:vAlign w:val="bottom"/>
          </w:tcPr>
          <w:p>
            <w:pPr>
              <w:spacing w:after="0"/>
              <w:rPr>
                <w:sz w:val="1"/>
                <w:szCs w:val="1"/>
                <w:color w:val="auto"/>
              </w:rPr>
            </w:pPr>
          </w:p>
        </w:tc>
      </w:tr>
      <w:tr>
        <w:trPr>
          <w:trHeight w:val="191"/>
        </w:trPr>
        <w:tc>
          <w:tcPr>
            <w:tcW w:w="332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Credit Facility </w:t>
            </w:r>
            <w:r>
              <w:rPr>
                <w:rFonts w:ascii="Times New Roman" w:cs="Times New Roman" w:eastAsia="Times New Roman" w:hAnsi="Times New Roman"/>
                <w:sz w:val="26"/>
                <w:szCs w:val="26"/>
                <w:color w:val="auto"/>
                <w:vertAlign w:val="superscript"/>
              </w:rPr>
              <w:t>(1)</w:t>
            </w:r>
          </w:p>
        </w:tc>
        <w:tc>
          <w:tcPr>
            <w:tcW w:w="12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SOFR + 0.10% +</w:t>
            </w:r>
          </w:p>
        </w:tc>
        <w:tc>
          <w:tcPr>
            <w:tcW w:w="16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157,000</w:t>
            </w:r>
          </w:p>
        </w:tc>
        <w:tc>
          <w:tcPr>
            <w:tcW w:w="16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[1.25% - 2.20%]</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5.63%</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2027</w:t>
            </w:r>
          </w:p>
        </w:tc>
        <w:tc>
          <w:tcPr>
            <w:tcW w:w="0" w:type="dxa"/>
            <w:vAlign w:val="bottom"/>
          </w:tcPr>
          <w:p>
            <w:pPr>
              <w:spacing w:after="0"/>
              <w:rPr>
                <w:sz w:val="1"/>
                <w:szCs w:val="1"/>
                <w:color w:val="auto"/>
              </w:rPr>
            </w:pPr>
          </w:p>
        </w:tc>
      </w:tr>
      <w:tr>
        <w:trPr>
          <w:trHeight w:val="198"/>
        </w:trPr>
        <w:tc>
          <w:tcPr>
            <w:tcW w:w="3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2026 Term Loan </w:t>
            </w:r>
            <w:r>
              <w:rPr>
                <w:rFonts w:ascii="Times New Roman" w:cs="Times New Roman" w:eastAsia="Times New Roman" w:hAnsi="Times New Roman"/>
                <w:sz w:val="26"/>
                <w:szCs w:val="26"/>
                <w:color w:val="auto"/>
                <w:vertAlign w:val="superscript"/>
              </w:rPr>
              <w:t>(2)</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w w:val="98"/>
              </w:rPr>
              <w:t>SOFR + 0.10% +</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[1.35% - 1.95%]</w:t>
            </w:r>
          </w:p>
        </w:tc>
        <w:tc>
          <w:tcPr>
            <w:tcW w:w="16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3.65%</w:t>
            </w:r>
          </w:p>
        </w:tc>
        <w:tc>
          <w:tcPr>
            <w:tcW w:w="16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2026</w:t>
            </w:r>
          </w:p>
        </w:tc>
        <w:tc>
          <w:tcPr>
            <w:tcW w:w="0" w:type="dxa"/>
            <w:vAlign w:val="bottom"/>
          </w:tcPr>
          <w:p>
            <w:pPr>
              <w:spacing w:after="0"/>
              <w:rPr>
                <w:sz w:val="1"/>
                <w:szCs w:val="1"/>
                <w:color w:val="auto"/>
              </w:rPr>
            </w:pPr>
          </w:p>
        </w:tc>
      </w:tr>
      <w:tr>
        <w:trPr>
          <w:trHeight w:val="198"/>
        </w:trPr>
        <w:tc>
          <w:tcPr>
            <w:tcW w:w="33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2027 Term Loan </w:t>
            </w:r>
            <w:r>
              <w:rPr>
                <w:rFonts w:ascii="Times New Roman" w:cs="Times New Roman" w:eastAsia="Times New Roman" w:hAnsi="Times New Roman"/>
                <w:sz w:val="26"/>
                <w:szCs w:val="26"/>
                <w:color w:val="auto"/>
                <w:vertAlign w:val="superscript"/>
              </w:rPr>
              <w:t>(3)</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w w:val="98"/>
              </w:rPr>
              <w:t>SOFR + 0.10% +</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gridSpan w:val="2"/>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[1.25% - 1.90%]</w:t>
            </w:r>
          </w:p>
        </w:tc>
        <w:tc>
          <w:tcPr>
            <w:tcW w:w="160" w:type="dxa"/>
            <w:vAlign w:val="bottom"/>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3.60%</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2027</w:t>
            </w:r>
          </w:p>
        </w:tc>
        <w:tc>
          <w:tcPr>
            <w:tcW w:w="0" w:type="dxa"/>
            <w:vAlign w:val="bottom"/>
          </w:tcPr>
          <w:p>
            <w:pPr>
              <w:spacing w:after="0"/>
              <w:rPr>
                <w:sz w:val="1"/>
                <w:szCs w:val="1"/>
                <w:color w:val="auto"/>
              </w:rPr>
            </w:pPr>
          </w:p>
        </w:tc>
      </w:tr>
      <w:tr>
        <w:trPr>
          <w:trHeight w:val="21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Debt/Weighted-Average Rate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357,000</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4.51%</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380" w:right="79" w:hanging="330"/>
        <w:spacing w:after="0" w:line="229" w:lineRule="auto"/>
        <w:tabs>
          <w:tab w:leader="none" w:pos="38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March 31, 2025, the Company utilized an interest rate swap to fix SOFR and achieve a fixed interest rate of 3.21% plus 0.10% and the applicable spread on $50 million of the outstanding balance on the Credit Facility (hereinafter defined). See Note 14, “Interest Rate Swaps” for further disclosure related to the Company’s interest rate swaps.</w:t>
      </w:r>
    </w:p>
    <w:p>
      <w:pPr>
        <w:jc w:val="both"/>
        <w:ind w:left="380" w:right="79" w:hanging="330"/>
        <w:spacing w:after="0" w:line="221" w:lineRule="auto"/>
        <w:tabs>
          <w:tab w:leader="none" w:pos="38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March 31, 2025, the Company has utilized interest rate swaps to fix SOFR and achieve a weighted average fixed interest rate of 2.05% plus 0.10% and the applicable spread on the $100 million 2026 Term Loan (hereinafter defined) balance. See Note 14, “Interest Rate Swaps” for further disclosure related to the Company’s interest rate swaps.</w:t>
      </w:r>
    </w:p>
    <w:p>
      <w:pPr>
        <w:jc w:val="both"/>
        <w:ind w:left="380" w:right="79" w:hanging="330"/>
        <w:spacing w:after="0" w:line="233" w:lineRule="auto"/>
        <w:tabs>
          <w:tab w:leader="none" w:pos="38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March 31, 2025, the Company has utilized interest rate swaps to fix SOFR and achieve a weighted average fixed interest rate of 2.05% plus 0.10% and the applicable spread on the $100 million 2027 Term Loan (hereinafter defined) balance. See Note 14, “Interest Rate Swaps” for further disclosure related to the Company’s interest rate swaps.</w:t>
      </w:r>
    </w:p>
    <w:p>
      <w:pPr>
        <w:spacing w:after="0" w:line="166"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Credit Facility. </w:t>
      </w:r>
      <w:r>
        <w:rPr>
          <w:rFonts w:ascii="Times New Roman" w:cs="Times New Roman" w:eastAsia="Times New Roman" w:hAnsi="Times New Roman"/>
          <w:sz w:val="18"/>
          <w:szCs w:val="18"/>
          <w:color w:val="auto"/>
        </w:rPr>
        <w:t>On September 30, 2022, the Company and the Operating Partnership entered into a credit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“2022 Amended and Restated Credit Agreement” or “Credit Facility”) with KeyBank National Association, as administrative agent, and certain other lenders named therein, which amended and restated the 2027 Term Loan Credit Agreement (hereinafter defined) to include, among other things:</w:t>
      </w:r>
    </w:p>
    <w:p>
      <w:pPr>
        <w:spacing w:after="0" w:line="114" w:lineRule="exact"/>
        <w:rPr>
          <w:sz w:val="20"/>
          <w:szCs w:val="20"/>
          <w:color w:val="auto"/>
        </w:rPr>
      </w:pPr>
    </w:p>
    <w:p>
      <w:pPr>
        <w:ind w:left="1040" w:right="559" w:hanging="315"/>
        <w:spacing w:after="0" w:line="261"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origination of a new senior unsecured revolving credit facility in the amount of $250 million which matures on January 31, 2027, with the option to extend for one year;</w:t>
      </w:r>
    </w:p>
    <w:p>
      <w:pPr>
        <w:jc w:val="both"/>
        <w:ind w:left="1040" w:right="79" w:hanging="315"/>
        <w:spacing w:after="0" w:line="250"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accordion option that allows the Company to request additional revolving loan commitments and additional term loan commitments, provided the aggregate amount of revolving loan commitments and term loan commitments shall not exceed $750 million;</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certain financial covenants; and</w:t>
      </w:r>
    </w:p>
    <w:p>
      <w:pPr>
        <w:spacing w:after="0" w:line="9" w:lineRule="exact"/>
        <w:rPr>
          <w:rFonts w:ascii="Times New Roman" w:cs="Times New Roman" w:eastAsia="Times New Roman" w:hAnsi="Times New Roman"/>
          <w:sz w:val="18"/>
          <w:szCs w:val="18"/>
          <w:color w:val="auto"/>
        </w:rPr>
      </w:pPr>
    </w:p>
    <w:p>
      <w:pPr>
        <w:ind w:left="1040" w:right="79" w:hanging="315"/>
        <w:spacing w:after="0" w:line="260"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a sustainability-linked pricing component pursuant to which the Company will receive interest rate reductions up to 0.025% based on performance against sustainability performance targets.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Pursuant to the 2022 Amended and Restated Credit Agreement, the indebtedness outstanding under the Credit Facility accrues at a rate ranging from SOFR plus 0.10% plus 125 basis points to SOFR plus 0.10% plus 220 basis points, based on the total balance outstanding under the Credit Facility as a percentage of the total asset value of the Company, as defined in the 2022 Amended and Restated Credit Agreement. The Company may utilize daily simple SOFR or term SOFR, at its election. The Credit Facility also accrues a fee of 15 or 25 basis points for any unused portion of the borrowing capacity based on whether the unused portion is greater or less than 50% of the total borrowing capacity.</w:t>
      </w:r>
    </w:p>
    <w:p>
      <w:pPr>
        <w:spacing w:after="0" w:line="120" w:lineRule="exact"/>
        <w:rPr>
          <w:sz w:val="20"/>
          <w:szCs w:val="20"/>
          <w:color w:val="auto"/>
        </w:rPr>
      </w:pPr>
    </w:p>
    <w:p>
      <w:pPr>
        <w:jc w:val="both"/>
        <w:ind w:left="60" w:right="59" w:firstLine="369"/>
        <w:spacing w:after="0" w:line="256" w:lineRule="auto"/>
        <w:rPr>
          <w:sz w:val="20"/>
          <w:szCs w:val="20"/>
          <w:color w:val="auto"/>
        </w:rPr>
      </w:pPr>
      <w:r>
        <w:rPr>
          <w:rFonts w:ascii="Times New Roman" w:cs="Times New Roman" w:eastAsia="Times New Roman" w:hAnsi="Times New Roman"/>
          <w:sz w:val="18"/>
          <w:szCs w:val="18"/>
          <w:color w:val="auto"/>
        </w:rPr>
        <w:t>The Company is subject to customary restrictive covenants under the 2022 Amended and Restated Credit Agreement and the 2026 Term Loan Credit Agreement (hereinafter defined), as amended, collectively referred to herein as the “Credit Agreements”, including, but not limited to, limitations on the Company’s ability to: (a) incur indebtedness; (b) make certain investments; (c) incur certain liens; (d) engage in certain affiliate transactions; and (e) engage in certain major transactions such as mergers. The Credit Agreements also contain financial covenants covering the Company, including but not limited to, tangible net worth and fixed charge coverage ratios.</w:t>
      </w:r>
    </w:p>
    <w:p>
      <w:pPr>
        <w:spacing w:after="0" w:line="12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At March 31, 2025, the commitment level under the Credit Facility was $250.0 million and the Company had an outstanding balance of $157.0 million. The available borrowing capacity, subject to borrowing base restrictions, was $56.4 million as of March 31, 2025.</w:t>
      </w:r>
    </w:p>
    <w:p>
      <w:pPr>
        <w:spacing w:after="0" w:line="174"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2026 Term Loan. </w:t>
      </w:r>
      <w:r>
        <w:rPr>
          <w:rFonts w:ascii="Times New Roman" w:cs="Times New Roman" w:eastAsia="Times New Roman" w:hAnsi="Times New Roman"/>
          <w:sz w:val="18"/>
          <w:szCs w:val="18"/>
          <w:color w:val="auto"/>
        </w:rPr>
        <w:t>On May 21, 2021, the Operating Partnership, the Company and certain subsidiaries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into a credit agreement (the “2026 Term Loan Credit Agreement”) with Truist Bank, N.A. as administrative agent, and certain other lenders named therein, for a term loan (the “2026 Term Loan”) in an aggregate principal amount of $60.0 million with a maturity of five years. On April 14, 2022, the Company entered into the Amendment, Increase and Joinder to the 2026 Term Loan Credit Agreement (the “2026 Term Loan Amendment”), which increased the term loan commitment under the 2026 Term Loan by $40.0 million to an aggregate of $100.0 million. The 2026 Term Loan Amendment also effectuated the transition of the underlying variable interest rate from LIBOR to SOFR.</w:t>
      </w:r>
    </w:p>
    <w:p>
      <w:pPr>
        <w:spacing w:after="0" w:line="11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October 5, 2022, the Company entered into an amendment which, among other things, amended certain financial covenants and added a sustainability-linked pricing component consistent with what is contained in the 2022 Amended and Restated Credit Agreement (the “2026 Term Loan Second Amendment”), effective September 30, 2022.</w:t>
      </w:r>
    </w:p>
    <w:p>
      <w:pPr>
        <w:spacing w:after="0" w:line="10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2027 Term Loan. </w:t>
      </w:r>
      <w:r>
        <w:rPr>
          <w:rFonts w:ascii="Times New Roman" w:cs="Times New Roman" w:eastAsia="Times New Roman" w:hAnsi="Times New Roman"/>
          <w:sz w:val="18"/>
          <w:szCs w:val="18"/>
          <w:color w:val="auto"/>
        </w:rPr>
        <w:t>On September 30, 2021, the Operating Partnership, the Company and certain subsidiaries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entered into a credit agreement (the “2027 Term Loan Credit Agreement”) with KeyBank National Association as administrative agent, and certain other lenders named therein, for a term loan (the “2027 Term Loan”) in an aggregate principal amount of $80.0 million (the “Term Commitment”) maturing in January 2027. On April 14, 2022, the Company entered into the Amendment, Increase and Joinder to the 2027 Term Loan Credit Agreement (the “2027 Term Loan Amendment”), which increased the Term Commitment by $20 million to an aggregate of $100 million. The 2027 Term Loan Amendment also effectuated the transition of the underlying variable interest rate from LIBOR to SOFR.</w:t>
      </w:r>
    </w:p>
    <w:p>
      <w:pPr>
        <w:spacing w:after="0" w:line="11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September 30, 2022, the Company entered into the 2022 Amended and Restated Credit Agreement which amended and restated the 2027 Term Loan Credit Agreement to include the origination of a new revolving credit facility in the amount of $250.0 million as previously described. The 2022 Amended and Restated Credit Agreement includes an accordion option that allows the Company to request additional revolving loan commitments and additional term loan commitments not to exceed $750.0 million in the aggregate.</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Long-term debt as of March 31, 2025 and December 31, 2024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tcPr>
          <w:p>
            <w:pPr>
              <w:spacing w:after="0"/>
              <w:rPr>
                <w:sz w:val="20"/>
                <w:szCs w:val="20"/>
                <w:color w:val="auto"/>
              </w:rPr>
            </w:pPr>
          </w:p>
        </w:tc>
        <w:tc>
          <w:tcPr>
            <w:tcW w:w="20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87"/>
        </w:trPr>
        <w:tc>
          <w:tcPr>
            <w:tcW w:w="4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Due Within</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Due Within</w:t>
            </w:r>
          </w:p>
        </w:tc>
      </w:tr>
      <w:tr>
        <w:trPr>
          <w:trHeight w:val="238"/>
        </w:trPr>
        <w:tc>
          <w:tcPr>
            <w:tcW w:w="4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One Year</w:t>
            </w:r>
          </w:p>
        </w:tc>
        <w:tc>
          <w:tcPr>
            <w:tcW w:w="22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One Year</w:t>
            </w:r>
          </w:p>
        </w:tc>
      </w:tr>
      <w:tr>
        <w:trPr>
          <w:trHeight w:val="210"/>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Term Loan</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 Term Loan</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Costs, net of Accumulated Amortization</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356,511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301,466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59" w:firstLine="389"/>
        <w:spacing w:after="0" w:line="282" w:lineRule="auto"/>
        <w:rPr>
          <w:sz w:val="20"/>
          <w:szCs w:val="20"/>
          <w:color w:val="auto"/>
        </w:rPr>
      </w:pPr>
      <w:r>
        <w:rPr>
          <w:rFonts w:ascii="Times New Roman" w:cs="Times New Roman" w:eastAsia="Times New Roman" w:hAnsi="Times New Roman"/>
          <w:sz w:val="18"/>
          <w:szCs w:val="18"/>
          <w:color w:val="auto"/>
        </w:rPr>
        <w:t>Payments applicable to reduction of principal amounts as of March 31, 2025 will be required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320" w:type="dxa"/>
            <w:vAlign w:val="bottom"/>
          </w:tcPr>
          <w:p>
            <w:pPr>
              <w:spacing w:after="0"/>
              <w:rPr>
                <w:sz w:val="20"/>
                <w:szCs w:val="20"/>
                <w:color w:val="auto"/>
              </w:rPr>
            </w:pPr>
          </w:p>
        </w:tc>
        <w:tc>
          <w:tcPr>
            <w:tcW w:w="14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6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257,000</w:t>
            </w:r>
          </w:p>
        </w:tc>
      </w:tr>
      <w:tr>
        <w:trPr>
          <w:trHeight w:val="21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 and Thereafter</w:t>
            </w: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 - Face Value</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357,000</w:t>
            </w:r>
          </w:p>
        </w:tc>
      </w:tr>
      <w:tr>
        <w:trPr>
          <w:trHeight w:val="20"/>
        </w:trPr>
        <w:tc>
          <w:tcPr>
            <w:tcW w:w="6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carrying value of long-term debt as of March 31, 2025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Face Amount</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357,000</w:t>
            </w:r>
          </w:p>
        </w:tc>
      </w:tr>
      <w:tr>
        <w:trPr>
          <w:trHeight w:val="216"/>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Costs, net of Accumulated Amortization</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10"/>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356,511</w:t>
            </w:r>
          </w:p>
        </w:tc>
      </w:tr>
      <w:tr>
        <w:trPr>
          <w:trHeight w:val="20"/>
        </w:trPr>
        <w:tc>
          <w:tcPr>
            <w:tcW w:w="7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addition to the $0.5 million of financing costs, net of accumulated amortization included in the table above, as of March 31, 2025, the Company also had financing costs, net of accumulated amortization related to the Credit Facility of $0.8 million which is included in other assets on the consolidated balance sheets. These costs are amortized on a straight-line basis over the term of the Credit Facility and are included in interest expense in the consolidated statements of operations.</w:t>
      </w:r>
    </w:p>
    <w:p>
      <w:pPr>
        <w:spacing w:after="0" w:line="75"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a summary of interest expense incurred and paid during the three months ended March 31, 2025 and 2024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0"/>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2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r>
      <w:tr>
        <w:trPr>
          <w:trHeight w:val="209"/>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from Obligation Under Participation Agreement</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 to Interest Expense</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50"/>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w:t>
            </w:r>
          </w:p>
        </w:tc>
      </w:tr>
      <w:tr>
        <w:trPr>
          <w:trHeight w:val="196"/>
        </w:trPr>
        <w:tc>
          <w:tcPr>
            <w:tcW w:w="5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Paid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w:t>
            </w:r>
          </w:p>
        </w:tc>
      </w:tr>
      <w:tr>
        <w:trPr>
          <w:trHeight w:val="20"/>
        </w:trPr>
        <w:tc>
          <w:tcPr>
            <w:tcW w:w="5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was in compliance with all of its debt covenants as of March 31, 2025.</w:t>
      </w: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14. INTEREST RATE SWAPS</w:t>
      </w:r>
    </w:p>
    <w:p>
      <w:pPr>
        <w:spacing w:after="0" w:line="121" w:lineRule="exact"/>
        <w:rPr>
          <w:sz w:val="20"/>
          <w:szCs w:val="20"/>
          <w:color w:val="auto"/>
        </w:rPr>
      </w:pPr>
    </w:p>
    <w:p>
      <w:pPr>
        <w:jc w:val="both"/>
        <w:ind w:left="60" w:right="59" w:firstLine="389"/>
        <w:spacing w:after="0" w:line="258" w:lineRule="auto"/>
        <w:rPr>
          <w:sz w:val="20"/>
          <w:szCs w:val="20"/>
          <w:color w:val="auto"/>
        </w:rPr>
      </w:pPr>
      <w:r>
        <w:rPr>
          <w:rFonts w:ascii="Times New Roman" w:cs="Times New Roman" w:eastAsia="Times New Roman" w:hAnsi="Times New Roman"/>
          <w:sz w:val="18"/>
          <w:szCs w:val="18"/>
          <w:color w:val="auto"/>
        </w:rPr>
        <w:t>The Company has entered into interest rate swap agreements to hedge against changes in future cash flows resulting from fluctuating interest rates related to the below noted borrowings. The interest rate agreements were 100% effective during the three months ended March 31, 2025 and 2024. Accordingly, the changes in fair value on the interest rate swaps have been classified in other comprehensive income. The fair value of the interest rate swap agreements are included in other assets and accounts payable, accrued expenses and other liabilities, respectively,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Information related to the Company’s interest rate swap agreements is noted below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as of</w:t>
            </w:r>
          </w:p>
        </w:tc>
        <w:tc>
          <w:tcPr>
            <w:tcW w:w="0" w:type="dxa"/>
            <w:vAlign w:val="bottom"/>
          </w:tcPr>
          <w:p>
            <w:pPr>
              <w:spacing w:after="0"/>
              <w:rPr>
                <w:sz w:val="1"/>
                <w:szCs w:val="1"/>
                <w:color w:val="auto"/>
              </w:rPr>
            </w:pPr>
          </w:p>
        </w:tc>
      </w:tr>
      <w:tr>
        <w:trPr>
          <w:trHeight w:val="215"/>
        </w:trPr>
        <w:tc>
          <w:tcPr>
            <w:tcW w:w="2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Hedged Item</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Date</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Date</w:t>
            </w:r>
          </w:p>
        </w:tc>
        <w:tc>
          <w:tcPr>
            <w:tcW w:w="12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2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4"/>
                <w:szCs w:val="24"/>
                <w:color w:val="auto"/>
                <w:vertAlign w:val="superscript"/>
              </w:rPr>
              <w:t>(1)</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2.05% + 0.10% +</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2026</w:t>
            </w:r>
          </w:p>
        </w:tc>
        <w:tc>
          <w:tcPr>
            <w:tcW w:w="2540" w:type="dxa"/>
            <w:vAlign w:val="bottom"/>
            <w:gridSpan w:val="2"/>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5/21/2021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5/21/2026</w:t>
            </w:r>
          </w:p>
        </w:tc>
        <w:tc>
          <w:tcPr>
            <w:tcW w:w="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applicable spread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2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4"/>
                <w:szCs w:val="24"/>
                <w:color w:val="auto"/>
                <w:vertAlign w:val="superscript"/>
              </w:rPr>
              <w:t>(2)</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1.61%+ 0.10%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2027</w:t>
            </w:r>
          </w:p>
        </w:tc>
        <w:tc>
          <w:tcPr>
            <w:tcW w:w="2540" w:type="dxa"/>
            <w:vAlign w:val="bottom"/>
            <w:gridSpan w:val="2"/>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11/29/2024</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1/31/2027</w:t>
            </w:r>
          </w:p>
        </w:tc>
        <w:tc>
          <w:tcPr>
            <w:tcW w:w="120" w:type="dxa"/>
            <w:vAlign w:val="bottom"/>
          </w:tcPr>
          <w:p>
            <w:pPr>
              <w:spacing w:after="0"/>
              <w:rPr>
                <w:sz w:val="18"/>
                <w:szCs w:val="18"/>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applicable spread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120" w:type="dxa"/>
            <w:vAlign w:val="bottom"/>
          </w:tcPr>
          <w:p>
            <w:pPr>
              <w:spacing w:after="0"/>
              <w:rPr>
                <w:sz w:val="18"/>
                <w:szCs w:val="18"/>
                <w:color w:val="auto"/>
              </w:rPr>
            </w:pPr>
          </w:p>
        </w:tc>
        <w:tc>
          <w:tcPr>
            <w:tcW w:w="4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3,115</w:t>
            </w:r>
          </w:p>
        </w:tc>
        <w:tc>
          <w:tcPr>
            <w:tcW w:w="0" w:type="dxa"/>
            <w:vAlign w:val="bottom"/>
          </w:tcPr>
          <w:p>
            <w:pPr>
              <w:spacing w:after="0"/>
              <w:rPr>
                <w:sz w:val="1"/>
                <w:szCs w:val="1"/>
                <w:color w:val="auto"/>
              </w:rPr>
            </w:pPr>
          </w:p>
        </w:tc>
      </w:tr>
      <w:tr>
        <w:trPr>
          <w:trHeight w:val="189"/>
        </w:trPr>
        <w:tc>
          <w:tcPr>
            <w:tcW w:w="360" w:type="dxa"/>
            <w:vAlign w:val="bottom"/>
            <w:shd w:val="clear" w:color="auto" w:fill="CCEEFF"/>
          </w:tcPr>
          <w:p>
            <w:pPr>
              <w:spacing w:after="0"/>
              <w:rPr>
                <w:sz w:val="16"/>
                <w:szCs w:val="16"/>
                <w:color w:val="auto"/>
              </w:rPr>
            </w:pPr>
          </w:p>
        </w:tc>
        <w:tc>
          <w:tcPr>
            <w:tcW w:w="2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4"/>
                <w:szCs w:val="24"/>
                <w:color w:val="auto"/>
                <w:vertAlign w:val="superscript"/>
              </w:rPr>
              <w:t>(3)</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3.84%+ 0.10% +</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2027</w:t>
            </w:r>
          </w:p>
        </w:tc>
        <w:tc>
          <w:tcPr>
            <w:tcW w:w="2540" w:type="dxa"/>
            <w:vAlign w:val="bottom"/>
            <w:gridSpan w:val="2"/>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9/30/2022</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1/31/2027</w:t>
            </w:r>
          </w:p>
        </w:tc>
        <w:tc>
          <w:tcPr>
            <w:tcW w:w="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applicable spread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189"/>
        </w:trPr>
        <w:tc>
          <w:tcPr>
            <w:tcW w:w="2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 xml:space="preserve">Credit Facility </w:t>
            </w:r>
            <w:r>
              <w:rPr>
                <w:rFonts w:ascii="Times New Roman" w:cs="Times New Roman" w:eastAsia="Times New Roman" w:hAnsi="Times New Roman"/>
                <w:sz w:val="24"/>
                <w:szCs w:val="24"/>
                <w:color w:val="auto"/>
                <w:vertAlign w:val="superscript"/>
              </w:rPr>
              <w:t>(4)</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3.21%+ 0.10%+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2900" w:type="dxa"/>
            <w:vAlign w:val="bottom"/>
            <w:gridSpan w:val="3"/>
            <w:vMerge w:val="continue"/>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3/1/2023</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3/1/2028</w:t>
            </w:r>
          </w:p>
        </w:tc>
        <w:tc>
          <w:tcPr>
            <w:tcW w:w="120" w:type="dxa"/>
            <w:vAlign w:val="bottom"/>
          </w:tcPr>
          <w:p>
            <w:pPr>
              <w:spacing w:after="0"/>
              <w:rPr>
                <w:sz w:val="24"/>
                <w:szCs w:val="24"/>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applicable spread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Pr>
          <w:p>
            <w:pPr>
              <w:spacing w:after="0"/>
              <w:rPr>
                <w:sz w:val="24"/>
                <w:szCs w:val="24"/>
                <w:color w:val="auto"/>
              </w:rPr>
            </w:pPr>
          </w:p>
        </w:tc>
        <w:tc>
          <w:tcPr>
            <w:tcW w:w="4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11430</wp:posOffset>
            </wp:positionV>
            <wp:extent cx="141414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83" w:lineRule="exact"/>
        <w:rPr>
          <w:sz w:val="20"/>
          <w:szCs w:val="20"/>
          <w:color w:val="auto"/>
        </w:rPr>
      </w:pPr>
    </w:p>
    <w:p>
      <w:pPr>
        <w:ind w:left="380" w:hanging="330"/>
        <w:spacing w:after="0"/>
        <w:tabs>
          <w:tab w:leader="none" w:pos="38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March 31, 2025, the Company has utilized interest rate swaps to fix SOFR and achieve a weighted average fixed interest rate of 2.05% plus</w:t>
      </w:r>
    </w:p>
    <w:p>
      <w:pPr>
        <w:spacing w:after="0" w:line="3" w:lineRule="exact"/>
        <w:rPr>
          <w:rFonts w:ascii="Times New Roman" w:cs="Times New Roman" w:eastAsia="Times New Roman" w:hAnsi="Times New Roman"/>
          <w:sz w:val="11"/>
          <w:szCs w:val="11"/>
          <w:color w:val="auto"/>
        </w:rPr>
      </w:pPr>
    </w:p>
    <w:p>
      <w:pPr>
        <w:ind w:left="380"/>
        <w:spacing w:after="0" w:line="221" w:lineRule="auto"/>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0.10% and the applicable spread on the $100.0 million 2026 Term Loan balance. The weighted average fixed interest rate of 2.05%, is comprised of:</w:t>
      </w:r>
    </w:p>
    <w:p>
      <w:pPr>
        <w:jc w:val="both"/>
        <w:ind w:left="380" w:right="79"/>
        <w:spacing w:after="0" w:line="221" w:lineRule="auto"/>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 rate swaps on $60.0 million of the 2026 Term Loan balance effective May 21, 2021, as amended on April 14, 2022 in connection with the 2026 Term Loan Amendment, to fix SOFR (prior to April 14, 2022, the swap was to fix LIBOR), and (ii) a rate swap on $40.0 million of the 2026 Term Loan Balance effective September 30, 2022, to fix SOFR.</w:t>
      </w:r>
    </w:p>
    <w:p>
      <w:pPr>
        <w:ind w:left="380" w:right="79" w:hanging="330"/>
        <w:spacing w:after="0" w:line="221" w:lineRule="auto"/>
        <w:tabs>
          <w:tab w:leader="none" w:pos="38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March 31, 2025, the Company has utilized interest rate swaps to fix SOFR and achieve a weighted average fixed interest rate of 1.61% plus 0.10% and the applicable spread on $80.0 million of the $100.0 million 2027 Term Loan balance.</w:t>
      </w:r>
    </w:p>
    <w:p>
      <w:pPr>
        <w:ind w:left="380" w:right="79" w:hanging="330"/>
        <w:spacing w:after="0" w:line="221" w:lineRule="auto"/>
        <w:tabs>
          <w:tab w:leader="none" w:pos="38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March 31, 2025, the Company has utilized an interest rate swap to fix SOFR and achieve a fixed interest rate of 3.84% plus 0.10% and the applicable spread on $20.0 million of the $100.0 million 2027 Term Loan balance.</w:t>
      </w:r>
    </w:p>
    <w:p>
      <w:pPr>
        <w:ind w:left="380" w:right="79" w:hanging="330"/>
        <w:spacing w:after="0" w:line="239" w:lineRule="auto"/>
        <w:tabs>
          <w:tab w:leader="none" w:pos="38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March 31, 2025, the Company has utilized an interest rate swap to fix SOFR and achieve a fixed interest rate of 3.21% plus 0.10% and the applicable spread on $50.0 million of the outstanding balance on the Credit Facility.</w:t>
      </w:r>
    </w:p>
    <w:p>
      <w:pPr>
        <w:spacing w:after="0" w:line="194"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use of interest rate swap agreements carries risks, including the risk that the counterparties to these agreements are not able to perform. To mitigate this risk, the Company enters into interest rate swap agreements with counterparties with high credit ratings and with major financial institutions with which the Company and its affiliates may also have other financial relationships. The Company does not currently anticipate that any of the counterparties to the Company’s interest rate swap agreements will fail to meet their obligations. As of March 31, 2025 and December 31, 2024, there were no events of default related to the Company's interest rate swap agreements.</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Subsequent to March 31, 2025, on April 4, 2025, the Company entered into an interest rate swap to fix SOFR and achieve a fixed interest rate of 3.43% plus 0.10% and the applicable spread on $50.0 million of the outstanding balance on the Credit Facility.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15. EQUITY</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SHELF REGISTRATION</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December 1, 2020, the Company filed a shelf registration statement on Form S-3, relating to the registration and potential issuance of its common stock, preferred stock, warrants, rights, and units with a maximum aggregate offering price of up to $350.0 million (the “2020 Registration Statement”). The Securities and Exchange Commission declared the 2020 Registration Statement effective on December 11, 2020.</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September 27, 2023, the Company filed a shelf registration statement on Form S-3, relating to the registration and potential issuance of common stock, preferred stock, debt securities, warrants, rights, and units with a maximum aggregate offering price of up to $350.0 million (the “2023 Registration Statement”). The 2020 Registration Statement was terminated concurrently with the filing of the 2023 Registration Statement. The Securities and Exchange Commission declared the 2023 Registration Statement effective on September 29, 2023.</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FOLLOW-ON PUBLIC OFFERING</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June 2021, the Company completed a follow-on public offering of 3,220,000 shares of common stock, which included the full exercise of the underwriters’ option to purchase an additional 420,000 shares of common stock. Upon closing, the Company issued 3,220,000 shares and received net proceeds of $54.3 million, after deducting the underwriting discount and expenses.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ATM PROGRAM</w:t>
      </w:r>
    </w:p>
    <w:p>
      <w:pPr>
        <w:spacing w:after="0" w:line="21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December 14, 2020, the Company implemented a $100.0 million “at-the-market” equity offering program (the “2020 ATM Program”) pursuant to which the Company may sell, from time to time, shares of the Company’s common stock. During the year ended December 31, 2022, the Company sold 446,167 shares under the 2020 ATM Program for gross proceeds of $8.7 million at a weighted average price of $19.44 per share, generating net proceeds of $8.6 million after deducting transaction fees totaling $0.1 million. During the year ended December 31, 2021, the Company sold 761,902 shares under the 2020 ATM Program for gross proceeds of $14.0 million at a weighted average price of $18.36 per share, generating net proceeds of $13.8 million after deducting transaction fees totaling $0.2 million. The 2020 ATM Program was terminated in advance of implementing the 2022 ATM Program, hereinafter defined.</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October 21, 2022, the Company implemented a $150.0 million “at-the-market” equity offering program (the “2022 ATM Program”) pursuant to which the Company may sell, from time to time, shares of the Company’s common stock. The Company was not active under the 2022 ATM Program during the three months ended March 31, 2025 and 2024. During the year ended December 31, 2024, the Company sold 1,059,271 shares under the 2022 ATM Program for gross proceeds of $19.1 million at a weighted average price of $18.04 per share, generating net proceeds of $18.8 million after deducting transaction fees totaling $0.3 million. During the year ended December 31, 2023, the Company sold 665,929 shares under the 2022 ATM Program for gross proceeds of $12.6 million at a weighted average price of $18.96 per share, generating net proceeds of $12.4 million after deducting transaction fees totaling $0.2 million. During the year ended December 31, 2022, the Company sold 1,479,241 shares under the 2022 ATM Program for gross proceeds of $27.8 million at a weighted average price of $18.81 per share, generating net proceeds of $27.4 million after deducting transaction fees totaling $0.4 million.</w:t>
      </w:r>
    </w:p>
    <w:p>
      <w:pPr>
        <w:spacing w:after="0" w:line="19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the aggregate, under the 2020 ATM Program and 2022 ATM Program, during the year ended December 31, 2022, the Company sold 1,925,408 shares for gross proceeds of $36.5 million at a weighted average price of $18.96 per share, generating net proceeds of $36.0 million after deducting transaction fees totaling $0.5 million.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NONCONTROLLING INTEREST</w:t>
      </w:r>
    </w:p>
    <w:p>
      <w:pPr>
        <w:spacing w:after="0" w:line="22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As of March 31, 2025, CTO holds, directly and indirectly, a 7.8% noncontrolling ownership interest in the Operating Partnership as a result of 1,223,854 OP Units issued to CTO at the time of the Company’s IPO.</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has elected to be taxed as a REIT for U.S. federal income tax purposes under the Code. To qualify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U.S. federal corporate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 During the three months ended March 31, 2025 and 2024, the Company declared and paid cash dividends on its common stock and OP Units of $0.285 and $0.275 per share, respectively.</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16. COMMON STOCK AND EARNINGS PER SHARE</w:t>
      </w:r>
    </w:p>
    <w:p>
      <w:pPr>
        <w:spacing w:after="0" w:line="21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Basic earnings per common share are computed by dividing net income attributable to the Company for the period by the weighted average number of shares of common stock outstanding for the period. Diluted earnings per common share are determined based on the assumption of the redemption of OP Units on a one-for-one basis using the treasury stock method at average market prices for the periods.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basic and diluted earnings per common share (in thousands, except share and per share data):</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9"/>
        </w:trPr>
        <w:tc>
          <w:tcPr>
            <w:tcW w:w="22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500" w:type="dxa"/>
            <w:vAlign w:val="bottom"/>
            <w:tcBorders>
              <w:top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 w:type="dxa"/>
            <w:vAlign w:val="bottom"/>
          </w:tcPr>
          <w:p>
            <w:pPr>
              <w:spacing w:after="0"/>
              <w:rPr>
                <w:sz w:val="18"/>
                <w:szCs w:val="18"/>
                <w:color w:val="auto"/>
              </w:rPr>
            </w:pPr>
          </w:p>
        </w:tc>
      </w:tr>
      <w:tr>
        <w:trPr>
          <w:trHeight w:val="209"/>
        </w:trPr>
        <w:tc>
          <w:tcPr>
            <w:tcW w:w="6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Alpine Income Property Trust, Inc.</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22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14,628,921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13,621,208</w:t>
            </w:r>
          </w:p>
        </w:tc>
        <w:tc>
          <w:tcPr>
            <w:tcW w:w="20" w:type="dxa"/>
            <w:vAlign w:val="bottom"/>
          </w:tcPr>
          <w:p>
            <w:pPr>
              <w:spacing w:after="0"/>
              <w:rPr>
                <w:sz w:val="18"/>
                <w:szCs w:val="18"/>
                <w:color w:val="auto"/>
              </w:rPr>
            </w:pPr>
          </w:p>
        </w:tc>
      </w:tr>
      <w:tr>
        <w:trPr>
          <w:trHeight w:val="190"/>
        </w:trPr>
        <w:tc>
          <w:tcPr>
            <w:tcW w:w="60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Weighted Average Number of Common Shares Applicable to OP Units using</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2"/>
        </w:trPr>
        <w:tc>
          <w:tcPr>
            <w:tcW w:w="6080" w:type="dxa"/>
            <w:vAlign w:val="bottom"/>
            <w:tcBorders>
              <w:bottom w:val="single" w:sz="8" w:color="CCEEFF"/>
            </w:tcBorders>
            <w:gridSpan w:val="2"/>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Treasury Stock Method </w:t>
            </w:r>
            <w:r>
              <w:rPr>
                <w:rFonts w:ascii="Times New Roman" w:cs="Times New Roman" w:eastAsia="Times New Roman" w:hAnsi="Times New Roman"/>
                <w:sz w:val="26"/>
                <w:szCs w:val="26"/>
                <w:color w:val="auto"/>
                <w:vertAlign w:val="superscript"/>
              </w:rPr>
              <w:t>(1)</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1,223,854</w:t>
            </w: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1,223,854</w:t>
            </w:r>
          </w:p>
        </w:tc>
        <w:tc>
          <w:tcPr>
            <w:tcW w:w="20" w:type="dxa"/>
            <w:vAlign w:val="bottom"/>
          </w:tcPr>
          <w:p>
            <w:pPr>
              <w:spacing w:after="0"/>
              <w:rPr>
                <w:sz w:val="21"/>
                <w:szCs w:val="21"/>
                <w:color w:val="auto"/>
              </w:rPr>
            </w:pPr>
          </w:p>
        </w:tc>
      </w:tr>
      <w:tr>
        <w:trPr>
          <w:trHeight w:val="209"/>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Applicable to Diluted Earnings per Share</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15,852,775</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14,845,062</w:t>
            </w:r>
          </w:p>
        </w:tc>
        <w:tc>
          <w:tcPr>
            <w:tcW w:w="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22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Common Share Data:</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Attributable to Alpine Income Property Trust, Inc.</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tcPr>
          <w:p>
            <w:pPr>
              <w:spacing w:after="0"/>
              <w:rPr>
                <w:sz w:val="18"/>
                <w:szCs w:val="18"/>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3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58" w:lineRule="exact"/>
        <w:rPr>
          <w:sz w:val="20"/>
          <w:szCs w:val="20"/>
          <w:color w:val="auto"/>
        </w:rPr>
      </w:pPr>
    </w:p>
    <w:p>
      <w:pPr>
        <w:ind w:left="380" w:hanging="330"/>
        <w:spacing w:after="0"/>
        <w:tabs>
          <w:tab w:leader="none" w:pos="38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Represents OP Units issued to CTO in connection with our formation transactions (See Note 19, “Related Party Management Company”).</w:t>
      </w:r>
    </w:p>
    <w:p>
      <w:pPr>
        <w:spacing w:after="0" w:line="2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17. SHARE REPURCHASES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May 2023, the Board approved a $5.0 million stock repurchase program (the “2023 $5.0 Million Repurchase Program”). Under the 2023 $5.0 Million Repurchase Program, the Company repurchased 23,889 shares of its common stock on the open market for a total cost of $0.4 million, or an average price per share of $15.22, during the year ended December 31, 2023.</w:t>
      </w:r>
    </w:p>
    <w:p>
      <w:pPr>
        <w:spacing w:after="0" w:line="180" w:lineRule="exact"/>
        <w:rPr>
          <w:sz w:val="20"/>
          <w:szCs w:val="20"/>
          <w:color w:val="auto"/>
        </w:rPr>
      </w:pPr>
    </w:p>
    <w:p>
      <w:pPr>
        <w:jc w:val="both"/>
        <w:ind w:left="60" w:right="59" w:firstLine="383"/>
        <w:spacing w:after="0" w:line="261" w:lineRule="auto"/>
        <w:rPr>
          <w:sz w:val="20"/>
          <w:szCs w:val="20"/>
          <w:color w:val="auto"/>
        </w:rPr>
      </w:pPr>
      <w:r>
        <w:rPr>
          <w:rFonts w:ascii="Times New Roman" w:cs="Times New Roman" w:eastAsia="Times New Roman" w:hAnsi="Times New Roman"/>
          <w:sz w:val="18"/>
          <w:szCs w:val="18"/>
          <w:color w:val="auto"/>
        </w:rPr>
        <w:t>In July 2023, the Board approved a $15.0 million stock repurchase program (the “2023 $15.0 Million Repurchase Program”). The 2023 $15.0 Million Repurchase Program replaced the 2023 $5.0 Million Repurchase Program. Under the 2023 $15.0 Million Repurchase Program, the Company repurchased 875,122 shares of its common stock on the open market for a total cost of $14.2 million, or an average price per share of $16.26, during the year ended December 31, 2023.</w:t>
      </w:r>
    </w:p>
    <w:p>
      <w:pPr>
        <w:spacing w:after="0" w:line="18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 aggregate, the Company repurchased 899,011 shares of its common stock on the open market for a total cost of $14.6 million, or an average price per share of $16.23, during the year ended December 31, 2023.</w:t>
      </w:r>
    </w:p>
    <w:p>
      <w:pPr>
        <w:spacing w:after="0" w:line="162"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Under the 2023 $15.0 Million Repurchase Program, the Company repurchased 45,768 shares of its common stock on the open market for a total cost of $0.8 million, or an average price per share of $16.90, during the three months ended March 31, 2024, which completed the 2023 $15.0 Million Repurchase Program.</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February 2025, the Board approved a $10.0 million stock repurchase program (the “2025 $10.0 Million Repurchase Program”). Under the 2025 $10.0 Million Repurchase Program, the Company repurchased 273,825 shares of its common stock on the open market for a total cost of $4.5 million, or an average price per share of $16.33, during the three months ended March 31, 2025.</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Subsequent to March 31, 2025 through April 24, 2025, the Company repurchased an additional 193,409 shares of its common stock on the open market under the 2025 $10.0 Million Repurchase Program for a total cost of $3.1 million, or an average price per share of $15.88.</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18. STOCK-BASED COMPENSATION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Under the Company’s non-employee director compensation policy, each non-employee member of the Board receives a portion of their annual retainer fee in shares of Company common stock, and a portion in cash; and, with respect to the cash portion, each director may elect to receive such portion in shares of Company common stock rather than cash. The number of shares issued to the directors is calculated quarterly by dividing (i) the amount of the quarterly retainer fee payment due to such director by (ii) the 20-day trailing average closing price of the Company’s common stock as of the last business day of the quarter for which such payment applied, rounded down to the nearest whole number of shares.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the expense recognized for the value of the Company’s common stock received by non-employee directors totaled $0.1 million, or 5,806 shares, which were issued on April 1, 2025. During the three months ended March 31, 2024, the expense recognized for the value of the Company’s common stock received by non-employee directors totaled $0.08 million, or 5,131 shares, which were issued on April 1, 2024.</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19. RELATED PARTY MANAGEMENT COMPANY</w:t>
      </w:r>
    </w:p>
    <w:p>
      <w:pPr>
        <w:spacing w:after="0" w:line="21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are externally managed by the Manager, a wholly owned subsidiary of CTO. Subsequent to the IPO, through March 31, 2025, CTO has purchased an aggregate of 322,831 shares of PINE common stock in the open market including</w:t>
      </w:r>
    </w:p>
    <w:p>
      <w:pPr>
        <w:jc w:val="both"/>
        <w:ind w:left="60" w:right="59" w:hanging="10"/>
        <w:spacing w:after="0" w:line="253" w:lineRule="auto"/>
        <w:tabs>
          <w:tab w:leader="none" w:pos="29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29,807 shares purchased during the year ended December 31, 2024 for $0.4 million, or an average price per share of $14.97, (ii) 129,271 shares purchased during the year ended December 31, 2023 for $2.1 million, or an average price per share of $16.21, (iii) 155,665 shares purchased during the year ended December 31, 2022 for $2.7 million, or an average price per share of $17.57 and (iv) 8,088 shares purchased during the year ended December 31, 2021 for $0.1 million, or an average price per share of $17.65.</w:t>
      </w:r>
    </w:p>
    <w:p>
      <w:pPr>
        <w:spacing w:after="0" w:line="18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As of March 31, 2025, CTO owns, in the aggregate, 1,223,854 OP Units and 1,138,621 shares of PINE common stock, inclusive of (i) 394,737 shares of common stock totaling $7.5 million issued in connection with a private placement that closed concurrently with the IPO, (ii) 421,053 shares of common stock totaling $8.0 million issued in connection with the IPO, and (iii) 322,831 shares of common stock totaling $5.4 million purchased by CTO subsequent to the IPO. The aggregate 1,223,854 OP Units and 1,138,621 shares of PINE common stock held by CTO represent an investment totaling $39.5 million, or 15.1% of PINE’s outstanding equity, as of March 31, 2025.</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Management Agreement</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On November 26, 2019, the Operating Partnership and PINE entered into a management agreement with the Manager (the “Management Agreement”). Pursuant to the terms of the Management Agreement, our Manager manages, operates, and administers our day-to-day operations, business and affairs, subject to the direction and supervision of the Board and in accordance with the investment guidelines approved and monitored by the Board. We pay our Manager a base management fee equal to 0.375% per quarter of our “total equity” (as defined in the Management Agreement and based on a 1.5% annual rate), calculated and payable in cash, quarterly in arrears.</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Manager has the ability to earn an annual incentive fee based on our total stockholder return exceeding an 8% cumulative annual hurdle rate (the “Outperformance Amount”) subject to a high-water mark price. We would pay our Manager an incentive fee with respect to each annual measurement period in the amount of the greater of (i) $0.00 and (ii) the product of (a) 15% multiplied by (b) the Outperformance Amount multiplied by (c) the weighted average shares. No incentive fee was due for the year ended December 31, 2024.</w:t>
      </w:r>
    </w:p>
    <w:p>
      <w:pPr>
        <w:spacing w:after="0" w:line="18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On July 18, 2024, the Operating Partnership and PINE entered into an amendment (the “Amendment”) to the Management Agreement with the Manager. The Amendment extended the expiration date of the initial term of the Management Agreement from November 26, 2024 to January 31, 2025, and on that date the term of the agreement automatically renewed for a one-year term. The current term of the agreement expires on January 31, 2026 and will automatically renew for an unlimited number of successive one-year periods thereafter, unless the agreement is not renewed or is terminated in accordance with its terms.</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independent directors review our Manager’s performance and the management fees annually and, following the initial term, the Management Agreement may be terminated annually upon the affirmative vote of two-thirds of our independent directors or upon a determination by the holders of a majority of the outstanding shares of our common stock, based upon (i) unsatisfactory performance by the Manager that is materially detrimental to us or (ii) a determination that the management fees payable to our Manager are not fair, subject to our Manager’s right to prevent such termination due to unfair fees by accepting a reduction of management fees agreed to by two-thirds of our independent directors. We may also terminate the Management Agreement for cause at any time, including during the initial term, without the payment of any termination fee, with 30 days’ prior written notice from the Board. During the initial term of the Management Agreement, we may not terminate the Management Agreement except for cause.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pay directly or reimburse our Manager for certain expenses, if incurred by our Manager. We do not reimburse any compensation expenses incurred by our Manager or its affiliates. Expense reimbursements to our Manager are made in cash on a quarterly basis following the end of each quarter. In addition, we pay all of our operating expenses, except those specifically required to be borne by our Manager pursuant to the Management Agreement.</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incurred management fee expenses totaling $1.1 million and $1.0 million during the three months ended March 31, 2025 and 2024, respectively. The Company also paid dividends on the common stock and OP Units owned by affiliates of the Manager in the amount of $0.7 million and $0.6 million for the three months ended March 31, 2025 and 2024, respectively.</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represents amounts due to CTO (in thousands):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0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18"/>
                <w:szCs w:val="18"/>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 due to CTO</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4900" w:type="dxa"/>
            <w:vAlign w:val="bottom"/>
            <w:tcBorders>
              <w:bottom w:val="single" w:sz="8" w:color="CCEEFF"/>
            </w:tcBorders>
            <w:gridSpan w:val="3"/>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Total </w:t>
            </w:r>
            <w:r>
              <w:rPr>
                <w:rFonts w:ascii="Times New Roman" w:cs="Times New Roman" w:eastAsia="Times New Roman" w:hAnsi="Times New Roman"/>
                <w:sz w:val="24"/>
                <w:szCs w:val="24"/>
                <w:color w:val="auto"/>
                <w:vertAlign w:val="superscript"/>
              </w:rPr>
              <w:t>(1)</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2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80" w:hanging="330"/>
        <w:spacing w:after="0"/>
        <w:tabs>
          <w:tab w:leader="none" w:pos="38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Included in accrued expenses, see Note 11, “Accounts Payable, Accrued Expenses, and Other Liabilities”.</w:t>
      </w: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ROFO Agreement</w:t>
      </w:r>
    </w:p>
    <w:p>
      <w:pPr>
        <w:spacing w:after="0" w:line="20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November 26, 2019, PINE also entered into an Exclusivity and Right of First Offer Agreement with CTO (the “ROFO Agreement”). During the term of the ROFO Agreement, CTO will not, and will cause each of its affiliates (which for purposes of the ROFO Agreement will not include our company and our subsidiaries) not to, acquire, directly or indirectly, a single-tenant, net leased property, unless CTO has notified us of the opportunity and we have affirmatively rejected the opportunity to acquire the applicable property or properties.</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terms of the ROFO Agreement do not restrict CTO or any of its affiliates from providing financing for a third party’s acquisition of single-tenant, net leased properties or from developing and owning any single-tenant, net leased property.</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Pursuant to the ROFO Agreement, neither CTO nor any of its affiliates (which for purposes of the ROFO Agreement does not include our company and our subsidiaries) may sell to any third party any single-tenant, net leased property that was owned by CTO or any of its affiliates as of the closing date of the IPO or that is developed and owned by CTO or any of its affiliates after the closing date of the IPO, without first offering us the right to purchase such property.</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term of the ROFO Agreement will continue for so long as the Management Agreement with our Manager is in effect.</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On April 6, 2021, the Company entered into a purchase and sale agreement with a certain subsidiary of CTO for the purchase of one net lease property for $11.5 million. The acquisition was completed on April 23, 2021.</w:t>
      </w:r>
    </w:p>
    <w:p>
      <w:pPr>
        <w:spacing w:after="0" w:line="16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April 2, 2021, the Company entered into a purchase and sale agreement with certain subsidiaries of CTO for the purchase of six net lease properties (the “CMBS Portfolio”). The terms of the purchase and sale agreement, as amended on April 20, 2021, provided a total purchase price of $44.5 million for the CMBS Portfolio. The acquisition of the CMBS Portfolio was completed on June 30, 2021.</w:t>
      </w:r>
    </w:p>
    <w:p>
      <w:pPr>
        <w:spacing w:after="0" w:line="18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On January 5, 2022, the Company entered into a purchase and sale agreement with a certain subsidiary of CTO for the purchase of one net lease property for $6.9 million. The acquisition was completed on January 7, 2022.</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entry into these purchase and sale agreements, and subsequent completion of the related acquisitions, are a result of the Company exercising its right to purchase the aforementioned properties under the ROFO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Conflicts of Interest</w:t>
      </w:r>
    </w:p>
    <w:p>
      <w:pPr>
        <w:spacing w:after="0" w:line="21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Conflicts of interest may exist or could arise in the future with CTO and its affiliates, including our Manager, the individuals who serve as our executive officers and executive officers of CTO, any individual who serves as a director of our company and as a director of CTO and any limited partner of the Operating Partnership. Conflicts may include, without limitation: conflicts arising from the enforcement of agreements between us and CTO or our Manager; conflicts in the amount of time that executive officers and employees of CTO, who are provided to us through our Manager, will spend on our affairs versus CTO’s affairs; and conflicts in future transactions that we may pursue with CTO and its affiliates. We do not generally expect to enter into joint ventures with CTO, but if we do so, the terms and conditions of our joint venture investment will be subject to the approval of a majority of disinterested directors of the Board.</w:t>
      </w:r>
    </w:p>
    <w:p>
      <w:pPr>
        <w:spacing w:after="0" w:line="19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addition, we are subject to conflicts of interest arising out of our relationships with our Manager. Pursuant to the Management Agreement, our Manager is obligated to supply us with our senior management team. However, our Manager is not obligated to dedicate any specific CTO personnel exclusively to us, nor are the CTO personnel provided to us by our Manager obligated to dedicate any specific portion of their time to the management of our business. Additionally, our Manager is a wholly owned subsidiary of CTO. All of our executive officers are executive officers and employees of CTO and one of our officers (John P. Albright) is also a member of CTO’s board of directors. As a result, our Manager and the CTO personnel it provides to us may have conflicts between their duties to us and their duties to, and interests in, CTO.</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may acquire, sell, or finance net leased properties that would potentially fit the investment criteria for our Manager or its affiliates. Similarly, our Manager or its affiliates may acquire, sell, or finance net leased properties that would potentially fit our investment criteria. Although such acquisitions or dispositions could present conflicts of interest, we nonetheless may pursue and consummate such transactions. Additionally, we may engage in transactions directly with our Manager or its affiliates, including the purchase and sale of all or a portion of a portfolio of assets. If we acquire a net leased property from CTO or one of its affiliates or sell a net leased property to CTO or one of its affiliates, the purchase price we pay to CTO or one of its affiliates or the purchase price paid to us by CTO or one of its affiliates may be higher or lower, respectively, than the purchase price that would have been paid to or by us if the transaction were the result of arm’s length negotiations with an unaffiliated third party.</w:t>
      </w:r>
    </w:p>
    <w:p>
      <w:pPr>
        <w:spacing w:after="0" w:line="18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deciding whether to issue additional debt or equity securities, we will rely, in part, on recommendations made by our Manager. While such decisions are subject to the approval of the Board, our Manager is entitled to be paid a base management fee that is based on our “total equity” (as defined in the Management Agreement). As a result, our Manager may have an incentive to recommend that we issue additional equity securities at dilutive prices.</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All of our executive officers are executive officers and employees of CTO. These individuals and other CTO personnel provided to us through our Manager devote as much time to us as our Manager deems appropriate. However, our executive officers and other CTO personnel provided to us through our Manager may have conflicts in allocating their time and services between us, on the one hand, and CTO and its affiliates, on the other. During a period of prolonged economic weakness or another economic downturn affecting the real estate industry or at other times when we need focused support and assistance from our Manager and the CTO executive officers and other personnel provided to us through our Manager, we may not receive the necessary support and assistance we require or that we would otherwise receive if we were self-managed.</w:t>
      </w:r>
    </w:p>
    <w:p>
      <w:pPr>
        <w:spacing w:after="0" w:line="19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Additionally, the ROFO Agreement does contain exceptions to CTO’s exclusivity for opportunities that include only an incidental interest in single-tenant, net leased properties. Accordingly, the ROFO Agreement will not prevent CTO from pursuing certain acquisition opportunities that otherwise satisfy our then-current investment criteria.</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directors and executive officers have duties to our company under applicable Maryland law in connection with their management of our company. At the same time, PINE GP has fiduciary duties, as the general partner, to the Operating Partnership and to the limited partners under Delaware law in connection with the management of the Operating Partnership. These duties as a general partner to the Operating Partnership and its partners may come into conflict with the duties of our directors and executive officers to us. Unless otherwise provided for in the relevant partnership agreement, Delaware law generally requires a general partner of a Delaware limited partnership to adhere to fiduciary duty standards under which it owes its limited partners the highest duties of loyalty and care and which generally prohibits such general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partner from taking any action or engaging in any transaction as to which it has a conflict of interest. The partnership agreement provides that in the event of a conflict between the interests of our stockholders on the one hand and the limited partners of the Operating Partnership on the other hand, PINE GP will endeavor in good faith to resolve the conflict in a manner not adverse to either our stockholders or the limited partners; provided, however, that so long as we own a controlling interest in the Operating Partnership, any such conflict that we, in our sole and absolute discretion, determine cannot be resolved in a manner not adverse to either our stockholders or the limited partners of the Operating Partnership shall be resolved in favor of our stockholders, and we shall not be liable for monetary damages for losses sustained, liabilities incurred or benefits not derived by the limited partners in connection with such decisions.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Sharing Agreement</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December 4, 2023, CTO entered into an asset management agreement directly with the borrower under the Mortgage Note (as described in Note 4, “Commercial Loans and Investments”) to manage the portfolio of assets secured by the Mortgage Note. The Company entered into a revenue sharing agreement with CTO whereby the Company is expected to receive a share of the asset management fees, disposition management fees, leasing commissions, and other fees related to CTO’s management and administration of the portfolio (the “Revenue Sharing Agreement”). The Company’s share of the fees under the Revenue Sharing Agreement is based on fees earned by CTO associated with the single tenant properties within the portfolio. The Company recognized $0.1 million of revenue pursuant to the Revenue Sharing Agreement during the three months ended March 31, 2025 and 2024, which is included in other revenue on the Company’s consolidated statements of operations.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20. COMMITMENTS AND CONTINGENCIES</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14" w:lineRule="exact"/>
        <w:rPr>
          <w:sz w:val="20"/>
          <w:szCs w:val="20"/>
          <w:color w:val="auto"/>
        </w:rPr>
      </w:pPr>
    </w:p>
    <w:p>
      <w:pPr>
        <w:jc w:val="both"/>
        <w:ind w:left="60" w:right="79" w:firstLine="389"/>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CONTRACTUAL COMMITMENTS – EXPENDITURES</w:t>
      </w:r>
    </w:p>
    <w:p>
      <w:pPr>
        <w:spacing w:after="0" w:line="227" w:lineRule="exact"/>
        <w:rPr>
          <w:sz w:val="20"/>
          <w:szCs w:val="20"/>
          <w:color w:val="auto"/>
        </w:rPr>
      </w:pPr>
    </w:p>
    <w:p>
      <w:pPr>
        <w:jc w:val="both"/>
        <w:ind w:left="60" w:right="79" w:firstLine="389"/>
        <w:spacing w:after="0" w:line="282" w:lineRule="auto"/>
        <w:rPr>
          <w:sz w:val="20"/>
          <w:szCs w:val="20"/>
          <w:color w:val="auto"/>
        </w:rPr>
      </w:pPr>
      <w:r>
        <w:rPr>
          <w:rFonts w:ascii="Times New Roman" w:cs="Times New Roman" w:eastAsia="Times New Roman" w:hAnsi="Times New Roman"/>
          <w:sz w:val="18"/>
          <w:szCs w:val="18"/>
          <w:color w:val="auto"/>
        </w:rPr>
        <w:t>The Company is committed to fund six construction loans as described in Note 4, “Commercial Loans and Investments”. The unfunded portion of the construction loans totaled $25.4 million as of March 31, 2025.</w:t>
      </w:r>
    </w:p>
    <w:p>
      <w:pPr>
        <w:spacing w:after="0" w:line="162" w:lineRule="exact"/>
        <w:rPr>
          <w:sz w:val="20"/>
          <w:szCs w:val="20"/>
          <w:color w:val="auto"/>
        </w:rPr>
      </w:pPr>
    </w:p>
    <w:p>
      <w:pPr>
        <w:jc w:val="both"/>
        <w:ind w:left="60" w:right="59" w:firstLine="389"/>
        <w:spacing w:after="0" w:line="266" w:lineRule="auto"/>
        <w:rPr>
          <w:sz w:val="20"/>
          <w:szCs w:val="20"/>
          <w:color w:val="auto"/>
        </w:rPr>
      </w:pPr>
      <w:r>
        <w:rPr>
          <w:rFonts w:ascii="Times New Roman" w:cs="Times New Roman" w:eastAsia="Times New Roman" w:hAnsi="Times New Roman"/>
          <w:sz w:val="18"/>
          <w:szCs w:val="18"/>
          <w:color w:val="auto"/>
        </w:rPr>
        <w:t>Pursuant to a certain lease agreement executed during the year ended December 31, 2024, the Company is committed to funding $5.0 million in tenant improvements for a property which capital expenditure is expected to be funded within one year.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21. BUSINESS SEGMENT DATA</w:t>
      </w: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operates in two primary business segments: income properties and commercial loans and investments.</w:t>
      </w:r>
    </w:p>
    <w:p>
      <w:pPr>
        <w:spacing w:after="0" w:line="18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income property operations consist of lease income from income producing properties and our business plan is focused on investing in additional income-producing properties. Our income property operations accounted for 80% and 82% of our identifiable assets as of March 31, 2025 and December 31, 2024, respectively, and 83% and 92% of our consolidated revenues for the three months ended March 31, 2025 and 2024, respectively. Our commercial loans and investment operations accounted for 18% and 15% of our identifiable assets as of March 31, 2025 and December 31, 2024, respectively, and 16% and 7% of our consolidated revenues for the three months ended March 31, 2025 and 2024, respectively. As of March 31, 2025, our commercial loans investment portfolio consisted of eleven commercial loan investments, of which three are related to properties acquired through a sale-leaseback transaction whereby the tenant has a future repurchase right.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Company’s CODM evaluates segment performance based on total revenues less direct costs of revenues when making decisions about allocating capital to the segments. The Company’s reportable segments are strategic business units that offer different products. They are managed separately because each segment requires different management techniques, knowledge, and skill.</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Information about the Company’s operations in different segments for the three months ended March 31, 2025 is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Commercial</w:t>
            </w:r>
          </w:p>
        </w:tc>
        <w:tc>
          <w:tcPr>
            <w:tcW w:w="1040" w:type="dxa"/>
            <w:vAlign w:val="bottom"/>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40" w:type="dxa"/>
            <w:vAlign w:val="bottom"/>
          </w:tcPr>
          <w:p>
            <w:pPr>
              <w:spacing w:after="0"/>
              <w:rPr>
                <w:sz w:val="18"/>
                <w:szCs w:val="18"/>
                <w:color w:val="auto"/>
              </w:rPr>
            </w:pPr>
          </w:p>
        </w:tc>
        <w:tc>
          <w:tcPr>
            <w:tcW w:w="1600" w:type="dxa"/>
            <w:vAlign w:val="bottom"/>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Loans and</w:t>
            </w:r>
          </w:p>
        </w:tc>
        <w:tc>
          <w:tcPr>
            <w:tcW w:w="1040" w:type="dxa"/>
            <w:vAlign w:val="bottom"/>
          </w:tcPr>
          <w:p>
            <w:pPr>
              <w:spacing w:after="0"/>
              <w:rPr>
                <w:sz w:val="18"/>
                <w:szCs w:val="18"/>
                <w:color w:val="auto"/>
              </w:rPr>
            </w:pPr>
          </w:p>
        </w:tc>
      </w:tr>
      <w:tr>
        <w:trPr>
          <w:trHeight w:val="238"/>
        </w:trPr>
        <w:tc>
          <w:tcPr>
            <w:tcW w:w="4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Properties</w:t>
            </w:r>
          </w:p>
        </w:tc>
        <w:tc>
          <w:tcPr>
            <w:tcW w:w="140" w:type="dxa"/>
            <w:vAlign w:val="bottom"/>
          </w:tcPr>
          <w:p>
            <w:pPr>
              <w:spacing w:after="0"/>
              <w:rPr>
                <w:sz w:val="20"/>
                <w:szCs w:val="20"/>
                <w:color w:val="auto"/>
              </w:rPr>
            </w:pPr>
          </w:p>
        </w:tc>
        <w:tc>
          <w:tcPr>
            <w:tcW w:w="160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11,826</w:t>
            </w: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 from Commercial Loans and Investments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r>
      <w:tr>
        <w:trPr>
          <w:trHeight w:val="209"/>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 for Reportable Segments</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14,127</w:t>
            </w:r>
          </w:p>
        </w:tc>
      </w:tr>
      <w:tr>
        <w:trPr>
          <w:trHeight w:val="229"/>
        </w:trPr>
        <w:tc>
          <w:tcPr>
            <w:tcW w:w="4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to Consolidated Revenues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49"/>
        </w:trPr>
        <w:tc>
          <w:tcPr>
            <w:tcW w:w="4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18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gridSpan w:val="2"/>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14,206</w:t>
            </w:r>
          </w:p>
        </w:tc>
      </w:tr>
      <w:tr>
        <w:trPr>
          <w:trHeight w:val="197"/>
        </w:trPr>
        <w:tc>
          <w:tcPr>
            <w:tcW w:w="4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 Estate Expenses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r>
      <w:tr>
        <w:trPr>
          <w:trHeight w:val="209"/>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 Less Direct Costs of Revenues</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9,792</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12,093</w:t>
            </w: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Impairment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7,307</w:t>
            </w:r>
          </w:p>
        </w:tc>
      </w:tr>
      <w:tr>
        <w:trPr>
          <w:trHeight w:val="178"/>
        </w:trPr>
        <w:tc>
          <w:tcPr>
            <w:tcW w:w="466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Total Revenues Less Operating Expenses for Reportable</w:t>
            </w:r>
          </w:p>
        </w:tc>
        <w:tc>
          <w:tcPr>
            <w:tcW w:w="1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r>
      <w:tr>
        <w:trPr>
          <w:trHeight w:val="23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Segments</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r>
      <w:tr>
        <w:trPr>
          <w:trHeight w:val="210"/>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Operations for Reportable Segments</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i w:val="1"/>
          <w:iCs w:val="1"/>
          <w:color w:val="auto"/>
        </w:rPr>
        <w:t>Reconciliation to Consolidated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-110490</wp:posOffset>
            </wp:positionV>
            <wp:extent cx="564896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Investment and Other Income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4896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Consolidated Net Loss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79</w:t>
      </w:r>
    </w:p>
    <w:p>
      <w:pPr>
        <w:spacing w:after="0" w:line="27"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(1,716)</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45</w:t>
      </w:r>
    </w:p>
    <w:p>
      <w:pPr>
        <w:spacing w:after="0" w:line="23"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(3,592)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14605</wp:posOffset>
            </wp:positionV>
            <wp:extent cx="8489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3" w:lineRule="exact"/>
        <w:rPr>
          <w:sz w:val="20"/>
          <w:szCs w:val="20"/>
          <w:color w:val="auto"/>
        </w:rPr>
      </w:pPr>
    </w:p>
    <w:p>
      <w:pPr>
        <w:ind w:left="787" w:hanging="787"/>
        <w:spacing w:after="0"/>
        <w:tabs>
          <w:tab w:leader="none" w:pos="787"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21590</wp:posOffset>
            </wp:positionV>
            <wp:extent cx="8489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4899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38735</wp:posOffset>
            </wp:positionV>
            <wp:extent cx="8489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489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13" w:space="720"/>
            <w:col w:w="1386"/>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Information about the Company’s operations in different segments for the three months ended March 31, 2024 is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Commercial</w:t>
            </w:r>
          </w:p>
        </w:tc>
        <w:tc>
          <w:tcPr>
            <w:tcW w:w="1040" w:type="dxa"/>
            <w:vAlign w:val="bottom"/>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40" w:type="dxa"/>
            <w:vAlign w:val="bottom"/>
          </w:tcPr>
          <w:p>
            <w:pPr>
              <w:spacing w:after="0"/>
              <w:rPr>
                <w:sz w:val="18"/>
                <w:szCs w:val="18"/>
                <w:color w:val="auto"/>
              </w:rPr>
            </w:pPr>
          </w:p>
        </w:tc>
        <w:tc>
          <w:tcPr>
            <w:tcW w:w="1600" w:type="dxa"/>
            <w:vAlign w:val="bottom"/>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Loans and</w:t>
            </w:r>
          </w:p>
        </w:tc>
        <w:tc>
          <w:tcPr>
            <w:tcW w:w="1040" w:type="dxa"/>
            <w:vAlign w:val="bottom"/>
          </w:tcPr>
          <w:p>
            <w:pPr>
              <w:spacing w:after="0"/>
              <w:rPr>
                <w:sz w:val="18"/>
                <w:szCs w:val="18"/>
                <w:color w:val="auto"/>
              </w:rPr>
            </w:pPr>
          </w:p>
        </w:tc>
      </w:tr>
      <w:tr>
        <w:trPr>
          <w:trHeight w:val="238"/>
        </w:trPr>
        <w:tc>
          <w:tcPr>
            <w:tcW w:w="4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Properties</w:t>
            </w:r>
          </w:p>
        </w:tc>
        <w:tc>
          <w:tcPr>
            <w:tcW w:w="140" w:type="dxa"/>
            <w:vAlign w:val="bottom"/>
          </w:tcPr>
          <w:p>
            <w:pPr>
              <w:spacing w:after="0"/>
              <w:rPr>
                <w:sz w:val="20"/>
                <w:szCs w:val="20"/>
                <w:color w:val="auto"/>
              </w:rPr>
            </w:pPr>
          </w:p>
        </w:tc>
        <w:tc>
          <w:tcPr>
            <w:tcW w:w="160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11,464</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11,464</w:t>
            </w: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 from Commercial Loans and Investments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09"/>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 for Reportable Segments</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11,464</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12,367</w:t>
            </w:r>
          </w:p>
        </w:tc>
      </w:tr>
      <w:tr>
        <w:trPr>
          <w:trHeight w:val="230"/>
        </w:trPr>
        <w:tc>
          <w:tcPr>
            <w:tcW w:w="4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to Consolidated Revenues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49"/>
        </w:trPr>
        <w:tc>
          <w:tcPr>
            <w:tcW w:w="4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18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gridSpan w:val="2"/>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12,466</w:t>
            </w:r>
          </w:p>
        </w:tc>
      </w:tr>
      <w:tr>
        <w:trPr>
          <w:trHeight w:val="197"/>
        </w:trPr>
        <w:tc>
          <w:tcPr>
            <w:tcW w:w="4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 Estate Expenses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r>
      <w:tr>
        <w:trPr>
          <w:trHeight w:val="210"/>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 Less Direct Costs of Revenues</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9,536</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10,439</w:t>
            </w: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Impairment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w:t>
            </w:r>
          </w:p>
        </w:tc>
      </w:tr>
      <w:tr>
        <w:trPr>
          <w:trHeight w:val="210"/>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Operations for Reportable Segments</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r>
      <w:tr>
        <w:trPr>
          <w:trHeight w:val="229"/>
        </w:trPr>
        <w:tc>
          <w:tcPr>
            <w:tcW w:w="4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to Consolidated Net Income</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and Other Income</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w:t>
            </w:r>
          </w:p>
        </w:tc>
      </w:tr>
      <w:tr>
        <w:trPr>
          <w:trHeight w:val="20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Loss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0"/>
        </w:trPr>
        <w:tc>
          <w:tcPr>
            <w:tcW w:w="4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779" w:firstLine="324"/>
        <w:spacing w:after="0" w:line="282" w:lineRule="auto"/>
        <w:rPr>
          <w:sz w:val="20"/>
          <w:szCs w:val="20"/>
          <w:color w:val="auto"/>
        </w:rPr>
      </w:pPr>
      <w:r>
        <w:rPr>
          <w:rFonts w:ascii="Times New Roman" w:cs="Times New Roman" w:eastAsia="Times New Roman" w:hAnsi="Times New Roman"/>
          <w:sz w:val="18"/>
          <w:szCs w:val="18"/>
          <w:color w:val="auto"/>
        </w:rPr>
        <w:t>Capital expenditures of each segment for the three months ended March 31, 2025 and 2024 are as follows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10"/>
        </w:trPr>
        <w:tc>
          <w:tcPr>
            <w:tcW w:w="3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20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Properties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39,988</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Loans and Investments</w:t>
            </w:r>
          </w:p>
        </w:tc>
        <w:tc>
          <w:tcPr>
            <w:tcW w:w="20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21,383</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0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61,371</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060" w:type="dxa"/>
            <w:vAlign w:val="bottom"/>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48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4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Identifiable assets of each segment as of March 31, 2025 and December 31, 2024 are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80" w:type="dxa"/>
            <w:vAlign w:val="bottom"/>
            <w:tcBorders>
              <w:bottom w:val="single" w:sz="8" w:color="auto"/>
            </w:tcBorders>
          </w:tcPr>
          <w:p>
            <w:pPr>
              <w:spacing w:after="0"/>
              <w:rPr>
                <w:sz w:val="20"/>
                <w:szCs w:val="20"/>
                <w:color w:val="auto"/>
              </w:rPr>
            </w:pPr>
          </w:p>
        </w:tc>
      </w:tr>
      <w:tr>
        <w:trPr>
          <w:trHeight w:val="187"/>
        </w:trPr>
        <w:tc>
          <w:tcPr>
            <w:tcW w:w="5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60" w:type="dxa"/>
            <w:vAlign w:val="bottom"/>
          </w:tcPr>
          <w:p>
            <w:pPr>
              <w:spacing w:after="0"/>
              <w:rPr>
                <w:sz w:val="20"/>
                <w:szCs w:val="20"/>
                <w:color w:val="auto"/>
              </w:rPr>
            </w:pPr>
          </w:p>
        </w:tc>
        <w:tc>
          <w:tcPr>
            <w:tcW w:w="16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Identifiable Assets:</w:t>
            </w:r>
          </w:p>
        </w:tc>
        <w:tc>
          <w:tcPr>
            <w:tcW w:w="4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Properties</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518,366</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497,765</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Loans and Investments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92,358</w:t>
            </w: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4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14,855</w:t>
            </w:r>
          </w:p>
        </w:tc>
      </w:tr>
      <w:tr>
        <w:trPr>
          <w:trHeight w:val="210"/>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647,397</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604,995</w:t>
            </w:r>
          </w:p>
        </w:tc>
      </w:tr>
      <w:tr>
        <w:trPr>
          <w:trHeight w:val="20"/>
        </w:trPr>
        <w:tc>
          <w:tcPr>
            <w:tcW w:w="5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Identifiable assets by segment are those assets that are used in the Company’s operations in each segment. Corporate and other assets consist primarily of cash and restricted cash as well as the interest rate swaps.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22. SUBSEQUENT EVENTS</w:t>
      </w:r>
    </w:p>
    <w:p>
      <w:pPr>
        <w:spacing w:after="0" w:line="243"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Subsequent events and transactions were evaluated through April 24, 2025, the date the consolidated financial statements were issued.</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On April 4, 2025, the Company entered into an interest rate swap to fix SOFR and achieve a fixed interest rate of 3.43% plus 0.10% and the applicable spread on $50.0 million of the outstanding balance on the Credit Facility.</w:t>
      </w:r>
    </w:p>
    <w:p>
      <w:pPr>
        <w:spacing w:after="0" w:line="17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Subsequent to March 31, 2025 through April 24, 2025, the Company repurchased an additional 193,409 shares of its common stock on the open market under the 2025 $10.0 Million Repurchase Program for a total cost of $3.1 million, or an average price per share of $15.88.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When we refer to “we,” “us,” “our,” or “the Company,” we mean Alpine Income Property Trust, Inc. and its consolidated subsidiaries. References to “Notes to Financial Statements” refer to the Notes to the Consolidated Financial Statements of Alpine Income Property Trust, Inc. included in this Quarterly Report on Form 10-Q. Some of the comments we make in this section are forward-looking statements within the meaning of the federal securities laws. For a discussion of forward-looking statements, see the section below entitled “Special Note Regarding Forward-Looking Statements.” Certain factors that could cause actual results or events to differ materially from those the Company anticipates or projects are described in “Item 1A. Risk Factors” of the Company’s Annual Report on Form 10-K for the year ended December 31, 2024, and in “Part II, Item 1A. Risk Factors” of this Quarterly Report on Form 10-Q..</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(set forth in Section 27A of the Securities Act of 1933, as amended, and Section 21E of the Securities Exchange Act of 1934, as amended (the “Exchange Act”)). The words “believe,” “estimate,” “expect,” “intend,” “anticipate,” “will,” “could,” “may,” “should,” “plan,” “potential,” “predict,” “forecast,” “project,” and similar expressions and variations thereof identify certain of such forward-looking statements, which speak only as of the dates on which they were made. Forward-looking statements are made based upon management’s expectations and beliefs concerning future developments and their potential effect upon the Company. There can be no assurance that future developments will be in accordance with management’s expectations or that the effect of future developments on the Company will be those anticipated by management.</w:t>
      </w:r>
    </w:p>
    <w:p>
      <w:pPr>
        <w:spacing w:after="0" w:line="18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Because forward-looking statements relate to the future, by their nature, they are subject to inherent uncertainties, risks and changes in circumstances that are difficult to predict. These risks and uncertainties include, but are not limited to, the strength of the real estate market; the impact of a recession or downturn in economic conditions; our ability to successfully execute acquisition or development strategies; credit risk associated with us investing in commercial loans and investments; any loss of key management personnel; changes in local, regional, national and global economic conditions affecting the real estate development business and properties, including unstable macroeconomic conditions due to, among other things, geopolitical conflicts, inflation, higher interest rates; and tariffs and international trade policies; the impact of competitive real estate activity; the loss of any major property tenants; the ultimate geographic spread, severity and duration of pandemics, actions that may be taken by governmental authorities to contain or address the impact of such pandemics, and the potential negative impacts of such pandemics on the global economy and our financial condition and results of operations; and the availability of capital. These risks and uncertainties may cause our actual future results to be materially different than those expressed in our forward-looking statements.</w:t>
      </w:r>
    </w:p>
    <w:p>
      <w:pPr>
        <w:spacing w:after="0" w:line="19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See “Item 1A. Risk Factors” of the Company’s Annual Report on Form 10-K for the year ended December 31, 2024 and “Part II, Item 1A. Risk Factors” of this Quarterly Report on Form 10-Q for further discussion of these risks, as well as additional risks and uncertainties that could cause actual results or events to differ materially from those described in the Company’s forward-looking statements. Given these risks and uncertainties, readers are cautioned not to place undue reliance on such statements, which speak only as of the date of this Quarterly Report on Form 10-Q. The Company undertakes no obligation to publicly release any revisions to these forward-looking statements that may be made to reflect events or circumstances after the date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Alpine Income Property Trust, Inc. is a Maryland corporation that conducts its operations so as to qualify as a REIT for U.S. federal income tax purposes. Substantially all of our operations are conducted through our Operating Partnership.</w:t>
      </w:r>
    </w:p>
    <w:p>
      <w:pPr>
        <w:spacing w:after="0" w:line="16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seek to acquire, own and operate primarily freestanding, commercial retail real estate properties located in the United States primarily leased pursuant to long-term net leases. We target tenants in industries that we believe are favorably impacted by macroeconomic trends that support consumer spending, stable and growing employment, and positive consumer sentiment, as well as tenants in industries that have demonstrated resistance to the impact of the e-commerce retail sector or who use a physical presence as a component of their omnichannel strategy. We also seek to invest in properties that are net leased to tenants that we believe have attractive credit characteristics, stable operating histories, healthy rent coverage levels, are well-located within their respective markets and/or have rents at-or-below market rent levels. Furthermore, we believe that the size of our company allows us, for at least the near term, to focus our investment activities on the acquisition of single properties or smaller portfolios of properties that represent a transaction size that most of our publicly-traded net lease REIT peers will not pursue on a consistent basis.</w:t>
      </w:r>
    </w:p>
    <w:p>
      <w:pPr>
        <w:spacing w:after="0" w:line="19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strategy for investing in income-producing properties is focused on factors including, but not limited to, long-term real estate fundamentals, including those markets experiencing significant economic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alignment with the Company’s structure, etc.).</w:t>
      </w:r>
    </w:p>
    <w:p>
      <w:pPr>
        <w:spacing w:after="0" w:line="19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the Company acquired three properties for a combined purchase price of $39.7 million, or a cost of $39.9 million including capitalized acquisition costs. During the three months ended March 31, 2025, the Company sold three properties for an aggregate sales price of $11.7 million, generating aggregate gains on sale of $1.2 million.</w:t>
      </w:r>
    </w:p>
    <w:p>
      <w:pPr>
        <w:spacing w:after="0" w:line="180"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As of March 31, 2025, we owned 134 properties, including the three properties classified as commercial loans and investments, with an aggregate gross leasable area of 4.1 million square feet, located in 35 states, with a weighted average remaining lease term of 9.0 years. Our portfolio was 99% occupied as of March 31, 2025.</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also acquire or originate commercial loans and investments associated with commercial real estate located in the United States. Our investments in commercial loans are generally secured by real estate or the borrower’s pledge of its ownership interest in an entity that owns real estate. As of March 31, 2025, the Company’s commercial loan investments portfolio had a total carrying value of $110.0 million and was comprised of six construction loans, two mortgage notes, and three properties acquired pursuant to a sale-leaseback transaction whereby the tenant has a future repurchase right.</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has no employees and is externally managed by Alpine Income Property Manager, LLC, a Delaware limited liability company and a wholly owned subsidiary of CTO (our “Manager”). CTO is a Maryland corporation that is a publicly traded diversified REIT and the sole member of our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2025 AND 2024</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presents the Company’s results of operations for the three months ended March 31, 2025, as compared to the three months ended March 31, 2024 (in thousands):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4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80" w:type="dxa"/>
            <w:vAlign w:val="bottom"/>
            <w:gridSpan w:val="5"/>
          </w:tcPr>
          <w:p>
            <w:pPr>
              <w:ind w:left="140"/>
              <w:spacing w:after="0"/>
              <w:rPr>
                <w:sz w:val="20"/>
                <w:szCs w:val="20"/>
                <w:color w:val="auto"/>
              </w:rPr>
            </w:pPr>
            <w:r>
              <w:rPr>
                <w:rFonts w:ascii="Times New Roman" w:cs="Times New Roman" w:eastAsia="Times New Roman" w:hAnsi="Times New Roman"/>
                <w:sz w:val="20"/>
                <w:szCs w:val="20"/>
                <w:b w:val="1"/>
                <w:bCs w:val="1"/>
                <w:color w:val="auto"/>
              </w:rPr>
              <w:t>Three Months Ended</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ind w:right="220"/>
              <w:spacing w:after="0" w:line="196" w:lineRule="exact"/>
              <w:rPr>
                <w:sz w:val="20"/>
                <w:szCs w:val="20"/>
                <w:color w:val="auto"/>
              </w:rPr>
            </w:pPr>
            <w:r>
              <w:rPr>
                <w:rFonts w:ascii="Times New Roman" w:cs="Times New Roman" w:eastAsia="Times New Roman" w:hAnsi="Times New Roman"/>
                <w:sz w:val="20"/>
                <w:szCs w:val="20"/>
                <w:b w:val="1"/>
                <w:bCs w:val="1"/>
                <w:color w:val="auto"/>
                <w:w w:val="95"/>
              </w:rPr>
              <w:t>March 31,</w:t>
            </w: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21"/>
              <w:spacing w:after="0" w:line="196" w:lineRule="exact"/>
              <w:rPr>
                <w:sz w:val="20"/>
                <w:szCs w:val="20"/>
                <w:color w:val="auto"/>
              </w:rPr>
            </w:pPr>
            <w:r>
              <w:rPr>
                <w:rFonts w:ascii="Times New Roman" w:cs="Times New Roman" w:eastAsia="Times New Roman" w:hAnsi="Times New Roman"/>
                <w:sz w:val="20"/>
                <w:szCs w:val="20"/>
                <w:b w:val="1"/>
                <w:bCs w:val="1"/>
                <w:color w:val="auto"/>
                <w:w w:val="97"/>
              </w:rPr>
              <w:t>March 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w w:val="95"/>
              </w:rPr>
              <w:t>Variance</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5"/>
              </w:rPr>
              <w:t>% Variance</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20"/>
                <w:szCs w:val="20"/>
                <w:color w:val="auto"/>
              </w:rPr>
              <w:t>Revenues:</w:t>
            </w: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Lease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11,826</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11,464</w:t>
            </w:r>
          </w:p>
        </w:tc>
        <w:tc>
          <w:tcPr>
            <w:tcW w:w="100" w:type="dxa"/>
            <w:vAlign w:val="bottom"/>
          </w:tcPr>
          <w:p>
            <w:pPr>
              <w:spacing w:after="0"/>
              <w:rPr>
                <w:sz w:val="19"/>
                <w:szCs w:val="19"/>
                <w:color w:val="auto"/>
              </w:rPr>
            </w:pPr>
          </w:p>
        </w:tc>
        <w:tc>
          <w:tcPr>
            <w:tcW w:w="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362</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0" w:type="dxa"/>
            <w:vAlign w:val="bottom"/>
          </w:tcPr>
          <w:p>
            <w:pPr>
              <w:spacing w:after="0"/>
              <w:rPr>
                <w:sz w:val="1"/>
                <w:szCs w:val="1"/>
                <w:color w:val="auto"/>
              </w:rPr>
            </w:pPr>
          </w:p>
        </w:tc>
      </w:tr>
      <w:tr>
        <w:trPr>
          <w:trHeight w:val="207"/>
        </w:trPr>
        <w:tc>
          <w:tcPr>
            <w:tcW w:w="4320" w:type="dxa"/>
            <w:vAlign w:val="bottom"/>
            <w:shd w:val="clear" w:color="auto" w:fill="CCEEFF"/>
          </w:tcPr>
          <w:p>
            <w:pPr>
              <w:ind w:left="120"/>
              <w:spacing w:after="0" w:line="207" w:lineRule="exact"/>
              <w:rPr>
                <w:sz w:val="20"/>
                <w:szCs w:val="20"/>
                <w:color w:val="auto"/>
              </w:rPr>
            </w:pPr>
            <w:r>
              <w:rPr>
                <w:rFonts w:ascii="Times New Roman" w:cs="Times New Roman" w:eastAsia="Times New Roman" w:hAnsi="Times New Roman"/>
                <w:sz w:val="20"/>
                <w:szCs w:val="20"/>
                <w:color w:val="auto"/>
              </w:rPr>
              <w:t>Interest Income from Commercial Loans and</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Investments</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2,301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903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1,398</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154.8%</w:t>
            </w:r>
          </w:p>
        </w:tc>
        <w:tc>
          <w:tcPr>
            <w:tcW w:w="0" w:type="dxa"/>
            <w:vAlign w:val="bottom"/>
          </w:tcPr>
          <w:p>
            <w:pPr>
              <w:spacing w:after="0"/>
              <w:rPr>
                <w:sz w:val="1"/>
                <w:szCs w:val="1"/>
                <w:color w:val="auto"/>
              </w:rPr>
            </w:pPr>
          </w:p>
        </w:tc>
      </w:tr>
      <w:tr>
        <w:trPr>
          <w:trHeight w:val="229"/>
        </w:trPr>
        <w:tc>
          <w:tcPr>
            <w:tcW w:w="4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Revenue</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(20)</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20"/>
              <w:spacing w:after="0" w:line="223" w:lineRule="exact"/>
              <w:rPr>
                <w:sz w:val="20"/>
                <w:szCs w:val="20"/>
                <w:color w:val="auto"/>
              </w:rPr>
            </w:pPr>
            <w:r>
              <w:rPr>
                <w:rFonts w:ascii="Times New Roman" w:cs="Times New Roman" w:eastAsia="Times New Roman" w:hAnsi="Times New Roman"/>
                <w:sz w:val="20"/>
                <w:szCs w:val="20"/>
                <w:color w:val="auto"/>
              </w:rPr>
              <w:t>Total Revenues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14,206</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12,466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1,740</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14.0%</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line="223" w:lineRule="exact"/>
              <w:rPr>
                <w:sz w:val="20"/>
                <w:szCs w:val="20"/>
                <w:color w:val="auto"/>
              </w:rPr>
            </w:pPr>
            <w:r>
              <w:rPr>
                <w:rFonts w:ascii="Times New Roman" w:cs="Times New Roman" w:eastAsia="Times New Roman" w:hAnsi="Times New Roman"/>
                <w:sz w:val="20"/>
                <w:szCs w:val="20"/>
                <w:color w:val="auto"/>
              </w:rPr>
              <w:t>Operating Expenses: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Real Estate Expenses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2,034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0" w:type="dxa"/>
            <w:vAlign w:val="bottom"/>
          </w:tcPr>
          <w:p>
            <w:pPr>
              <w:spacing w:after="0"/>
              <w:rPr>
                <w:sz w:val="1"/>
                <w:szCs w:val="1"/>
                <w:color w:val="auto"/>
              </w:rPr>
            </w:pPr>
          </w:p>
        </w:tc>
      </w:tr>
      <w:tr>
        <w:trPr>
          <w:trHeight w:val="229"/>
        </w:trPr>
        <w:tc>
          <w:tcPr>
            <w:tcW w:w="4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General and Administrative Expenses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Provision for Impairment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2,000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6451.6%</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7,307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925</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20"/>
              <w:spacing w:after="0" w:line="223" w:lineRule="exact"/>
              <w:rPr>
                <w:sz w:val="20"/>
                <w:szCs w:val="20"/>
                <w:color w:val="auto"/>
              </w:rPr>
            </w:pPr>
            <w:r>
              <w:rPr>
                <w:rFonts w:ascii="Times New Roman" w:cs="Times New Roman" w:eastAsia="Times New Roman" w:hAnsi="Times New Roman"/>
                <w:sz w:val="20"/>
                <w:szCs w:val="20"/>
                <w:color w:val="auto"/>
              </w:rPr>
              <w:t>Total Operating Expenses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13,088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9,883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3,205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32.4%</w:t>
            </w:r>
          </w:p>
        </w:tc>
        <w:tc>
          <w:tcPr>
            <w:tcW w:w="0" w:type="dxa"/>
            <w:vAlign w:val="bottom"/>
          </w:tcPr>
          <w:p>
            <w:pPr>
              <w:spacing w:after="0"/>
              <w:rPr>
                <w:sz w:val="1"/>
                <w:szCs w:val="1"/>
                <w:color w:val="auto"/>
              </w:rPr>
            </w:pPr>
          </w:p>
        </w:tc>
      </w:tr>
      <w:tr>
        <w:trPr>
          <w:trHeight w:val="230"/>
        </w:trPr>
        <w:tc>
          <w:tcPr>
            <w:tcW w:w="4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Gain on Disposition of Assets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1,151</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20"/>
                <w:szCs w:val="20"/>
                <w:color w:val="auto"/>
              </w:rPr>
              <w:t>Net Income from Operations</w:t>
            </w: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2,269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2,583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(314)</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(12.2)%</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Investment and Other Income</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(24)</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Interest Expense</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(3,592)</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(2,935)</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(657)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(22.4)%</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line="223" w:lineRule="exact"/>
              <w:rPr>
                <w:sz w:val="20"/>
                <w:szCs w:val="20"/>
                <w:color w:val="auto"/>
              </w:rPr>
            </w:pPr>
            <w:r>
              <w:rPr>
                <w:rFonts w:ascii="Times New Roman" w:cs="Times New Roman" w:eastAsia="Times New Roman" w:hAnsi="Times New Roman"/>
                <w:sz w:val="20"/>
                <w:szCs w:val="20"/>
                <w:color w:val="auto"/>
              </w:rPr>
              <w:t>Net Loss</w:t>
            </w: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(1,278)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(283)</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(995)</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(351.6)%</w:t>
            </w:r>
          </w:p>
        </w:tc>
        <w:tc>
          <w:tcPr>
            <w:tcW w:w="0" w:type="dxa"/>
            <w:vAlign w:val="bottom"/>
          </w:tcPr>
          <w:p>
            <w:pPr>
              <w:spacing w:after="0"/>
              <w:rPr>
                <w:sz w:val="1"/>
                <w:szCs w:val="1"/>
                <w:color w:val="auto"/>
              </w:rPr>
            </w:pPr>
          </w:p>
        </w:tc>
      </w:tr>
      <w:tr>
        <w:trPr>
          <w:trHeight w:val="207"/>
        </w:trPr>
        <w:tc>
          <w:tcPr>
            <w:tcW w:w="4320" w:type="dxa"/>
            <w:vAlign w:val="bottom"/>
            <w:shd w:val="clear" w:color="auto" w:fill="CCEEFF"/>
          </w:tcPr>
          <w:p>
            <w:pPr>
              <w:ind w:left="220"/>
              <w:spacing w:after="0" w:line="207" w:lineRule="exact"/>
              <w:rPr>
                <w:sz w:val="20"/>
                <w:szCs w:val="20"/>
                <w:color w:val="auto"/>
              </w:rPr>
            </w:pPr>
            <w:r>
              <w:rPr>
                <w:rFonts w:ascii="Times New Roman" w:cs="Times New Roman" w:eastAsia="Times New Roman" w:hAnsi="Times New Roman"/>
                <w:sz w:val="20"/>
                <w:szCs w:val="20"/>
                <w:color w:val="auto"/>
              </w:rPr>
              <w:t>Less: Net Loss Attributable to Noncontrolling</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Interest</w:t>
            </w: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10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330.4%</w:t>
            </w:r>
          </w:p>
        </w:tc>
        <w:tc>
          <w:tcPr>
            <w:tcW w:w="0" w:type="dxa"/>
            <w:vAlign w:val="bottom"/>
          </w:tcPr>
          <w:p>
            <w:pPr>
              <w:spacing w:after="0"/>
              <w:rPr>
                <w:sz w:val="1"/>
                <w:szCs w:val="1"/>
                <w:color w:val="auto"/>
              </w:rPr>
            </w:pPr>
          </w:p>
        </w:tc>
      </w:tr>
      <w:tr>
        <w:trPr>
          <w:trHeight w:val="187"/>
        </w:trPr>
        <w:tc>
          <w:tcPr>
            <w:tcW w:w="43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Net Loss Attributable to Alpine Income Property</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20"/>
                <w:szCs w:val="20"/>
                <w:color w:val="auto"/>
              </w:rPr>
              <w:t>(1,179)</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20"/>
                <w:szCs w:val="20"/>
                <w:color w:val="auto"/>
              </w:rPr>
              <w:t>(260)</w:t>
            </w:r>
          </w:p>
        </w:tc>
        <w:tc>
          <w:tcPr>
            <w:tcW w:w="22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20"/>
                <w:szCs w:val="20"/>
                <w:color w:val="auto"/>
              </w:rPr>
              <w:t>(919)</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(353.5)%</w:t>
            </w:r>
          </w:p>
        </w:tc>
        <w:tc>
          <w:tcPr>
            <w:tcW w:w="0" w:type="dxa"/>
            <w:vAlign w:val="bottom"/>
          </w:tcPr>
          <w:p>
            <w:pPr>
              <w:spacing w:after="0"/>
              <w:rPr>
                <w:sz w:val="1"/>
                <w:szCs w:val="1"/>
                <w:color w:val="auto"/>
              </w:rPr>
            </w:pP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Trust, Inc.</w:t>
            </w:r>
          </w:p>
        </w:tc>
        <w:tc>
          <w:tcPr>
            <w:tcW w:w="120" w:type="dxa"/>
            <w:vAlign w:val="bottom"/>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Lease Income and Real Estate Expenses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Revenue from our property operations totaled $11.8 million and $11.5 million during the three months ended March 31, 2025 and 2024, respectively. The $0.3 million increase in lease income is primarily attributable to an increase in base rents due to the volume of property acquisitions versus dispositions. The direct costs of revenues for our income properties totaled $2.0 million and $1.9 million during the three months ended March 31, 2025 and 2024, respectively. The $0.1 million increase in the direct cost of revenues is reflective of increased reimbursable expenses.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Commercial Loans and Investments</w:t>
      </w:r>
    </w:p>
    <w:p>
      <w:pPr>
        <w:spacing w:after="0" w:line="229" w:lineRule="exact"/>
        <w:rPr>
          <w:sz w:val="20"/>
          <w:szCs w:val="20"/>
          <w:color w:val="auto"/>
        </w:rPr>
      </w:pPr>
    </w:p>
    <w:p>
      <w:pPr>
        <w:jc w:val="both"/>
        <w:ind w:left="60" w:right="59" w:firstLine="389"/>
        <w:spacing w:after="0" w:line="256" w:lineRule="auto"/>
        <w:rPr>
          <w:sz w:val="20"/>
          <w:szCs w:val="20"/>
          <w:color w:val="auto"/>
        </w:rPr>
      </w:pPr>
      <w:r>
        <w:rPr>
          <w:rFonts w:ascii="Times New Roman" w:cs="Times New Roman" w:eastAsia="Times New Roman" w:hAnsi="Times New Roman"/>
          <w:sz w:val="18"/>
          <w:szCs w:val="18"/>
          <w:color w:val="auto"/>
        </w:rPr>
        <w:t>Interest income from commercial loans and investments totaled $2.3 million and $0.9 million for the three months ended March 31, 2025 and 2024, respectively. The $1.4 million increase in income is attributable to the expanded portfolio of commercial loans and investments which, as of March 31, 2025, was comprised of six construction loans, two mortgage notes, and three properties acquired pursuant to a sale-leaseback transaction whereby the tenant has a future repurchase right. As of March 31, 2024, the Company’s portfolio of commercial loans and investments was comprised of three construction loans and one mortgage note.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Revenue</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Other revenue totaled $0.1 million for the three months ended March 31, 2025 and 2024. The revenue is attributable to fees earned from a revenue sharing agreement the Company entered into with CTO as further described in Note 19, “Related Party Management Company” in the Notes to the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Company’s general and administrative expenses for the three months ended March 31, 2025, as compared to the three months ended March 31, 2024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87"/>
        </w:trPr>
        <w:tc>
          <w:tcPr>
            <w:tcW w:w="4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8"/>
        </w:trPr>
        <w:tc>
          <w:tcPr>
            <w:tcW w:w="4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Variance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Variance</w:t>
            </w:r>
          </w:p>
        </w:tc>
      </w:tr>
      <w:tr>
        <w:trPr>
          <w:trHeight w:val="209"/>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 to Manager</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Compensation Expense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&amp; Officer Insurance Expense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Additional General and Administrative Expense</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09"/>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0"/>
        </w:trPr>
        <w:tc>
          <w:tcPr>
            <w:tcW w:w="4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totaled $1.7 million and $1.5 million during the three months ended March 31, 2025 and 2024, respectively. The $0.2 million increase is primarily the result of an increase of less than $0.1 million in the management fee due to an increase in the weighted average of the Company’s equity base as well as increases of less than $0.1 million of director compensation and public company expenses.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Provision for Impairment</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2025, the Company recorded a $1.8 million impairment charge r</w:t>
      </w:r>
      <w:r>
        <w:rPr>
          <w:rFonts w:ascii="Times New Roman" w:cs="Times New Roman" w:eastAsia="Times New Roman" w:hAnsi="Times New Roman"/>
          <w:sz w:val="18"/>
          <w:szCs w:val="18"/>
          <w:color w:val="212529"/>
        </w:rPr>
        <w:t>epresenting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the provision for losses related to certain income properties as further described in Note 7, “Provision for Impairment”, and a $0.2 million impairment charge </w:t>
      </w:r>
      <w:r>
        <w:rPr>
          <w:rFonts w:ascii="Times New Roman" w:cs="Times New Roman" w:eastAsia="Times New Roman" w:hAnsi="Times New Roman"/>
          <w:sz w:val="18"/>
          <w:szCs w:val="18"/>
          <w:color w:val="000000"/>
        </w:rPr>
        <w:t>which represents the current expected credit losses (“CECL”) reserve related to our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commercial loans and investments. During the three months ended March 31, 2024, </w:t>
      </w:r>
      <w:r>
        <w:rPr>
          <w:rFonts w:ascii="Times New Roman" w:cs="Times New Roman" w:eastAsia="Times New Roman" w:hAnsi="Times New Roman"/>
          <w:sz w:val="18"/>
          <w:szCs w:val="18"/>
          <w:color w:val="212529"/>
        </w:rPr>
        <w:t>the Company recorded a $0.03 million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impairment charge representing the provision for losses related to our income properties as further described in Note 7, “Provision for Impairment”.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4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totaled $7.3 million and $6.4 million during the three months ended March 31, 2025 and 2024, respectively. The $0.9 million increase in depreciation and amortization expense is reflective of the increase in asset value of the Company’s income property portfolio including the acceleration of $0.4 million of amortization associated with certain intangible lease assets.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Gain on Disposition of Assets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sold three properties for an aggregate sales price of $11.7 million, generating aggregate gains on sale of $1.2 million. The Company did not sell any properties during the three months ended March 31,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Investment and Other Income</w:t>
      </w:r>
    </w:p>
    <w:p>
      <w:pPr>
        <w:spacing w:after="0" w:line="229" w:lineRule="exact"/>
        <w:rPr>
          <w:sz w:val="20"/>
          <w:szCs w:val="20"/>
          <w:color w:val="auto"/>
        </w:rPr>
      </w:pPr>
    </w:p>
    <w:p>
      <w:pPr>
        <w:jc w:val="both"/>
        <w:ind w:left="60" w:right="59" w:firstLine="450"/>
        <w:spacing w:after="0" w:line="282" w:lineRule="auto"/>
        <w:rPr>
          <w:sz w:val="20"/>
          <w:szCs w:val="20"/>
          <w:color w:val="auto"/>
        </w:rPr>
      </w:pPr>
      <w:r>
        <w:rPr>
          <w:rFonts w:ascii="Times New Roman" w:cs="Times New Roman" w:eastAsia="Times New Roman" w:hAnsi="Times New Roman"/>
          <w:sz w:val="18"/>
          <w:szCs w:val="18"/>
          <w:color w:val="auto"/>
        </w:rPr>
        <w:t>Investment and other income was relatively flat during the three months ended March 31, 2025 and 2024, which totaled less than $0.1 million and $0.1 million,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Interest expense totaled $3.6 million and $2.9 million during the three months ended March 31, 2025 and 2024, respectively. The $0.7 million increase in interest expense is attributable to the higher average outstanding balance on the Company’s Credit Facility as well as an increase in the fixed interest for the 2027 Term Loan effective in November of 2024, as well as $0.2 million of interest expense resulting from the sale of participation interest in the Company’s $24.0 million Mortgage Note as defined and further described in Note 4, “Commercial Loans and Investments” in the Notes to the Financial Statements. The overall increase in the Company’s long-term debt was primarily utilized to fund the acquisition of properties and commercial loans and investments during the three months ended March 31, 2025.</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2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Net loss totaled $1.3 million during the three months ended March 31, 2025 as compared to a net loss of $0.3 million during the three months ended March 31, 2024. The $1.0 million increase in net loss is attributable to the factors described above, most notably the increase in the provision for impairment of $2.0 million, partially offset by the $1.2 million increase in gains on disposition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Cash totaled $11.6 million as of March 31, 2025, including restricted cash of $5.4 million. See Note 2 “Summary of Significant Accounting Policies” under the heading Restricted Cash for the Company’s disclosure related to its restricted cash balance as of March 31, 2025.</w:t>
      </w:r>
    </w:p>
    <w:p>
      <w:pPr>
        <w:spacing w:after="0" w:line="17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As of March 31, 2025, the commitment level under the Credit Facility was $250.0 million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had an outstanding balance of $157.0 million and $56.4 million of available capacity. The Company also had $200.0 million in term loans outstanding as of March 31, 2025. See Note 13, “Long-Term Debt” for the Company’s disclosure related to its long-term debt balance at March 31, 2025.</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Acquisitions and Dispositions. </w:t>
      </w:r>
      <w:r>
        <w:rPr>
          <w:rFonts w:ascii="Times New Roman" w:cs="Times New Roman" w:eastAsia="Times New Roman" w:hAnsi="Times New Roman"/>
          <w:sz w:val="18"/>
          <w:szCs w:val="18"/>
          <w:color w:val="auto"/>
        </w:rPr>
        <w:t>As further described in Note 3, “Property Portfolio,” during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2025, the Company acquired three properties for a combined purchase price of $39.7 million, or a cost of $39.9 million including capitalized acquisition costs, and sold three properties for an aggregate sales price of $11.7 million, generating aggregate gains on sale of $1.2 million.</w:t>
      </w:r>
    </w:p>
    <w:p>
      <w:pPr>
        <w:spacing w:after="0" w:line="180"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ATM Program. </w:t>
      </w:r>
      <w:r>
        <w:rPr>
          <w:rFonts w:ascii="Times New Roman" w:cs="Times New Roman" w:eastAsia="Times New Roman" w:hAnsi="Times New Roman"/>
          <w:sz w:val="18"/>
          <w:szCs w:val="18"/>
          <w:color w:val="auto"/>
        </w:rPr>
        <w:t>The Company was not active under the 2022 ATM Program during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w:t>
      </w:r>
    </w:p>
    <w:p>
      <w:pPr>
        <w:spacing w:after="0" w:line="15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As of March 31, 2025, the Company had no commitments related to capital expenditures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of fixed assets, such as land, buildings, and equipment. As of March 31, 2025, the Company is committed to funding $5.0 million in tenant improvements at a property which capital expenditure is expected to be funded within one year. Additionally, the Company is committed to fund six construction loans as described in Note 4, “Commercial Loans and Investments”. The unfunded portion of the construction loans totaled $25.4 million as of March 31, 2025.</w:t>
      </w:r>
    </w:p>
    <w:p>
      <w:pPr>
        <w:spacing w:after="0" w:line="18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believe we will have sufficient liquidity to fund our operations, capital requirements, maintenance, and debt service requirements over the next twelve months and into the foreseeable future, with cash on hand, cash flow from our operations, proceeds from the completion of the sale of assets utilizing the reverse like-kind 1031 exchange structure, $90.4 million of availability remaining under the 2022 ATM Program, and $56.4 million of available capacity on the existing $250.0 million Credit Facility.</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of investing in net leased properties by utilizing the capital we raise and available borrowing capacity from the Credit Facility to increase our portfolio of income-producing properties, providing stabilized cash flows with strong risk-adjusted returns primarily in larger metropolitan areas and growth markets.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reported results are presented in accordance with GAAP. We also disclose FFO and AFFO, both of which are non-GAAP financial measures. We believe these two non-GAAP financial measures are useful to investors because they are widely accepted industry measures used by analysts and investors to compare the operating performance of REITs.</w:t>
      </w:r>
    </w:p>
    <w:p>
      <w:pPr>
        <w:spacing w:after="0" w:line="18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FFO and AFFO do not represent cash generated from operating activities and are not necessarily indicative of cash available to fund cash requirements; accordingly, they should not be considered alternatives to net income as a performance measure or cash flows from operations as reported on our statement of cash flows as a liquidity measure and should be considered in addition to, and not in lieu of, GAAP financial measures.</w:t>
      </w:r>
    </w:p>
    <w:p>
      <w:pPr>
        <w:spacing w:after="0" w:line="193"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compute FFO in accordance with the definition adopted by the Board of Governors of the National Association of Real Estate Investment Trusts, or NAREIT. NAREIT defines FFO as GAAP net income or loss adjusted to exclude real estate related depreciation and amortization, as well as extraordinary items (as defined by GAAP) such as net gain or loss from sales of depreciable real estate assets, impairment write-downs associated with depreciable real estate assets and impairments associated with the implementation of current expected credit losses on commercial loans and investments at the time of origination, including the pro rata share of such adjustments of unconsolidated subsidiaries. To derive AFFO, we further modify the NAREIT computation of FFO to include other adjustments to GAAP net income related to non-cash revenues and expenses such as loss on extinguishment of debt, amortization of above- and below-market lease related intangibles, straight-line rental revenue, amortization of deferred financing costs, non-cash compensation, and other non-cash adjustments to income or expense. Such items may cause short-term fluctuations in net income but have no impact on operating cash flows or long-term operating performance. We use AFFO as one measure of our performance when we formulate corporate goals.</w:t>
      </w:r>
    </w:p>
    <w:p>
      <w:pPr>
        <w:spacing w:after="0" w:line="19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AFFO is an additional useful supplemental measure for investors to consider because it will help them to better assess our operating performance without the distortions created by other non-cash revenues or expenses. FFO and AFFO may not be comparable to similarly titled measures employed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Reconciliation of Non-GAAP Measures (in thousands, except share data):</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80" w:type="dxa"/>
            <w:vAlign w:val="bottom"/>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9"/>
        </w:trPr>
        <w:tc>
          <w:tcPr>
            <w:tcW w:w="5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 w:type="dxa"/>
            <w:vAlign w:val="bottom"/>
          </w:tcPr>
          <w:p>
            <w:pPr>
              <w:spacing w:after="0"/>
              <w:rPr>
                <w:sz w:val="18"/>
                <w:szCs w:val="18"/>
                <w:color w:val="auto"/>
              </w:rPr>
            </w:pPr>
          </w:p>
        </w:tc>
      </w:tr>
      <w:tr>
        <w:trPr>
          <w:trHeight w:val="210"/>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 w:type="dxa"/>
            <w:vAlign w:val="bottom"/>
          </w:tcPr>
          <w:p>
            <w:pPr>
              <w:spacing w:after="0"/>
              <w:rPr>
                <w:sz w:val="18"/>
                <w:szCs w:val="18"/>
                <w:color w:val="auto"/>
              </w:rPr>
            </w:pPr>
          </w:p>
        </w:tc>
      </w:tr>
      <w:tr>
        <w:trPr>
          <w:trHeight w:val="216"/>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20" w:type="dxa"/>
            <w:vAlign w:val="bottom"/>
          </w:tcPr>
          <w:p>
            <w:pPr>
              <w:spacing w:after="0"/>
              <w:rPr>
                <w:sz w:val="18"/>
                <w:szCs w:val="18"/>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Impairment</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r>
      <w:tr>
        <w:trPr>
          <w:trHeight w:val="216"/>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8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(1,151)</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9"/>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Funds From Operations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20" w:type="dxa"/>
            <w:vAlign w:val="bottom"/>
          </w:tcPr>
          <w:p>
            <w:pPr>
              <w:spacing w:after="0"/>
              <w:rPr>
                <w:sz w:val="18"/>
                <w:szCs w:val="18"/>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 and Liabilities to Lease Income</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18"/>
                <w:szCs w:val="18"/>
                <w:color w:val="auto"/>
              </w:rPr>
            </w:pPr>
          </w:p>
        </w:tc>
      </w:tr>
      <w:tr>
        <w:trPr>
          <w:trHeight w:val="216"/>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Straight-Line Rent Adjustment</w:t>
            </w:r>
          </w:p>
        </w:tc>
        <w:tc>
          <w:tcPr>
            <w:tcW w:w="18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Compensation</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r>
      <w:tr>
        <w:trPr>
          <w:trHeight w:val="216"/>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Deferred Financing Costs to Interest Expense</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tcPr>
          <w:p>
            <w:pPr>
              <w:spacing w:after="0"/>
              <w:rPr>
                <w:sz w:val="18"/>
                <w:szCs w:val="18"/>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Non-Cash Adjustments</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r>
      <w:tr>
        <w:trPr>
          <w:trHeight w:val="249"/>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Adjusted Funds From Operations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20" w:type="dxa"/>
            <w:vAlign w:val="bottom"/>
          </w:tcPr>
          <w:p>
            <w:pPr>
              <w:spacing w:after="0"/>
              <w:rPr>
                <w:sz w:val="21"/>
                <w:szCs w:val="21"/>
                <w:color w:val="auto"/>
              </w:rPr>
            </w:pPr>
          </w:p>
        </w:tc>
      </w:tr>
      <w:tr>
        <w:trPr>
          <w:trHeight w:val="197"/>
        </w:trPr>
        <w:tc>
          <w:tcPr>
            <w:tcW w:w="5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14,628,921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13,621,208</w:t>
            </w:r>
          </w:p>
        </w:tc>
        <w:tc>
          <w:tcPr>
            <w:tcW w:w="20" w:type="dxa"/>
            <w:vAlign w:val="bottom"/>
          </w:tcPr>
          <w:p>
            <w:pPr>
              <w:spacing w:after="0"/>
              <w:rPr>
                <w:sz w:val="18"/>
                <w:szCs w:val="18"/>
                <w:color w:val="auto"/>
              </w:rPr>
            </w:pPr>
          </w:p>
        </w:tc>
      </w:tr>
      <w:tr>
        <w:trPr>
          <w:trHeight w:val="234"/>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15,852,775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14,845,062</w:t>
            </w:r>
          </w:p>
        </w:tc>
        <w:tc>
          <w:tcPr>
            <w:tcW w:w="20" w:type="dxa"/>
            <w:vAlign w:val="bottom"/>
          </w:tcPr>
          <w:p>
            <w:pPr>
              <w:spacing w:after="0"/>
              <w:rPr>
                <w:sz w:val="20"/>
                <w:szCs w:val="20"/>
                <w:color w:val="auto"/>
              </w:rPr>
            </w:pPr>
          </w:p>
        </w:tc>
      </w:tr>
      <w:tr>
        <w:trPr>
          <w:trHeight w:val="414"/>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Data (in thousands, except per share data):</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5"/>
        </w:trPr>
        <w:tc>
          <w:tcPr>
            <w:tcW w:w="5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0"/>
        </w:trPr>
        <w:tc>
          <w:tcPr>
            <w:tcW w:w="5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 w:type="dxa"/>
            <w:vAlign w:val="bottom"/>
          </w:tcPr>
          <w:p>
            <w:pPr>
              <w:spacing w:after="0"/>
              <w:rPr>
                <w:sz w:val="18"/>
                <w:szCs w:val="18"/>
                <w:color w:val="auto"/>
              </w:rPr>
            </w:pPr>
          </w:p>
        </w:tc>
      </w:tr>
      <w:tr>
        <w:trPr>
          <w:trHeight w:val="210"/>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FFO</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20" w:type="dxa"/>
            <w:vAlign w:val="bottom"/>
          </w:tcPr>
          <w:p>
            <w:pPr>
              <w:spacing w:after="0"/>
              <w:rPr>
                <w:sz w:val="18"/>
                <w:szCs w:val="18"/>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FFO per Diluted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8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AFFO</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18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20" w:type="dxa"/>
            <w:vAlign w:val="bottom"/>
          </w:tcPr>
          <w:p>
            <w:pPr>
              <w:spacing w:after="0"/>
              <w:rPr>
                <w:sz w:val="18"/>
                <w:szCs w:val="18"/>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AFFO per Diluted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0" w:type="dxa"/>
            <w:vAlign w:val="bottom"/>
          </w:tcPr>
          <w:p>
            <w:pPr>
              <w:spacing w:after="0"/>
              <w:rPr>
                <w:sz w:val="18"/>
                <w:szCs w:val="18"/>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Critical accounting estimates include those estimates made in accordance with GAAP that involve a significant level of estimation uncertainty and have had or are reasonably likely to have a material impact on the Company’s financial condition or results of operations. Our most significant estimate is as follows:</w:t>
      </w:r>
    </w:p>
    <w:p>
      <w:pPr>
        <w:spacing w:after="0" w:line="17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Purchase Accounting for Acquisitions of Real Estate Subject to a Lease</w:t>
      </w:r>
      <w:r>
        <w:rPr>
          <w:rFonts w:ascii="Times New Roman" w:cs="Times New Roman" w:eastAsia="Times New Roman" w:hAnsi="Times New Roman"/>
          <w:sz w:val="18"/>
          <w:szCs w:val="18"/>
          <w:color w:val="auto"/>
        </w:rPr>
        <w:t>. As required by GAAP, the fair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assumptions underlying the allocation of relative fair values are based on market information including, but not limited to: (i) the estimate of replacement cost of improvements under the cost approach, (ii) the estimate of land values based on comparable sales under the sales comparison approach, and (iii) the estimate of future benefits determined by either a reasonable rate of return over a single year’s net cash flow, or a forecast of net cash flows projected over a reasonable investment horizon under the income capitalization approach. The underlying assumptions are subject to uncertainty and thus any changes to the allocation of fair value to each of the various line items within the Company’s consolidated balance sheets could have an impact on the Company’s financial condition as well as results of operations due to resulting changes in depreciation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and amortization as a result of the fair value allocation. The acquisitions of real estate subject to this estimate totaled three properties for a combined purchase price of $39.7 million for the three months ended March 31, 2025.</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for further discussion of the Company’s accounting estimates and policies.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20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in Item 10(f)(1) of Regulation S-K. As a result, pursuant to Item 305(e) of Regulation S-K, we are not required to provide the information required by this Item.</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As of the end of the period covered by this report, an evaluation, as required by Rules 13(a)-15 and 15(d)-15 of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 Company’s disclosure controls and procedures are effective to ensure that information required to be disclosed by the Company in reports that it files or submits under the Exchange Act is recorded, processed, summarized, and reported within the time periods specified in SEC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 There were no changes in the Company’s internal control over financial reporting (as defined in Rules 13a-15(f) or 15d-15(f) under the Exchange Act) during the three months ended March 31, 2025, that have materially affected, or are reasonably likely to materially affect, the Company’s internal control over financial reporting.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PART II—OTHER INFORMATION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202" w:lineRule="exact"/>
        <w:rPr>
          <w:sz w:val="20"/>
          <w:szCs w:val="20"/>
          <w:color w:val="auto"/>
        </w:rPr>
      </w:pPr>
    </w:p>
    <w:p>
      <w:pPr>
        <w:jc w:val="both"/>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following risk factors should be read in conjunction with the risk factors from those set forth under the heading Part I, “Item 1A. Risk Factors” in the Company’s Annual Report on Form 10-K for the year ended December 31, 2024 (the “Form 10-K”). The risks described in the Form 10-K are not the only risks facing the Company. Additional risks and uncertainties not currently known to the Company or that the Company currently deems to be immaterial also may materially adversely affect the Company.</w:t>
      </w:r>
    </w:p>
    <w:p>
      <w:pPr>
        <w:spacing w:after="0" w:line="179" w:lineRule="exact"/>
        <w:rPr>
          <w:sz w:val="20"/>
          <w:szCs w:val="20"/>
          <w:color w:val="auto"/>
        </w:rPr>
      </w:pPr>
    </w:p>
    <w:p>
      <w:pPr>
        <w:jc w:val="both"/>
        <w:ind w:left="60" w:right="7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trade disruption, significant introductions of trade barriers and bilateral trade frictions, together with any future downturns in the global economy resulting therefrom, could adversely affect our performance.</w:t>
      </w:r>
    </w:p>
    <w:p>
      <w:pPr>
        <w:spacing w:after="0" w:line="15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Political leaders in the U.S. and certain foreign countries have recently been elected on protectionist platforms, fueling doubts about the future of global free trade. The U.S. government has indicated its intent to alter its approach to international trade policy and in some cases to renegotiate certain existing trade agreements with foreign countries. In addition, the U.S. government has recently imposed tariffs on certain foreign goods and has indicated a willingness to impose tariffs on imports of other products. Some foreign governments, including China, have instituted retaliatory tariffs on certain U.S. goods and have indicated a willingness to impose additional tariffs on U.S. products. Global trade disruption, significant introductions of trade barriers and bilateral trade frictions, together with any future downturns in the global economy resulting therefrom, could adversely affect our performance.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were no unregistered sales of equity securities of the Company during the three months ended March 31, 2025.</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share repurchases were made during the three months ended March 31, 2025:</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Maximum Number (or</w:t>
            </w:r>
          </w:p>
        </w:tc>
      </w:tr>
      <w:tr>
        <w:trPr>
          <w:trHeight w:val="216"/>
        </w:trPr>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 Dollar</w:t>
            </w:r>
          </w:p>
        </w:tc>
      </w:tr>
      <w:tr>
        <w:trPr>
          <w:trHeight w:val="216"/>
        </w:trPr>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of Shares that</w:t>
            </w:r>
          </w:p>
        </w:tc>
      </w:tr>
      <w:tr>
        <w:trPr>
          <w:trHeight w:val="216"/>
        </w:trPr>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 Part of Publicly</w:t>
            </w:r>
          </w:p>
        </w:tc>
        <w:tc>
          <w:tcPr>
            <w:tcW w:w="180" w:type="dxa"/>
            <w:vAlign w:val="bottom"/>
          </w:tcPr>
          <w:p>
            <w:pPr>
              <w:spacing w:after="0"/>
              <w:rPr>
                <w:sz w:val="18"/>
                <w:szCs w:val="18"/>
                <w:color w:val="auto"/>
              </w:rPr>
            </w:pPr>
          </w:p>
        </w:tc>
        <w:tc>
          <w:tcPr>
            <w:tcW w:w="18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8"/>
              </w:rPr>
              <w:t>May Yet be Purchased</w:t>
            </w:r>
          </w:p>
        </w:tc>
      </w:tr>
      <w:tr>
        <w:trPr>
          <w:trHeight w:val="208"/>
        </w:trPr>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12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 the Plans or</w:t>
            </w:r>
          </w:p>
        </w:tc>
      </w:tr>
      <w:tr>
        <w:trPr>
          <w:trHeight w:val="246"/>
        </w:trPr>
        <w:tc>
          <w:tcPr>
            <w:tcW w:w="2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20" w:type="dxa"/>
            <w:vAlign w:val="bottom"/>
          </w:tcPr>
          <w:p>
            <w:pPr>
              <w:spacing w:after="0"/>
              <w:rPr>
                <w:sz w:val="21"/>
                <w:szCs w:val="21"/>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jc w:val="center"/>
              <w:spacing w:after="0" w:line="246" w:lineRule="exact"/>
              <w:rPr>
                <w:sz w:val="20"/>
                <w:szCs w:val="20"/>
                <w:color w:val="auto"/>
              </w:rPr>
            </w:pPr>
            <w:r>
              <w:rPr>
                <w:rFonts w:ascii="Times New Roman" w:cs="Times New Roman" w:eastAsia="Times New Roman" w:hAnsi="Times New Roman"/>
                <w:sz w:val="18"/>
                <w:szCs w:val="18"/>
                <w:b w:val="1"/>
                <w:bCs w:val="1"/>
                <w:color w:val="auto"/>
                <w:w w:val="98"/>
              </w:rPr>
              <w:t xml:space="preserve">Programs ($000's) </w:t>
            </w:r>
            <w:r>
              <w:rPr>
                <w:rFonts w:ascii="Times New Roman" w:cs="Times New Roman" w:eastAsia="Times New Roman" w:hAnsi="Times New Roman"/>
                <w:sz w:val="26"/>
                <w:szCs w:val="26"/>
                <w:b w:val="1"/>
                <w:bCs w:val="1"/>
                <w:color w:val="auto"/>
                <w:w w:val="98"/>
                <w:vertAlign w:val="superscript"/>
              </w:rPr>
              <w:t>(1)</w:t>
            </w:r>
          </w:p>
        </w:tc>
      </w:tr>
      <w:tr>
        <w:trPr>
          <w:trHeight w:val="209"/>
        </w:trPr>
        <w:tc>
          <w:tcPr>
            <w:tcW w:w="2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1/1/2025 - 1/31/2025</w:t>
            </w:r>
          </w:p>
        </w:tc>
        <w:tc>
          <w:tcPr>
            <w:tcW w:w="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2/1/2025 - 2/28/2025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55,010</w:t>
            </w: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9,094</w:t>
            </w:r>
          </w:p>
        </w:tc>
      </w:tr>
      <w:tr>
        <w:trPr>
          <w:trHeight w:val="216"/>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3/1/2025 - 3/31/2025</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218,815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8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218,815</w:t>
            </w:r>
          </w:p>
        </w:tc>
        <w:tc>
          <w:tcPr>
            <w:tcW w:w="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w:t>
            </w:r>
          </w:p>
        </w:tc>
      </w:tr>
      <w:tr>
        <w:trPr>
          <w:trHeight w:val="209"/>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273,825</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80" w:type="dxa"/>
            <w:vAlign w:val="bottom"/>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0"/>
        </w:trPr>
        <w:tc>
          <w:tcPr>
            <w:tcW w:w="2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88"/>
        </w:trPr>
        <w:tc>
          <w:tcPr>
            <w:tcW w:w="2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r>
    </w:tbl>
    <w:p>
      <w:pPr>
        <w:spacing w:after="0" w:line="58" w:lineRule="exact"/>
        <w:rPr>
          <w:sz w:val="20"/>
          <w:szCs w:val="20"/>
          <w:color w:val="auto"/>
        </w:rPr>
      </w:pPr>
    </w:p>
    <w:p>
      <w:pPr>
        <w:ind w:left="380" w:right="79" w:hanging="330"/>
        <w:spacing w:after="0" w:line="261" w:lineRule="auto"/>
        <w:tabs>
          <w:tab w:leader="none" w:pos="38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 February 2025, the Company’s Board of Directors approved a $10 million stock repurchase program under which approximately $4.5 million of the Company’s stock had been repurchased as of March 31, 2025. The repurchase program does not have an expiration date.</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DEFAULTS UPON SENIOR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Exhibits:</w:t>
      </w:r>
    </w:p>
    <w:p>
      <w:pPr>
        <w:spacing w:after="0" w:line="102"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3.1</w:t>
            </w:r>
          </w:p>
        </w:tc>
        <w:tc>
          <w:tcPr>
            <w:tcW w:w="748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rPr>
            </w:pPr>
            <w:hyperlink r:id="rId69">
              <w:r>
                <w:rPr>
                  <w:rFonts w:ascii="Times New Roman" w:cs="Times New Roman" w:eastAsia="Times New Roman" w:hAnsi="Times New Roman"/>
                  <w:sz w:val="17"/>
                  <w:szCs w:val="17"/>
                  <w:color w:val="0000EE"/>
                </w:rPr>
                <w:t>Articles of Amendment and Restatement of Alpine Income Property Trust, Inc. (incorporated by reference to</w:t>
              </w:r>
            </w:hyperlink>
          </w:p>
        </w:tc>
      </w:tr>
      <w:tr>
        <w:trPr>
          <w:trHeight w:val="183"/>
        </w:trPr>
        <w:tc>
          <w:tcPr>
            <w:tcW w:w="1400" w:type="dxa"/>
            <w:vAlign w:val="bottom"/>
          </w:tcPr>
          <w:p>
            <w:pPr>
              <w:spacing w:after="0"/>
              <w:rPr>
                <w:sz w:val="15"/>
                <w:szCs w:val="15"/>
                <w:color w:val="auto"/>
              </w:rPr>
            </w:pPr>
          </w:p>
        </w:tc>
        <w:tc>
          <w:tcPr>
            <w:tcW w:w="5980" w:type="dxa"/>
            <w:vAlign w:val="bottom"/>
            <w:tcBorders>
              <w:bottom w:val="single" w:sz="8" w:color="0000EE"/>
            </w:tcBorders>
            <w:gridSpan w:val="7"/>
          </w:tcPr>
          <w:p>
            <w:pPr>
              <w:spacing w:after="0" w:line="183" w:lineRule="exact"/>
              <w:rPr>
                <w:rFonts w:ascii="Times New Roman" w:cs="Times New Roman" w:eastAsia="Times New Roman" w:hAnsi="Times New Roman"/>
                <w:sz w:val="17"/>
                <w:szCs w:val="17"/>
                <w:color w:val="0000EE"/>
                <w:w w:val="99"/>
              </w:rPr>
            </w:pPr>
            <w:hyperlink r:id="rId69">
              <w:r>
                <w:rPr>
                  <w:rFonts w:ascii="Times New Roman" w:cs="Times New Roman" w:eastAsia="Times New Roman" w:hAnsi="Times New Roman"/>
                  <w:sz w:val="17"/>
                  <w:szCs w:val="17"/>
                  <w:color w:val="0000EE"/>
                  <w:w w:val="99"/>
                </w:rPr>
                <w:t>Exhibit 3.1 to the Company’s Current Report on Form 8-K filed on December 3, 2019).</w:t>
              </w:r>
            </w:hyperlink>
          </w:p>
        </w:tc>
        <w:tc>
          <w:tcPr>
            <w:tcW w:w="1500" w:type="dxa"/>
            <w:vAlign w:val="bottom"/>
          </w:tcPr>
          <w:p>
            <w:pPr>
              <w:spacing w:after="0"/>
              <w:rPr>
                <w:sz w:val="15"/>
                <w:szCs w:val="15"/>
                <w:color w:val="auto"/>
              </w:rPr>
            </w:pPr>
          </w:p>
        </w:tc>
      </w:tr>
      <w:tr>
        <w:trPr>
          <w:trHeight w:val="27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3.2</w:t>
            </w:r>
          </w:p>
        </w:tc>
        <w:tc>
          <w:tcPr>
            <w:tcW w:w="748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rPr>
            </w:pPr>
            <w:hyperlink r:id="rId70">
              <w:r>
                <w:rPr>
                  <w:rFonts w:ascii="Times New Roman" w:cs="Times New Roman" w:eastAsia="Times New Roman" w:hAnsi="Times New Roman"/>
                  <w:sz w:val="17"/>
                  <w:szCs w:val="17"/>
                  <w:color w:val="0000EE"/>
                </w:rPr>
                <w:t>Third Amended and Restated Bylaws of Alpine Income Property Trust, Inc. (incorporated by reference to</w:t>
              </w:r>
            </w:hyperlink>
          </w:p>
        </w:tc>
      </w:tr>
      <w:tr>
        <w:trPr>
          <w:trHeight w:val="183"/>
        </w:trPr>
        <w:tc>
          <w:tcPr>
            <w:tcW w:w="1400" w:type="dxa"/>
            <w:vAlign w:val="bottom"/>
          </w:tcPr>
          <w:p>
            <w:pPr>
              <w:spacing w:after="0"/>
              <w:rPr>
                <w:sz w:val="15"/>
                <w:szCs w:val="15"/>
                <w:color w:val="auto"/>
              </w:rPr>
            </w:pPr>
          </w:p>
        </w:tc>
        <w:tc>
          <w:tcPr>
            <w:tcW w:w="5900" w:type="dxa"/>
            <w:vAlign w:val="bottom"/>
            <w:tcBorders>
              <w:bottom w:val="single" w:sz="8" w:color="0000EE"/>
            </w:tcBorders>
            <w:gridSpan w:val="6"/>
          </w:tcPr>
          <w:p>
            <w:pPr>
              <w:spacing w:after="0" w:line="183" w:lineRule="exact"/>
              <w:rPr>
                <w:rFonts w:ascii="Times New Roman" w:cs="Times New Roman" w:eastAsia="Times New Roman" w:hAnsi="Times New Roman"/>
                <w:sz w:val="17"/>
                <w:szCs w:val="17"/>
                <w:color w:val="0000EE"/>
              </w:rPr>
            </w:pPr>
            <w:hyperlink r:id="rId70">
              <w:r>
                <w:rPr>
                  <w:rFonts w:ascii="Times New Roman" w:cs="Times New Roman" w:eastAsia="Times New Roman" w:hAnsi="Times New Roman"/>
                  <w:sz w:val="17"/>
                  <w:szCs w:val="17"/>
                  <w:color w:val="0000EE"/>
                </w:rPr>
                <w:t>Exhibit 3.1 to the Company’s Current Report on Form 8-K filed on February 3, 2023).</w:t>
              </w:r>
            </w:hyperlink>
          </w:p>
        </w:tc>
        <w:tc>
          <w:tcPr>
            <w:tcW w:w="1580" w:type="dxa"/>
            <w:vAlign w:val="bottom"/>
            <w:gridSpan w:val="2"/>
          </w:tcPr>
          <w:p>
            <w:pPr>
              <w:spacing w:after="0"/>
              <w:rPr>
                <w:sz w:val="15"/>
                <w:szCs w:val="15"/>
                <w:color w:val="auto"/>
              </w:rPr>
            </w:pPr>
          </w:p>
        </w:tc>
      </w:tr>
      <w:tr>
        <w:trPr>
          <w:trHeight w:val="27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4.1</w:t>
            </w:r>
          </w:p>
        </w:tc>
        <w:tc>
          <w:tcPr>
            <w:tcW w:w="748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rPr>
            </w:pPr>
            <w:hyperlink r:id="rId71">
              <w:r>
                <w:rPr>
                  <w:rFonts w:ascii="Times New Roman" w:cs="Times New Roman" w:eastAsia="Times New Roman" w:hAnsi="Times New Roman"/>
                  <w:sz w:val="17"/>
                  <w:szCs w:val="17"/>
                  <w:color w:val="0000EE"/>
                </w:rPr>
                <w:t>Specimen Common Stock Certificate of Alpine Income Property Trust, Inc. (incorporated by reference to</w:t>
              </w:r>
            </w:hyperlink>
          </w:p>
        </w:tc>
      </w:tr>
      <w:tr>
        <w:trPr>
          <w:trHeight w:val="183"/>
        </w:trPr>
        <w:tc>
          <w:tcPr>
            <w:tcW w:w="1400" w:type="dxa"/>
            <w:vAlign w:val="bottom"/>
          </w:tcPr>
          <w:p>
            <w:pPr>
              <w:spacing w:after="0"/>
              <w:rPr>
                <w:sz w:val="15"/>
                <w:szCs w:val="15"/>
                <w:color w:val="auto"/>
              </w:rPr>
            </w:pPr>
          </w:p>
        </w:tc>
        <w:tc>
          <w:tcPr>
            <w:tcW w:w="7480" w:type="dxa"/>
            <w:vAlign w:val="bottom"/>
            <w:tcBorders>
              <w:bottom w:val="single" w:sz="8" w:color="0000EE"/>
            </w:tcBorders>
            <w:gridSpan w:val="8"/>
          </w:tcPr>
          <w:p>
            <w:pPr>
              <w:spacing w:after="0" w:line="183" w:lineRule="exact"/>
              <w:rPr>
                <w:rFonts w:ascii="Times New Roman" w:cs="Times New Roman" w:eastAsia="Times New Roman" w:hAnsi="Times New Roman"/>
                <w:sz w:val="17"/>
                <w:szCs w:val="17"/>
                <w:color w:val="0000EE"/>
              </w:rPr>
            </w:pPr>
            <w:hyperlink r:id="rId71">
              <w:r>
                <w:rPr>
                  <w:rFonts w:ascii="Times New Roman" w:cs="Times New Roman" w:eastAsia="Times New Roman" w:hAnsi="Times New Roman"/>
                  <w:sz w:val="17"/>
                  <w:szCs w:val="17"/>
                  <w:color w:val="0000EE"/>
                </w:rPr>
                <w:t>Exhibit 4.1 to the Registrant’s Registration Statement on Form S-11/A (File No. 333-234304) filed with the</w:t>
              </w:r>
            </w:hyperlink>
          </w:p>
        </w:tc>
      </w:tr>
      <w:tr>
        <w:trPr>
          <w:trHeight w:val="183"/>
        </w:trPr>
        <w:tc>
          <w:tcPr>
            <w:tcW w:w="1400" w:type="dxa"/>
            <w:vAlign w:val="bottom"/>
          </w:tcPr>
          <w:p>
            <w:pPr>
              <w:spacing w:after="0"/>
              <w:rPr>
                <w:sz w:val="15"/>
                <w:szCs w:val="15"/>
                <w:color w:val="auto"/>
              </w:rPr>
            </w:pPr>
          </w:p>
        </w:tc>
        <w:tc>
          <w:tcPr>
            <w:tcW w:w="7480" w:type="dxa"/>
            <w:vAlign w:val="bottom"/>
            <w:gridSpan w:val="8"/>
          </w:tcPr>
          <w:p>
            <w:pPr>
              <w:spacing w:after="0" w:line="183" w:lineRule="exact"/>
              <w:rPr>
                <w:rFonts w:ascii="Times New Roman" w:cs="Times New Roman" w:eastAsia="Times New Roman" w:hAnsi="Times New Roman"/>
                <w:sz w:val="17"/>
                <w:szCs w:val="17"/>
                <w:color w:val="0000EE"/>
              </w:rPr>
            </w:pPr>
            <w:hyperlink r:id="rId71">
              <w:r>
                <w:rPr>
                  <w:rFonts w:ascii="Times New Roman" w:cs="Times New Roman" w:eastAsia="Times New Roman" w:hAnsi="Times New Roman"/>
                  <w:sz w:val="17"/>
                  <w:szCs w:val="17"/>
                  <w:color w:val="0000EE"/>
                </w:rPr>
                <w:t>Commission on October 29, 2019).</w:t>
              </w:r>
            </w:hyperlink>
          </w:p>
        </w:tc>
      </w:tr>
      <w:tr>
        <w:trPr>
          <w:trHeight w:val="20"/>
        </w:trPr>
        <w:tc>
          <w:tcPr>
            <w:tcW w:w="14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r>
      <w:tr>
        <w:trPr>
          <w:trHeight w:val="27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10.1</w:t>
            </w:r>
          </w:p>
        </w:tc>
        <w:tc>
          <w:tcPr>
            <w:tcW w:w="748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rPr>
            </w:pPr>
            <w:hyperlink r:id="rId72">
              <w:r>
                <w:rPr>
                  <w:rFonts w:ascii="Times New Roman" w:cs="Times New Roman" w:eastAsia="Times New Roman" w:hAnsi="Times New Roman"/>
                  <w:sz w:val="17"/>
                  <w:szCs w:val="17"/>
                  <w:color w:val="0000EE"/>
                </w:rPr>
                <w:t>Indemnification Agreement dated February 6, 2025, between Alpine Income Property Trust, Inc. and Philip</w:t>
              </w:r>
            </w:hyperlink>
          </w:p>
        </w:tc>
      </w:tr>
      <w:tr>
        <w:trPr>
          <w:trHeight w:val="183"/>
        </w:trPr>
        <w:tc>
          <w:tcPr>
            <w:tcW w:w="1400" w:type="dxa"/>
            <w:vAlign w:val="bottom"/>
          </w:tcPr>
          <w:p>
            <w:pPr>
              <w:spacing w:after="0"/>
              <w:rPr>
                <w:sz w:val="15"/>
                <w:szCs w:val="15"/>
                <w:color w:val="auto"/>
              </w:rPr>
            </w:pPr>
          </w:p>
        </w:tc>
        <w:tc>
          <w:tcPr>
            <w:tcW w:w="7480" w:type="dxa"/>
            <w:vAlign w:val="bottom"/>
            <w:tcBorders>
              <w:bottom w:val="single" w:sz="8" w:color="0000EE"/>
            </w:tcBorders>
            <w:gridSpan w:val="8"/>
          </w:tcPr>
          <w:p>
            <w:pPr>
              <w:spacing w:after="0" w:line="183" w:lineRule="exact"/>
              <w:rPr>
                <w:rFonts w:ascii="Times New Roman" w:cs="Times New Roman" w:eastAsia="Times New Roman" w:hAnsi="Times New Roman"/>
                <w:sz w:val="17"/>
                <w:szCs w:val="17"/>
                <w:color w:val="0000EE"/>
              </w:rPr>
            </w:pPr>
            <w:hyperlink r:id="rId72">
              <w:r>
                <w:rPr>
                  <w:rFonts w:ascii="Times New Roman" w:cs="Times New Roman" w:eastAsia="Times New Roman" w:hAnsi="Times New Roman"/>
                  <w:sz w:val="17"/>
                  <w:szCs w:val="17"/>
                  <w:color w:val="0000EE"/>
                </w:rPr>
                <w:t>R. Mays (incorporated by reference to Exhibit 10.24 to the Company’s Annual Report on Form 10-K filed on</w:t>
              </w:r>
            </w:hyperlink>
          </w:p>
        </w:tc>
      </w:tr>
      <w:tr>
        <w:trPr>
          <w:trHeight w:val="183"/>
        </w:trPr>
        <w:tc>
          <w:tcPr>
            <w:tcW w:w="1400" w:type="dxa"/>
            <w:vAlign w:val="bottom"/>
          </w:tcPr>
          <w:p>
            <w:pPr>
              <w:spacing w:after="0"/>
              <w:rPr>
                <w:sz w:val="15"/>
                <w:szCs w:val="15"/>
                <w:color w:val="auto"/>
              </w:rPr>
            </w:pPr>
          </w:p>
        </w:tc>
        <w:tc>
          <w:tcPr>
            <w:tcW w:w="7480" w:type="dxa"/>
            <w:vAlign w:val="bottom"/>
            <w:gridSpan w:val="8"/>
          </w:tcPr>
          <w:p>
            <w:pPr>
              <w:spacing w:after="0" w:line="183" w:lineRule="exact"/>
              <w:rPr>
                <w:rFonts w:ascii="Times New Roman" w:cs="Times New Roman" w:eastAsia="Times New Roman" w:hAnsi="Times New Roman"/>
                <w:sz w:val="17"/>
                <w:szCs w:val="17"/>
                <w:color w:val="0000EE"/>
              </w:rPr>
            </w:pPr>
            <w:hyperlink r:id="rId72">
              <w:r>
                <w:rPr>
                  <w:rFonts w:ascii="Times New Roman" w:cs="Times New Roman" w:eastAsia="Times New Roman" w:hAnsi="Times New Roman"/>
                  <w:sz w:val="17"/>
                  <w:szCs w:val="17"/>
                  <w:color w:val="0000EE"/>
                </w:rPr>
                <w:t>February 6, 2025).</w:t>
              </w:r>
              <w:r>
                <w:rPr>
                  <w:rFonts w:ascii="Times New Roman" w:cs="Times New Roman" w:eastAsia="Times New Roman" w:hAnsi="Times New Roman"/>
                  <w:sz w:val="17"/>
                  <w:szCs w:val="17"/>
                  <w:color w:val="000000"/>
                </w:rPr>
                <w:t>†</w:t>
              </w:r>
            </w:hyperlink>
          </w:p>
        </w:tc>
      </w:tr>
      <w:tr>
        <w:trPr>
          <w:trHeight w:val="20"/>
        </w:trPr>
        <w:tc>
          <w:tcPr>
            <w:tcW w:w="14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r>
      <w:tr>
        <w:trPr>
          <w:trHeight w:val="27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10.2</w:t>
            </w:r>
          </w:p>
        </w:tc>
        <w:tc>
          <w:tcPr>
            <w:tcW w:w="748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rPr>
            </w:pPr>
            <w:hyperlink r:id="rId73">
              <w:r>
                <w:rPr>
                  <w:rFonts w:ascii="Times New Roman" w:cs="Times New Roman" w:eastAsia="Times New Roman" w:hAnsi="Times New Roman"/>
                  <w:sz w:val="17"/>
                  <w:szCs w:val="17"/>
                  <w:color w:val="0000EE"/>
                </w:rPr>
                <w:t>Indemnification Agreement, dated February 6, 2025, between Alpine Income Property Trust, Inc. and Lisa</w:t>
              </w:r>
            </w:hyperlink>
          </w:p>
        </w:tc>
      </w:tr>
      <w:tr>
        <w:trPr>
          <w:trHeight w:val="183"/>
        </w:trPr>
        <w:tc>
          <w:tcPr>
            <w:tcW w:w="1400" w:type="dxa"/>
            <w:vAlign w:val="bottom"/>
          </w:tcPr>
          <w:p>
            <w:pPr>
              <w:spacing w:after="0"/>
              <w:rPr>
                <w:sz w:val="15"/>
                <w:szCs w:val="15"/>
                <w:color w:val="auto"/>
              </w:rPr>
            </w:pPr>
          </w:p>
        </w:tc>
        <w:tc>
          <w:tcPr>
            <w:tcW w:w="7480" w:type="dxa"/>
            <w:vAlign w:val="bottom"/>
            <w:tcBorders>
              <w:bottom w:val="single" w:sz="8" w:color="0000EE"/>
            </w:tcBorders>
            <w:gridSpan w:val="8"/>
          </w:tcPr>
          <w:p>
            <w:pPr>
              <w:spacing w:after="0" w:line="183" w:lineRule="exact"/>
              <w:rPr>
                <w:rFonts w:ascii="Times New Roman" w:cs="Times New Roman" w:eastAsia="Times New Roman" w:hAnsi="Times New Roman"/>
                <w:sz w:val="17"/>
                <w:szCs w:val="17"/>
                <w:color w:val="0000EE"/>
              </w:rPr>
            </w:pPr>
            <w:hyperlink r:id="rId73">
              <w:r>
                <w:rPr>
                  <w:rFonts w:ascii="Times New Roman" w:cs="Times New Roman" w:eastAsia="Times New Roman" w:hAnsi="Times New Roman"/>
                  <w:sz w:val="17"/>
                  <w:szCs w:val="17"/>
                  <w:color w:val="0000EE"/>
                </w:rPr>
                <w:t>M. Vorakoun (incorporated by reference to Exhibit 10.25 to the Company’s Annual Report on Form 10-K</w:t>
              </w:r>
            </w:hyperlink>
          </w:p>
        </w:tc>
      </w:tr>
      <w:tr>
        <w:trPr>
          <w:trHeight w:val="183"/>
        </w:trPr>
        <w:tc>
          <w:tcPr>
            <w:tcW w:w="1400" w:type="dxa"/>
            <w:vAlign w:val="bottom"/>
          </w:tcPr>
          <w:p>
            <w:pPr>
              <w:spacing w:after="0"/>
              <w:rPr>
                <w:sz w:val="15"/>
                <w:szCs w:val="15"/>
                <w:color w:val="auto"/>
              </w:rPr>
            </w:pPr>
          </w:p>
        </w:tc>
        <w:tc>
          <w:tcPr>
            <w:tcW w:w="7480" w:type="dxa"/>
            <w:vAlign w:val="bottom"/>
            <w:gridSpan w:val="8"/>
          </w:tcPr>
          <w:p>
            <w:pPr>
              <w:spacing w:after="0" w:line="183" w:lineRule="exact"/>
              <w:rPr>
                <w:rFonts w:ascii="Times New Roman" w:cs="Times New Roman" w:eastAsia="Times New Roman" w:hAnsi="Times New Roman"/>
                <w:sz w:val="17"/>
                <w:szCs w:val="17"/>
                <w:color w:val="0000EE"/>
              </w:rPr>
            </w:pPr>
            <w:hyperlink r:id="rId73">
              <w:r>
                <w:rPr>
                  <w:rFonts w:ascii="Times New Roman" w:cs="Times New Roman" w:eastAsia="Times New Roman" w:hAnsi="Times New Roman"/>
                  <w:sz w:val="17"/>
                  <w:szCs w:val="17"/>
                  <w:color w:val="0000EE"/>
                </w:rPr>
                <w:t>filed on February 6, 2025).†</w:t>
              </w:r>
            </w:hyperlink>
          </w:p>
        </w:tc>
      </w:tr>
      <w:tr>
        <w:trPr>
          <w:trHeight w:val="20"/>
        </w:trPr>
        <w:tc>
          <w:tcPr>
            <w:tcW w:w="140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r>
      <w:tr>
        <w:trPr>
          <w:trHeight w:val="27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31.1*</w:t>
            </w:r>
          </w:p>
        </w:tc>
        <w:tc>
          <w:tcPr>
            <w:tcW w:w="7480" w:type="dxa"/>
            <w:vAlign w:val="bottom"/>
            <w:gridSpan w:val="8"/>
          </w:tcPr>
          <w:p>
            <w:pPr>
              <w:spacing w:after="0"/>
              <w:rPr>
                <w:sz w:val="20"/>
                <w:szCs w:val="20"/>
                <w:color w:val="auto"/>
              </w:rPr>
            </w:pPr>
            <w:r>
              <w:rPr>
                <w:rFonts w:ascii="Times New Roman" w:cs="Times New Roman" w:eastAsia="Times New Roman" w:hAnsi="Times New Roman"/>
                <w:sz w:val="17"/>
                <w:szCs w:val="17"/>
                <w:color w:val="0000EE"/>
              </w:rPr>
              <w:t>Certification filed pursuant to Section 302 of the Sarbanes-Oxley Act of 2002.</w:t>
            </w:r>
          </w:p>
        </w:tc>
      </w:tr>
      <w:tr>
        <w:trPr>
          <w:trHeight w:val="20"/>
        </w:trPr>
        <w:tc>
          <w:tcPr>
            <w:tcW w:w="1400" w:type="dxa"/>
            <w:vAlign w:val="bottom"/>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r>
      <w:tr>
        <w:trPr>
          <w:trHeight w:val="27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31.2*</w:t>
            </w:r>
          </w:p>
        </w:tc>
        <w:tc>
          <w:tcPr>
            <w:tcW w:w="7480" w:type="dxa"/>
            <w:vAlign w:val="bottom"/>
            <w:gridSpan w:val="8"/>
          </w:tcPr>
          <w:p>
            <w:pPr>
              <w:spacing w:after="0"/>
              <w:rPr>
                <w:sz w:val="20"/>
                <w:szCs w:val="20"/>
                <w:color w:val="auto"/>
              </w:rPr>
            </w:pPr>
            <w:r>
              <w:rPr>
                <w:rFonts w:ascii="Times New Roman" w:cs="Times New Roman" w:eastAsia="Times New Roman" w:hAnsi="Times New Roman"/>
                <w:sz w:val="17"/>
                <w:szCs w:val="17"/>
                <w:color w:val="0000EE"/>
              </w:rPr>
              <w:t>Certification filed pursuant to Section 302 of the Sarbanes-Oxley Act of 2002.</w:t>
            </w:r>
          </w:p>
        </w:tc>
      </w:tr>
      <w:tr>
        <w:trPr>
          <w:trHeight w:val="20"/>
        </w:trPr>
        <w:tc>
          <w:tcPr>
            <w:tcW w:w="1400" w:type="dxa"/>
            <w:vAlign w:val="bottom"/>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r>
      <w:tr>
        <w:trPr>
          <w:trHeight w:val="27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32.1**</w:t>
            </w:r>
          </w:p>
        </w:tc>
        <w:tc>
          <w:tcPr>
            <w:tcW w:w="74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7"/>
                <w:szCs w:val="17"/>
                <w:color w:val="0000EE"/>
              </w:rPr>
              <w:t>Certification furnished pursuant to 18 U.S.C. Section 1350, as Adopted pursuant to Section 906 of the</w:t>
            </w:r>
          </w:p>
        </w:tc>
      </w:tr>
      <w:tr>
        <w:trPr>
          <w:trHeight w:val="183"/>
        </w:trPr>
        <w:tc>
          <w:tcPr>
            <w:tcW w:w="1400" w:type="dxa"/>
            <w:vAlign w:val="bottom"/>
          </w:tcPr>
          <w:p>
            <w:pPr>
              <w:spacing w:after="0"/>
              <w:rPr>
                <w:sz w:val="15"/>
                <w:szCs w:val="15"/>
                <w:color w:val="auto"/>
              </w:rPr>
            </w:pPr>
          </w:p>
        </w:tc>
        <w:tc>
          <w:tcPr>
            <w:tcW w:w="7480" w:type="dxa"/>
            <w:vAlign w:val="bottom"/>
            <w:gridSpan w:val="8"/>
          </w:tcPr>
          <w:p>
            <w:pPr>
              <w:spacing w:after="0" w:line="183" w:lineRule="exact"/>
              <w:rPr>
                <w:sz w:val="20"/>
                <w:szCs w:val="20"/>
                <w:color w:val="auto"/>
              </w:rPr>
            </w:pPr>
            <w:r>
              <w:rPr>
                <w:rFonts w:ascii="Times New Roman" w:cs="Times New Roman" w:eastAsia="Times New Roman" w:hAnsi="Times New Roman"/>
                <w:sz w:val="17"/>
                <w:szCs w:val="17"/>
                <w:color w:val="0000EE"/>
              </w:rPr>
              <w:t>Sarbanes-Oxley Act of 2002.</w:t>
            </w:r>
          </w:p>
        </w:tc>
      </w:tr>
      <w:tr>
        <w:trPr>
          <w:trHeight w:val="20"/>
        </w:trPr>
        <w:tc>
          <w:tcPr>
            <w:tcW w:w="1400" w:type="dxa"/>
            <w:vAlign w:val="bottom"/>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5500" w:type="dxa"/>
            <w:vAlign w:val="bottom"/>
            <w:gridSpan w:val="5"/>
          </w:tcPr>
          <w:p>
            <w:pPr>
              <w:spacing w:after="0" w:line="20" w:lineRule="exact"/>
              <w:rPr>
                <w:sz w:val="1"/>
                <w:szCs w:val="1"/>
                <w:color w:val="auto"/>
              </w:rPr>
            </w:pPr>
          </w:p>
        </w:tc>
      </w:tr>
      <w:tr>
        <w:trPr>
          <w:trHeight w:val="27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32.2**</w:t>
            </w:r>
          </w:p>
        </w:tc>
        <w:tc>
          <w:tcPr>
            <w:tcW w:w="74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7"/>
                <w:szCs w:val="17"/>
                <w:color w:val="0000EE"/>
              </w:rPr>
              <w:t>Certification furnished pursuant to 18 U.S.C. Section 1350, as Adopted pursuant to Section 906 of the</w:t>
            </w:r>
          </w:p>
        </w:tc>
      </w:tr>
      <w:tr>
        <w:trPr>
          <w:trHeight w:val="183"/>
        </w:trPr>
        <w:tc>
          <w:tcPr>
            <w:tcW w:w="1400" w:type="dxa"/>
            <w:vAlign w:val="bottom"/>
          </w:tcPr>
          <w:p>
            <w:pPr>
              <w:spacing w:after="0"/>
              <w:rPr>
                <w:sz w:val="15"/>
                <w:szCs w:val="15"/>
                <w:color w:val="auto"/>
              </w:rPr>
            </w:pPr>
          </w:p>
        </w:tc>
        <w:tc>
          <w:tcPr>
            <w:tcW w:w="7480" w:type="dxa"/>
            <w:vAlign w:val="bottom"/>
            <w:gridSpan w:val="8"/>
          </w:tcPr>
          <w:p>
            <w:pPr>
              <w:spacing w:after="0" w:line="183" w:lineRule="exact"/>
              <w:rPr>
                <w:sz w:val="20"/>
                <w:szCs w:val="20"/>
                <w:color w:val="auto"/>
              </w:rPr>
            </w:pPr>
            <w:r>
              <w:rPr>
                <w:rFonts w:ascii="Times New Roman" w:cs="Times New Roman" w:eastAsia="Times New Roman" w:hAnsi="Times New Roman"/>
                <w:sz w:val="17"/>
                <w:szCs w:val="17"/>
                <w:color w:val="0000EE"/>
              </w:rPr>
              <w:t>Sarbanes-Oxley Act of 2002.</w:t>
            </w:r>
          </w:p>
        </w:tc>
      </w:tr>
      <w:tr>
        <w:trPr>
          <w:trHeight w:val="20"/>
        </w:trPr>
        <w:tc>
          <w:tcPr>
            <w:tcW w:w="1400" w:type="dxa"/>
            <w:vAlign w:val="bottom"/>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5500" w:type="dxa"/>
            <w:vAlign w:val="bottom"/>
            <w:gridSpan w:val="5"/>
          </w:tcPr>
          <w:p>
            <w:pPr>
              <w:spacing w:after="0" w:line="20" w:lineRule="exact"/>
              <w:rPr>
                <w:sz w:val="1"/>
                <w:szCs w:val="1"/>
                <w:color w:val="auto"/>
              </w:rPr>
            </w:pPr>
          </w:p>
        </w:tc>
      </w:tr>
      <w:tr>
        <w:trPr>
          <w:trHeight w:val="315"/>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101.INS</w:t>
            </w:r>
          </w:p>
        </w:tc>
        <w:tc>
          <w:tcPr>
            <w:tcW w:w="74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101.SCH</w:t>
            </w:r>
          </w:p>
        </w:tc>
        <w:tc>
          <w:tcPr>
            <w:tcW w:w="74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101.CAL</w:t>
            </w:r>
          </w:p>
        </w:tc>
        <w:tc>
          <w:tcPr>
            <w:tcW w:w="74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101.DEF</w:t>
            </w:r>
          </w:p>
        </w:tc>
        <w:tc>
          <w:tcPr>
            <w:tcW w:w="74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Inline XBRL Taxonomy Definition Linkbase Document</w:t>
            </w: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101.LAB</w:t>
            </w:r>
          </w:p>
        </w:tc>
        <w:tc>
          <w:tcPr>
            <w:tcW w:w="74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101.PRE</w:t>
            </w:r>
          </w:p>
        </w:tc>
        <w:tc>
          <w:tcPr>
            <w:tcW w:w="74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104</w:t>
            </w:r>
          </w:p>
        </w:tc>
        <w:tc>
          <w:tcPr>
            <w:tcW w:w="74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60960</wp:posOffset>
            </wp:positionV>
            <wp:extent cx="14141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36" w:lineRule="exact"/>
        <w:rPr>
          <w:sz w:val="20"/>
          <w:szCs w:val="20"/>
          <w:color w:val="auto"/>
        </w:rPr>
      </w:pPr>
    </w:p>
    <w:p>
      <w:pPr>
        <w:ind w:left="300" w:hanging="250"/>
        <w:spacing w:after="0"/>
        <w:tabs>
          <w:tab w:leader="none" w:pos="3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Furnished herewith</w:t>
      </w:r>
    </w:p>
    <w:p>
      <w:pPr>
        <w:spacing w:after="0" w:line="7" w:lineRule="exact"/>
        <w:rPr>
          <w:sz w:val="20"/>
          <w:szCs w:val="20"/>
          <w:color w:val="auto"/>
        </w:rPr>
      </w:pPr>
    </w:p>
    <w:p>
      <w:pPr>
        <w:ind w:left="300" w:hanging="250"/>
        <w:spacing w:after="0"/>
        <w:tabs>
          <w:tab w:leader="none" w:pos="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 or Compensatory Plan or Arrangement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40" w:lineRule="exact"/>
        <w:rPr>
          <w:rFonts w:ascii="Times New Roman" w:cs="Times New Roman" w:eastAsia="Times New Roman" w:hAnsi="Times New Roman"/>
          <w:sz w:val="17"/>
          <w:szCs w:val="17"/>
          <w:color w:val="auto"/>
        </w:rPr>
      </w:pPr>
    </w:p>
    <w:p>
      <w:pPr>
        <w:ind w:left="4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ALPINE INCOME PROPERTY TRUST, INC.</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(Registrant)</w:t>
      </w:r>
    </w:p>
    <w:p>
      <w:pPr>
        <w:spacing w:after="0" w:line="234" w:lineRule="exact"/>
        <w:rPr>
          <w:sz w:val="20"/>
          <w:szCs w:val="20"/>
          <w:color w:val="auto"/>
        </w:rPr>
      </w:pPr>
    </w:p>
    <w:p>
      <w:pPr>
        <w:ind w:left="60"/>
        <w:spacing w:after="0"/>
        <w:tabs>
          <w:tab w:leader="none" w:pos="4620" w:val="left"/>
        </w:tabs>
        <w:rPr>
          <w:sz w:val="20"/>
          <w:szCs w:val="20"/>
          <w:color w:val="auto"/>
        </w:rPr>
      </w:pPr>
      <w:r>
        <w:rPr>
          <w:rFonts w:ascii="Times New Roman" w:cs="Times New Roman" w:eastAsia="Times New Roman" w:hAnsi="Times New Roman"/>
          <w:sz w:val="18"/>
          <w:szCs w:val="18"/>
          <w:color w:val="auto"/>
        </w:rPr>
        <w:t>April 24, 2025</w:t>
      </w:r>
      <w:r>
        <w:rPr>
          <w:sz w:val="20"/>
          <w:szCs w:val="20"/>
          <w:color w:val="auto"/>
        </w:rPr>
        <w:tab/>
      </w:r>
      <w:r>
        <w:rPr>
          <w:rFonts w:ascii="Times New Roman" w:cs="Times New Roman" w:eastAsia="Times New Roman" w:hAnsi="Times New Roman"/>
          <w:sz w:val="18"/>
          <w:szCs w:val="18"/>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4942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John P. Albright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34" w:lineRule="exact"/>
        <w:rPr>
          <w:sz w:val="20"/>
          <w:szCs w:val="20"/>
          <w:color w:val="auto"/>
        </w:rPr>
      </w:pPr>
    </w:p>
    <w:p>
      <w:pPr>
        <w:ind w:left="60"/>
        <w:spacing w:after="0"/>
        <w:tabs>
          <w:tab w:leader="none" w:pos="4620" w:val="left"/>
        </w:tabs>
        <w:rPr>
          <w:sz w:val="20"/>
          <w:szCs w:val="20"/>
          <w:color w:val="auto"/>
        </w:rPr>
      </w:pPr>
      <w:r>
        <w:rPr>
          <w:rFonts w:ascii="Times New Roman" w:cs="Times New Roman" w:eastAsia="Times New Roman" w:hAnsi="Times New Roman"/>
          <w:sz w:val="18"/>
          <w:szCs w:val="18"/>
          <w:color w:val="auto"/>
        </w:rPr>
        <w:t>April 24, 2025</w:t>
      </w:r>
      <w:r>
        <w:rPr>
          <w:sz w:val="20"/>
          <w:szCs w:val="20"/>
          <w:color w:val="auto"/>
        </w:rPr>
        <w:tab/>
      </w:r>
      <w:r>
        <w:rPr>
          <w:rFonts w:ascii="Times New Roman" w:cs="Times New Roman" w:eastAsia="Times New Roman" w:hAnsi="Times New Roman"/>
          <w:sz w:val="18"/>
          <w:szCs w:val="18"/>
          <w:color w:val="auto"/>
        </w:rPr>
        <w:t>By:  /s/ Philip R. Mays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4942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Philip R. Mays, Senior Vice President,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34" w:lineRule="exact"/>
        <w:rPr>
          <w:sz w:val="20"/>
          <w:szCs w:val="20"/>
          <w:color w:val="auto"/>
        </w:rPr>
      </w:pPr>
    </w:p>
    <w:p>
      <w:pPr>
        <w:ind w:left="60"/>
        <w:spacing w:after="0"/>
        <w:tabs>
          <w:tab w:leader="none" w:pos="4620" w:val="left"/>
        </w:tabs>
        <w:rPr>
          <w:sz w:val="20"/>
          <w:szCs w:val="20"/>
          <w:color w:val="auto"/>
        </w:rPr>
      </w:pPr>
      <w:r>
        <w:rPr>
          <w:rFonts w:ascii="Times New Roman" w:cs="Times New Roman" w:eastAsia="Times New Roman" w:hAnsi="Times New Roman"/>
          <w:sz w:val="18"/>
          <w:szCs w:val="18"/>
          <w:color w:val="auto"/>
        </w:rPr>
        <w:t>April 24, 2025</w:t>
      </w:r>
      <w:r>
        <w:rPr>
          <w:sz w:val="20"/>
          <w:szCs w:val="20"/>
          <w:color w:val="auto"/>
        </w:rPr>
        <w:tab/>
      </w:r>
      <w:r>
        <w:rPr>
          <w:rFonts w:ascii="Times New Roman" w:cs="Times New Roman" w:eastAsia="Times New Roman" w:hAnsi="Times New Roman"/>
          <w:sz w:val="18"/>
          <w:szCs w:val="18"/>
          <w:color w:val="auto"/>
        </w:rPr>
        <w:t>By:  /s/ Lisa M. Vorakoun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4942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Lisa M. Vorakoun, Senior Vice President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and Chief Accounting Officer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John P. Albright, certify that:</w:t>
      </w:r>
    </w:p>
    <w:p>
      <w:pPr>
        <w:spacing w:after="0" w:line="185" w:lineRule="exact"/>
        <w:rPr>
          <w:sz w:val="20"/>
          <w:szCs w:val="20"/>
          <w:color w:val="auto"/>
        </w:rPr>
      </w:pPr>
    </w:p>
    <w:p>
      <w:pPr>
        <w:ind w:left="700" w:hanging="650"/>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Alpine Income Property Trust, Inc.;</w:t>
      </w:r>
    </w:p>
    <w:p>
      <w:pPr>
        <w:spacing w:after="0" w:line="184"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00" w:right="219" w:hanging="650"/>
        <w:spacing w:after="0" w:line="266"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680" w:right="219" w:hanging="658"/>
        <w:spacing w:after="0" w:line="261" w:lineRule="auto"/>
        <w:tabs>
          <w:tab w:leader="none" w:pos="16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1680" w:right="319" w:hanging="658"/>
        <w:spacing w:after="0" w:line="266" w:lineRule="auto"/>
        <w:tabs>
          <w:tab w:leader="none" w:pos="16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700" w:right="379" w:hanging="650"/>
        <w:spacing w:after="0" w:line="266"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680" w:right="359" w:hanging="658"/>
        <w:spacing w:after="0" w:line="266" w:lineRule="auto"/>
        <w:tabs>
          <w:tab w:leader="none" w:pos="16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680" w:right="579" w:hanging="658"/>
        <w:spacing w:after="0" w:line="282" w:lineRule="auto"/>
        <w:tabs>
          <w:tab w:leader="none" w:pos="16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April 24, 2025</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17145</wp:posOffset>
            </wp:positionV>
            <wp:extent cx="27171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John P. Albright</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7" w:name="page48"/>
    <w:bookmarkEnd w:id="4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Philip R. Mays, certify that:</w:t>
      </w:r>
    </w:p>
    <w:p>
      <w:pPr>
        <w:spacing w:after="0" w:line="185" w:lineRule="exact"/>
        <w:rPr>
          <w:sz w:val="20"/>
          <w:szCs w:val="20"/>
          <w:color w:val="auto"/>
        </w:rPr>
      </w:pPr>
    </w:p>
    <w:p>
      <w:pPr>
        <w:ind w:left="700" w:hanging="650"/>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Alpine Income Property Trust, Inc.;</w:t>
      </w:r>
    </w:p>
    <w:p>
      <w:pPr>
        <w:spacing w:after="0" w:line="184"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00" w:right="219" w:hanging="650"/>
        <w:spacing w:after="0" w:line="266"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680" w:right="219" w:hanging="658"/>
        <w:spacing w:after="0" w:line="261" w:lineRule="auto"/>
        <w:tabs>
          <w:tab w:leader="none" w:pos="16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1680" w:right="319" w:hanging="658"/>
        <w:spacing w:after="0" w:line="266" w:lineRule="auto"/>
        <w:tabs>
          <w:tab w:leader="none" w:pos="16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700" w:right="379" w:hanging="650"/>
        <w:spacing w:after="0" w:line="266"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680" w:right="359" w:hanging="658"/>
        <w:spacing w:after="0" w:line="266" w:lineRule="auto"/>
        <w:tabs>
          <w:tab w:leader="none" w:pos="16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680" w:right="579" w:hanging="658"/>
        <w:spacing w:after="0" w:line="282" w:lineRule="auto"/>
        <w:tabs>
          <w:tab w:leader="none" w:pos="16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April 24, 2025</w:t>
      </w:r>
    </w:p>
    <w:p>
      <w:pPr>
        <w:spacing w:after="0" w:line="198" w:lineRule="exact"/>
        <w:rPr>
          <w:sz w:val="20"/>
          <w:szCs w:val="20"/>
          <w:color w:val="auto"/>
        </w:rPr>
      </w:pPr>
    </w:p>
    <w:p>
      <w:pPr>
        <w:ind w:left="60"/>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Philip R. Mays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7000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Philip R. Mays, Senior Vice President,</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8" w:name="page49"/>
    <w:bookmarkEnd w:id="4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Alpine Income Property Trust, Inc. (the “Company”) on Form 10-Q for the period ended March 31, 2025, as filed with the Securities and Exchange Commission on the date hereof (the “Report”), I, John P. Albright, President and Chief Executive Officer of the Company, certify, pursuant to 18 U.S.C. Section 1350, as adopted pursuant to Section 906 of the Sarbanes-Oxley Act of 2002, that:</w:t>
      </w:r>
    </w:p>
    <w:p>
      <w:pPr>
        <w:spacing w:after="0" w:line="180" w:lineRule="exact"/>
        <w:rPr>
          <w:sz w:val="20"/>
          <w:szCs w:val="20"/>
          <w:color w:val="auto"/>
        </w:rPr>
      </w:pPr>
    </w:p>
    <w:p>
      <w:pPr>
        <w:ind w:left="1340" w:right="359" w:hanging="642"/>
        <w:spacing w:after="0" w:line="282" w:lineRule="auto"/>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340" w:right="279" w:hanging="642"/>
        <w:spacing w:after="0" w:line="282" w:lineRule="auto"/>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April 24, 2025</w:t>
      </w:r>
    </w:p>
    <w:p>
      <w:pPr>
        <w:spacing w:after="0" w:line="239"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17145</wp:posOffset>
            </wp:positionV>
            <wp:extent cx="26917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John P. Albright</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9" w:name="page50"/>
    <w:bookmarkEnd w:id="4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Alpine Income Property Trust, Inc. (the “Company”) on Form 10-Q for the period ended March 31, 2025, as filed with the Securities and Exchange Commission on the date hereof (the “Report”), I, Philip R. Mays, Senior Vice President, Chief Financial Officer and Treasurer of the Company, certify, pursuant to 18 U.S.C. Section 1350, as adopted pursuant to Section 906 of the Sarbanes-Oxley Act of 2002, that:</w:t>
      </w:r>
    </w:p>
    <w:p>
      <w:pPr>
        <w:spacing w:after="0" w:line="180" w:lineRule="exact"/>
        <w:rPr>
          <w:sz w:val="20"/>
          <w:szCs w:val="20"/>
          <w:color w:val="auto"/>
        </w:rPr>
      </w:pPr>
    </w:p>
    <w:p>
      <w:pPr>
        <w:ind w:left="1340" w:right="359" w:hanging="642"/>
        <w:spacing w:after="0" w:line="282" w:lineRule="auto"/>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340" w:right="279" w:hanging="642"/>
        <w:spacing w:after="0" w:line="282" w:lineRule="auto"/>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April 24, 2025</w:t>
      </w:r>
    </w:p>
    <w:p>
      <w:pPr>
        <w:spacing w:after="0" w:line="239" w:lineRule="exact"/>
        <w:rPr>
          <w:sz w:val="20"/>
          <w:szCs w:val="20"/>
          <w:color w:val="auto"/>
        </w:rPr>
      </w:pPr>
    </w:p>
    <w:p>
      <w:pPr>
        <w:ind w:left="60"/>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/s/ Philip R. Mays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17145</wp:posOffset>
            </wp:positionV>
            <wp:extent cx="2674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Philip R. Mays, Senior Vice President,</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lowerRoman"/>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69" Type="http://schemas.openxmlformats.org/officeDocument/2006/relationships/hyperlink" Target="https://www.sec.gov/Archives/edgar/data/0001786117/000155837019011294/ex-3d1.htm" TargetMode="External"/><Relationship Id="rId70" Type="http://schemas.openxmlformats.org/officeDocument/2006/relationships/hyperlink" Target="https://www.sec.gov/Archives/edgar/data/1786117/000155837023000881/pine-20230201xex3d1.htm" TargetMode="External"/><Relationship Id="rId71" Type="http://schemas.openxmlformats.org/officeDocument/2006/relationships/hyperlink" Target="https://www.sec.gov/Archives/edgar/data/0001786117/000119312519277917/d793798dex41.htm" TargetMode="External"/><Relationship Id="rId72" Type="http://schemas.openxmlformats.org/officeDocument/2006/relationships/hyperlink" Target="https://www.sec.gov/Archives/edgar/data/1786117/000155837024009917/pine-20240718xex10d1.htm" TargetMode="External"/><Relationship Id="rId73" Type="http://schemas.openxmlformats.org/officeDocument/2006/relationships/hyperlink" Target="https://www.sec.gov/Archives/edgar/data/1786117/000155837025000687/pine-20241231xex10d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2025-04-24T15:31:47Z</dcterms:created>
  <dcterms:modified xsi:type="dcterms:W3CDTF">2025-04-24T15:31:47Z</dcterms:modified>
</cp:coreProperties>
</file>