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ine-20240930x10q.htm"/>
        <w:bookmarkStart w:id="1" w:name="kspine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9cd4a5c8_acd9_4804_a203_627084f0049c"/>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
        <w:ind w:left="0" w:right="0" w:hanging="0"/>
        <w:jc w:val="center"/>
        <w:rPr>
          <w:rFonts w:ascii="Times New Roman;Times;serif" w:hAnsi="Times New Roman;Times;serif"/>
          <w:b/>
          <w:sz w:val="32"/>
        </w:rPr>
      </w:pPr>
      <w:r>
        <w:rPr>
          <w:rFonts w:ascii="Times New Roman;Times;serif" w:hAnsi="Times New Roman;Times;serif"/>
          <w:b/>
          <w:sz w:val="32"/>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2024</w:t>
      </w:r>
    </w:p>
    <w:p>
      <w:pPr>
        <w:pStyle w:val="TextBody"/>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left"/>
              <w:rPr/>
            </w:pPr>
            <w:r>
              <w:rPr/>
              <w:t>☐</w:t>
            </w:r>
          </w:p>
        </w:tc>
        <w:tc>
          <w:tcPr>
            <w:tcW w:w="9874" w:type="dxa"/>
            <w:tcBorders/>
            <w:vAlign w:val="center"/>
          </w:tcPr>
          <w:p>
            <w:pPr>
              <w:pStyle w:val="TableContents"/>
              <w:bidi w:val="0"/>
              <w:spacing w:before="0" w:after="60"/>
              <w:jc w:val="left"/>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r>
        <w:rPr>
          <w:rFonts w:ascii="Times New Roman;Times;serif" w:hAnsi="Times New Roman;Times;serif"/>
          <w:sz w:val="18"/>
        </w:rPr>
        <w:t>                    </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b/>
          <w:sz w:val="18"/>
        </w:rPr>
        <w:t xml:space="preserve">Commission file number </w:t>
      </w:r>
      <w:r>
        <w:rPr>
          <w:rFonts w:ascii="Times New Roman;Times;serif" w:hAnsi="Times New Roman;Times;serif"/>
          <w:b/>
          <w:sz w:val="20"/>
        </w:rPr>
        <w:t>001-39143</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ALPINE INCOME PROPERTY TRUST, INC.</w:t>
      </w:r>
    </w:p>
    <w:p>
      <w:pPr>
        <w:pStyle w:val="TextBody"/>
        <w:bidi w:val="0"/>
        <w:spacing w:before="0" w:after="2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vxpuM07zz0umAtCcYaCXCw_7_2"/>
      <w:bookmarkStart w:id="4" w:name="Tc_Pgp2xL0BtUiqpOD62pOF5Q_7_0"/>
      <w:bookmarkStart w:id="5" w:name="Tc_lTblrhbES0eKG69oK04P3w_6_0"/>
      <w:bookmarkStart w:id="6" w:name="Tc_R_bdiw97KUCzc6s3OMD9YA_5_0"/>
      <w:bookmarkStart w:id="7" w:name="Tc_6Te19OkkGUC_LIrDfb4CGQ_3_2"/>
      <w:bookmarkStart w:id="8" w:name="Tc_KBP4SqT4S0awpGg_cj4obg_3_0"/>
      <w:bookmarkStart w:id="9" w:name="Tc_StzGgTySRUuthcABPg0uog_2_2"/>
      <w:bookmarkStart w:id="10" w:name="Tc_BXyCElmXKUiRZFIYKDVHHQ_2_0"/>
      <w:bookmarkStart w:id="11" w:name="_93973e68_4ee2_4c58_8185_07d6b4cd2256"/>
      <w:bookmarkStart w:id="12" w:name="Tc_vxpuM07zz0umAtCcYaCXCw_7_2"/>
      <w:bookmarkStart w:id="13" w:name="Tc_Pgp2xL0BtUiqpOD62pOF5Q_7_0"/>
      <w:bookmarkStart w:id="14" w:name="Tc_lTblrhbES0eKG69oK04P3w_6_0"/>
      <w:bookmarkStart w:id="15" w:name="Tc_R_bdiw97KUCzc6s3OMD9YA_5_0"/>
      <w:bookmarkStart w:id="16" w:name="Tc_6Te19OkkGUC_LIrDfb4CGQ_3_2"/>
      <w:bookmarkStart w:id="17" w:name="Tc_KBP4SqT4S0awpGg_cj4obg_3_0"/>
      <w:bookmarkStart w:id="18" w:name="Tc_StzGgTySRUuthcABPg0uog_2_2"/>
      <w:bookmarkStart w:id="19" w:name="Tc_BXyCElmXKUiRZFIYKDVHHQ_2_0"/>
      <w:bookmarkStart w:id="20" w:name="_93973e68_4ee2_4c58_8185_07d6b4cd2256"/>
      <w:bookmarkEnd w:id="12"/>
      <w:bookmarkEnd w:id="13"/>
      <w:bookmarkEnd w:id="14"/>
      <w:bookmarkEnd w:id="15"/>
      <w:bookmarkEnd w:id="16"/>
      <w:bookmarkEnd w:id="17"/>
      <w:bookmarkEnd w:id="18"/>
      <w:bookmarkEnd w:id="19"/>
      <w:bookmarkEnd w:id="20"/>
    </w:p>
    <w:tbl>
      <w:tblPr>
        <w:tblW w:w="4963" w:type="dxa"/>
        <w:jc w:val="left"/>
        <w:tblInd w:w="0" w:type="dxa"/>
        <w:tblLayout w:type="fixed"/>
        <w:tblCellMar>
          <w:top w:w="0" w:type="dxa"/>
          <w:left w:w="0" w:type="dxa"/>
          <w:bottom w:w="0" w:type="dxa"/>
          <w:right w:w="0" w:type="dxa"/>
        </w:tblCellMar>
      </w:tblPr>
      <w:tblGrid>
        <w:gridCol w:w="3076"/>
        <w:gridCol w:w="326"/>
        <w:gridCol w:w="1561"/>
      </w:tblGrid>
      <w:tr>
        <w:trPr/>
        <w:tc>
          <w:tcPr>
            <w:tcW w:w="3076"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left"/>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Maryland</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84-2769895</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369 N. New York Avenue, Suite 201</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Winter Park, Florida</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32789</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326" w:type="dxa"/>
            <w:tcBorders/>
            <w:vAlign w:val="center"/>
          </w:tcPr>
          <w:p>
            <w:pPr>
              <w:pStyle w:val="TableContents"/>
              <w:bidi w:val="0"/>
              <w:spacing w:before="0" w:after="24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(386) 274-2202</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CcdzlDsliUu9LyLfDllG7A_2_4"/>
      <w:bookmarkStart w:id="22" w:name="Tc_00Qyq3zHdEud6-riM3WeRg_2_2"/>
      <w:bookmarkStart w:id="23" w:name="Tc_LD_p7roUo0qSxtfGqXP3pQ_2_0"/>
      <w:bookmarkStart w:id="24" w:name="_1536ceb9_0241_471b_a216_3fa5ec93ef25"/>
      <w:bookmarkStart w:id="25" w:name="Tc_CcdzlDsliUu9LyLfDllG7A_2_4"/>
      <w:bookmarkStart w:id="26" w:name="Tc_00Qyq3zHdEud6-riM3WeRg_2_2"/>
      <w:bookmarkStart w:id="27" w:name="Tc_LD_p7roUo0qSxtfGqXP3pQ_2_0"/>
      <w:bookmarkStart w:id="28" w:name="_1536ceb9_0241_471b_a216_3fa5ec93ef25"/>
      <w:bookmarkEnd w:id="25"/>
      <w:bookmarkEnd w:id="26"/>
      <w:bookmarkEnd w:id="27"/>
      <w:bookmarkEnd w:id="28"/>
    </w:p>
    <w:tbl>
      <w:tblPr>
        <w:tblW w:w="8620" w:type="dxa"/>
        <w:jc w:val="left"/>
        <w:tblInd w:w="0" w:type="dxa"/>
        <w:tblLayout w:type="fixed"/>
        <w:tblCellMar>
          <w:top w:w="0" w:type="dxa"/>
          <w:left w:w="0" w:type="dxa"/>
          <w:bottom w:w="0" w:type="dxa"/>
          <w:right w:w="0" w:type="dxa"/>
        </w:tblCellMar>
      </w:tblPr>
      <w:tblGrid>
        <w:gridCol w:w="3061"/>
        <w:gridCol w:w="326"/>
        <w:gridCol w:w="1366"/>
        <w:gridCol w:w="326"/>
        <w:gridCol w:w="3541"/>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3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541" w:type="dxa"/>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vAlign w:val="center"/>
          </w:tcPr>
          <w:p>
            <w:pPr>
              <w:pStyle w:val="TableContents"/>
              <w:bidi w:val="0"/>
              <w:spacing w:before="0" w:after="0"/>
              <w:ind w:left="0" w:right="0" w:hanging="0"/>
              <w:jc w:val="center"/>
              <w:rPr/>
            </w:pPr>
            <w:r>
              <w:rPr/>
              <w:t>    </w:t>
            </w:r>
          </w:p>
        </w:tc>
        <w:tc>
          <w:tcPr>
            <w:tcW w:w="13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0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$0.01 PAR VALUE</w:t>
            </w:r>
          </w:p>
        </w:tc>
        <w:tc>
          <w:tcPr>
            <w:tcW w:w="326" w:type="dxa"/>
            <w:tcBorders/>
            <w:vAlign w:val="center"/>
          </w:tcPr>
          <w:p>
            <w:pPr>
              <w:pStyle w:val="TableContents"/>
              <w:bidi w:val="0"/>
              <w:spacing w:before="0" w:after="240"/>
              <w:ind w:left="0" w:right="0" w:hanging="0"/>
              <w:jc w:val="left"/>
              <w:rPr/>
            </w:pPr>
            <w:r>
              <w:rPr/>
              <w:t>​</w:t>
            </w:r>
          </w:p>
        </w:tc>
        <w:tc>
          <w:tcPr>
            <w:tcW w:w="13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PINE</w:t>
            </w:r>
          </w:p>
        </w:tc>
        <w:tc>
          <w:tcPr>
            <w:tcW w:w="326" w:type="dxa"/>
            <w:tcBorders/>
            <w:vAlign w:val="center"/>
          </w:tcPr>
          <w:p>
            <w:pPr>
              <w:pStyle w:val="TableContents"/>
              <w:bidi w:val="0"/>
              <w:spacing w:before="0" w:after="240"/>
              <w:ind w:left="0" w:right="0" w:hanging="0"/>
              <w:jc w:val="left"/>
              <w:rPr/>
            </w:pPr>
            <w:r>
              <w:rPr/>
              <w:t>​</w:t>
            </w:r>
          </w:p>
        </w:tc>
        <w:tc>
          <w:tcPr>
            <w:tcW w:w="35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NYSE</w:t>
            </w:r>
          </w:p>
        </w:tc>
      </w:tr>
    </w:tbl>
    <w:p>
      <w:pPr>
        <w:pStyle w:val="TextBody"/>
        <w:bidi w:val="0"/>
        <w:spacing w:before="0" w:after="0"/>
        <w:ind w:left="0" w:right="0" w:hanging="0"/>
        <w:jc w:val="left"/>
        <w:rPr/>
      </w:pPr>
      <w:r>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9" w:name="Tc_Eo4LHFvFwkKkPR5DdVHumQ_6_3"/>
      <w:bookmarkStart w:id="30" w:name="Tc_CWO8nzytx02Hn1Nk3Sb_wA_4_3"/>
      <w:bookmarkStart w:id="31" w:name="Tc_umugswDJk0Sd6INuhEsU6A_4_1"/>
      <w:bookmarkStart w:id="32" w:name="Tc_rU2fMoSvm06rCfWftMHPaA_2_4"/>
      <w:bookmarkStart w:id="33" w:name="Tc_4ZY2TXnJOEagqpw25FlRlw_2_3"/>
      <w:bookmarkStart w:id="34" w:name="Tc_qOIDwee3sEqESa7Mi_GlvA_2_1"/>
      <w:bookmarkStart w:id="35" w:name="Tc_rGv3AbR1AkS7ybIdh29rKA_2_0"/>
      <w:bookmarkStart w:id="36" w:name="_69ae665a_488f_4825_83e1_822e2ddc4339"/>
      <w:bookmarkStart w:id="37" w:name="Tc_Eo4LHFvFwkKkPR5DdVHumQ_6_3"/>
      <w:bookmarkStart w:id="38" w:name="Tc_CWO8nzytx02Hn1Nk3Sb_wA_4_3"/>
      <w:bookmarkStart w:id="39" w:name="Tc_umugswDJk0Sd6INuhEsU6A_4_1"/>
      <w:bookmarkStart w:id="40" w:name="Tc_rU2fMoSvm06rCfWftMHPaA_2_4"/>
      <w:bookmarkStart w:id="41" w:name="Tc_4ZY2TXnJOEagqpw25FlRlw_2_3"/>
      <w:bookmarkStart w:id="42" w:name="Tc_qOIDwee3sEqESa7Mi_GlvA_2_1"/>
      <w:bookmarkStart w:id="43" w:name="Tc_rGv3AbR1AkS7ybIdh29rKA_2_0"/>
      <w:bookmarkStart w:id="44" w:name="_69ae665a_488f_4825_83e1_822e2ddc4339"/>
      <w:bookmarkEnd w:id="37"/>
      <w:bookmarkEnd w:id="38"/>
      <w:bookmarkEnd w:id="39"/>
      <w:bookmarkEnd w:id="40"/>
      <w:bookmarkEnd w:id="41"/>
      <w:bookmarkEnd w:id="42"/>
      <w:bookmarkEnd w:id="43"/>
      <w:bookmarkEnd w:id="44"/>
    </w:p>
    <w:tbl>
      <w:tblPr>
        <w:tblW w:w="4808" w:type="dxa"/>
        <w:jc w:val="left"/>
        <w:tblInd w:w="0" w:type="dxa"/>
        <w:tblLayout w:type="fixed"/>
        <w:tblCellMar>
          <w:top w:w="0" w:type="dxa"/>
          <w:left w:w="0" w:type="dxa"/>
          <w:bottom w:w="0" w:type="dxa"/>
          <w:right w:w="0" w:type="dxa"/>
        </w:tblCellMar>
      </w:tblPr>
      <w:tblGrid>
        <w:gridCol w:w="1771"/>
        <w:gridCol w:w="436"/>
        <w:gridCol w:w="109"/>
        <w:gridCol w:w="2131"/>
        <w:gridCol w:w="361"/>
      </w:tblGrid>
      <w:tr>
        <w:trPr/>
        <w:tc>
          <w:tcPr>
            <w:tcW w:w="177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4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r>
        <w:trPr/>
        <w:tc>
          <w:tcPr>
            <w:tcW w:w="1771" w:type="dxa"/>
            <w:tcBorders/>
            <w:vAlign w:val="center"/>
          </w:tcPr>
          <w:p>
            <w:pPr>
              <w:pStyle w:val="TableContents"/>
              <w:bidi w:val="0"/>
              <w:spacing w:before="0" w:after="240"/>
              <w:ind w:left="0" w:right="0" w:hanging="0"/>
              <w:jc w:val="left"/>
              <w:rPr/>
            </w:pPr>
            <w:r>
              <w:rPr/>
              <w:t>​</w:t>
            </w:r>
          </w:p>
        </w:tc>
        <w:tc>
          <w:tcPr>
            <w:tcW w:w="436" w:type="dxa"/>
            <w:tcBorders/>
            <w:vAlign w:val="center"/>
          </w:tcPr>
          <w:p>
            <w:pPr>
              <w:pStyle w:val="TableContents"/>
              <w:bidi w:val="0"/>
              <w:spacing w:before="0" w:after="24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1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60"/>
        <w:ind w:left="0" w:right="0" w:firstLine="490"/>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60"/>
        <w:ind w:left="0" w:right="0" w:firstLine="490"/>
        <w:jc w:val="left"/>
        <w:rPr>
          <w:rFonts w:ascii="Times New Roman;Times;serif" w:hAnsi="Times New Roman;Times;serif"/>
          <w:sz w:val="18"/>
        </w:rPr>
      </w:pPr>
      <w:r>
        <w:rPr>
          <w:rFonts w:ascii="Times New Roman;Times;serif" w:hAnsi="Times New Roman;Times;serif"/>
          <w:sz w:val="18"/>
        </w:rPr>
        <w:t>The number of shares of the registrant’s common stock outstanding on October 10, 2024 was 14,272,978.</w:t>
      </w:r>
    </w:p>
    <w:p>
      <w:pPr>
        <w:pStyle w:val="TextBody"/>
        <w:pBdr>
          <w:top w:val="single" w:sz="8" w:space="1" w:color="000000"/>
          <w:bottom w:val="single" w:sz="24" w:space="1" w:color="000000"/>
        </w:pBdr>
        <w:bidi w:val="0"/>
        <w:spacing w:before="0" w:after="24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45" w:name="TOC"/>
      <w:bookmarkStart w:id="46" w:name="_d7ad377c_229b_44dc_89e3_fdffdcc2b06a"/>
      <w:bookmarkEnd w:id="45"/>
      <w:bookmarkEnd w:id="46"/>
      <w:r>
        <w:rPr>
          <w:rFonts w:ascii="Times New Roman;Times;serif" w:hAnsi="Times New Roman;Times;serif"/>
          <w:sz w:val="20"/>
        </w:rPr>
        <w:t>INDEX</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08"/>
        <w:gridCol w:w="326"/>
        <w:gridCol w:w="571"/>
      </w:tblGrid>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r>
      <w:tr>
        <w:trPr/>
        <w:tc>
          <w:tcPr>
            <w:tcW w:w="9308" w:type="dxa"/>
            <w:tcBorders/>
            <w:vAlign w:val="center"/>
          </w:tcPr>
          <w:p>
            <w:pPr>
              <w:pStyle w:val="TableContents"/>
              <w:bidi w:val="0"/>
              <w:spacing w:before="0" w:after="0"/>
              <w:ind w:left="0" w:right="0" w:hanging="0"/>
              <w:jc w:val="left"/>
              <w:rPr/>
            </w:pPr>
            <w:hyperlink w:anchor="PARTIFINANCIALINFORMATION">
              <w:r>
                <w:rPr>
                  <w:rStyle w:val="InternetLink"/>
                  <w:rFonts w:ascii="Times New Roman;Times;serif" w:hAnsi="Times New Roman;Times;serif"/>
                  <w:b w:val="false"/>
                  <w:i w:val="false"/>
                  <w:caps w:val="false"/>
                  <w:smallCaps w:val="false"/>
                  <w:sz w:val="20"/>
                </w:rPr>
                <w:t>PART I—FINANCIAL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FINANCIALSTATEMENTS_291469">
              <w:r>
                <w:rPr>
                  <w:rStyle w:val="InternetLink"/>
                  <w:rFonts w:ascii="Times New Roman;Times;serif" w:hAnsi="Times New Roman;Times;serif"/>
                  <w:b w:val="false"/>
                  <w:i w:val="false"/>
                  <w:caps w:val="false"/>
                  <w:smallCaps w:val="false"/>
                  <w:sz w:val="20"/>
                </w:rPr>
                <w:t>Item 1.     Financial Statements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BALANCESHEETS">
              <w:r>
                <w:rPr>
                  <w:rStyle w:val="InternetLink"/>
                  <w:rFonts w:ascii="Times New Roman;Times;serif" w:hAnsi="Times New Roman;Times;serif"/>
                  <w:b w:val="false"/>
                  <w:i w:val="false"/>
                  <w:caps w:val="false"/>
                  <w:smallCaps w:val="false"/>
                  <w:sz w:val="20"/>
                </w:rPr>
                <w:t>Consolidated Balance Sheets – September 30, 2024 (Unaudited) and December 31, 2023</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PERATIONS">
              <w:r>
                <w:rPr>
                  <w:rStyle w:val="InternetLink"/>
                  <w:rFonts w:ascii="Times New Roman;Times;serif" w:hAnsi="Times New Roman;Times;serif"/>
                  <w:b w:val="false"/>
                  <w:i w:val="false"/>
                  <w:caps w:val="false"/>
                  <w:smallCaps w:val="false"/>
                  <w:sz w:val="20"/>
                </w:rPr>
                <w:t>Consolidated Statements of Operations – Three and nine months ended September 30,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OMPINCOME">
              <w:r>
                <w:rPr>
                  <w:rStyle w:val="InternetLink"/>
                  <w:rFonts w:ascii="Times New Roman;Times;serif" w:hAnsi="Times New Roman;Times;serif"/>
                  <w:b w:val="false"/>
                  <w:i w:val="false"/>
                  <w:caps w:val="false"/>
                  <w:smallCaps w:val="false"/>
                  <w:sz w:val="20"/>
                </w:rPr>
                <w:t>Consolidated Statements of Comprehensive Income – Three and nine months ended September 30,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Consolidated Statements of Stockholders’ Equity – Three and nine months ended September 30,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CONSOLIDATEDSTATEMENTSOFCASHFLOWS_91955">
              <w:r>
                <w:rPr>
                  <w:rStyle w:val="InternetLink"/>
                  <w:rFonts w:ascii="Times New Roman;Times;serif" w:hAnsi="Times New Roman;Times;serif"/>
                  <w:b w:val="false"/>
                  <w:i w:val="false"/>
                  <w:caps w:val="false"/>
                  <w:smallCaps w:val="false"/>
                  <w:sz w:val="20"/>
                </w:rPr>
                <w:t>Consolidated Statements of Cash Flows – Nine months ended September 30, 2024 and 2023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NOTESTOCONSOLIDATEDFINANCIALSTATEMENTSUN">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MANAGEMENTSDISCUSSIONANDANALYSIS">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QUANTITATIVEANDQUALITATIVE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CONTROLSANDPROCEDURES_93254">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PARTIIOTHERINFORMATION_482394">
              <w:r>
                <w:rPr>
                  <w:rStyle w:val="InternetLink"/>
                  <w:rFonts w:ascii="Times New Roman;Times;serif" w:hAnsi="Times New Roman;Times;serif"/>
                  <w:b w:val="false"/>
                  <w:i w:val="false"/>
                  <w:caps w:val="false"/>
                  <w:smallCaps w:val="false"/>
                  <w:sz w:val="20"/>
                </w:rPr>
                <w:t>PART II—OTHER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LEGALPROCEEDINGS_782791">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1ARISKFACTORS_792917">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3DEFAULTSUPONSENIORSECURITIES_376496">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4MINESAFETYDISCLOSURES_109581">
              <w:r>
                <w:rPr>
                  <w:rStyle w:val="InternetLink"/>
                  <w:rFonts w:ascii="Times New Roman;Times;serif" w:hAnsi="Times New Roman;Times;serif"/>
                  <w:b w:val="false"/>
                  <w:i w:val="false"/>
                  <w:caps w:val="false"/>
                  <w:smallCaps w:val="false"/>
                  <w:sz w:val="20"/>
                </w:rPr>
                <w:t>Item 4.     Mine Safety Disclosures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5OTHERINFORMATION_91571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ITEM6EXHIBITS_110802">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9308" w:type="dxa"/>
            <w:tcBorders/>
            <w:vAlign w:val="center"/>
          </w:tcPr>
          <w:p>
            <w:pPr>
              <w:pStyle w:val="TableContents"/>
              <w:bidi w:val="0"/>
              <w:spacing w:before="0" w:after="240"/>
              <w:ind w:left="0" w:right="0" w:hanging="0"/>
              <w:jc w:val="left"/>
              <w:rPr/>
            </w:pPr>
            <w:r>
              <w:rPr/>
              <w:t>​</w:t>
            </w:r>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240"/>
              <w:ind w:left="0" w:right="0" w:hanging="0"/>
              <w:jc w:val="right"/>
              <w:rPr/>
            </w:pPr>
            <w:r>
              <w:rPr/>
              <w:t>​</w:t>
            </w:r>
          </w:p>
        </w:tc>
      </w:tr>
      <w:tr>
        <w:trPr/>
        <w:tc>
          <w:tcPr>
            <w:tcW w:w="9308" w:type="dxa"/>
            <w:tcBorders/>
            <w:vAlign w:val="center"/>
          </w:tcPr>
          <w:p>
            <w:pPr>
              <w:pStyle w:val="TableContents"/>
              <w:bidi w:val="0"/>
              <w:spacing w:before="0" w:after="0"/>
              <w:ind w:left="0" w:right="0" w:hanging="0"/>
              <w:jc w:val="left"/>
              <w:rPr/>
            </w:pPr>
            <w:hyperlink w:anchor="Signatures_946901">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24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 w:name="PARTIFINANCIALINFORMATION"/>
      <w:bookmarkStart w:id="48" w:name="_dffa4ab9_967f_49da_925d_d8b22978a962"/>
      <w:bookmarkEnd w:id="47"/>
      <w:bookmarkEnd w:id="48"/>
      <w:r>
        <w:rPr>
          <w:rFonts w:ascii="Times New Roman;Times;serif" w:hAnsi="Times New Roman;Times;serif"/>
          <w:b/>
          <w:sz w:val="20"/>
        </w:rPr>
        <w:t>PART I—FINANCIAL INFORMATION</w:t>
      </w:r>
    </w:p>
    <w:p>
      <w:pPr>
        <w:pStyle w:val="TextBody"/>
        <w:bidi w:val="0"/>
        <w:spacing w:before="0" w:after="0"/>
        <w:ind w:left="0" w:right="0" w:hanging="0"/>
        <w:jc w:val="center"/>
        <w:rPr>
          <w:rFonts w:ascii="Times New Roman;Times;serif" w:hAnsi="Times New Roman;Times;serif"/>
          <w:b/>
          <w:sz w:val="20"/>
        </w:rPr>
      </w:pPr>
      <w:bookmarkStart w:id="49" w:name="ITEM1FINANCIALSTATEMENTS_291469"/>
      <w:bookmarkEnd w:id="49"/>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50" w:name="CONSOLIDATEDBALANCESHEETS"/>
      <w:bookmarkEnd w:id="50"/>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1" w:name="Tc_C2klXbx-Kk2CD-olDGYhwQ_36_4"/>
      <w:bookmarkStart w:id="52" w:name="Tc_ad7Kig_lMkeIs283aR-3Vg_36_1"/>
      <w:bookmarkStart w:id="53" w:name="Tc_fRXcjxAg30qRXbdYtlwhiQ_36_0"/>
      <w:bookmarkStart w:id="54" w:name="Tc_lhwZSGf3GEKg8lzjUSwF7g_35_0"/>
      <w:bookmarkStart w:id="55" w:name="Tc_fIaIAnxGXE2dAb0w_T_-rA_34_0"/>
      <w:bookmarkStart w:id="56" w:name="Tc_g1HPSU1G0kmzdNrTbPD2Aw_33_0"/>
      <w:bookmarkStart w:id="57" w:name="Tc_3bsYSr6Tg0K1Asuc83sINw_32_0"/>
      <w:bookmarkStart w:id="58" w:name="Tc_cPUDPYRcC06JibJjDH7wcA_31_0"/>
      <w:bookmarkStart w:id="59" w:name="Tc_DF-ANxrKPUWY6k5bLc-gsA_30_0"/>
      <w:bookmarkStart w:id="60" w:name="Tc_oBitwNx5pEGsjsvvoTy6Rg_29_0"/>
      <w:bookmarkStart w:id="61" w:name="Tc_awDEKjIkiEupuSO2vs0mww_28_0"/>
      <w:bookmarkStart w:id="62" w:name="Tc_TG5yEpakxE2_hzcM7INOAQ_27_0"/>
      <w:bookmarkStart w:id="63" w:name="Tc_dOkjh5pNlEqZeAUzXMf5JA_26_0"/>
      <w:bookmarkStart w:id="64" w:name="Tc_mcCba8VOi02JdxKgSrVQtg_25_0"/>
      <w:bookmarkStart w:id="65" w:name="Tc_QqlPtJhdk0eN-ZKLhLqMJA_24_0"/>
      <w:bookmarkStart w:id="66" w:name="Tc_gmXHTyWjnEeUIvxU1AN3Vw_23_5"/>
      <w:bookmarkStart w:id="67" w:name="Tc_LcUgkd_TLkGwJFkD_M2Hig_23_0"/>
      <w:bookmarkStart w:id="68" w:name="Tc_d007-SFXxUaMa_uWR1YlNw_22_0"/>
      <w:bookmarkStart w:id="69" w:name="Tc_F9r251ZNk0CvNuAKInHVPw_21_0"/>
      <w:bookmarkStart w:id="70" w:name="Tc_oAod1cFDnkG5dSQu5QuiQw_20_4"/>
      <w:bookmarkStart w:id="71" w:name="Tc_RRDgUiHGREKKupk6DQByJg_20_1"/>
      <w:bookmarkStart w:id="72" w:name="Tc_u84g5AAtpUKqvcHnAzxtvg_20_0"/>
      <w:bookmarkStart w:id="73" w:name="Tc_iHxJ5mkZx06FQqY2AOE2Mg_19_0"/>
      <w:bookmarkStart w:id="74" w:name="Tc_CGsxEZLN7kuw4QSbvlYFqQ_18_0"/>
      <w:bookmarkStart w:id="75" w:name="Tc_rxKOn20lSkuRBR1MPYZpAw_17_4"/>
      <w:bookmarkStart w:id="76" w:name="Tc_ZlPYz5kRik-2ZH96MD0AwA_17_1"/>
      <w:bookmarkStart w:id="77" w:name="Tc_MujsWPpeU0-UuABXuPgUJQ_17_0"/>
      <w:bookmarkStart w:id="78" w:name="Tc_TXNzeDpJWkC07KADlyNu-Q_16_0"/>
      <w:bookmarkStart w:id="79" w:name="Tc_v1WlFawrJE2ZGSCY1z9r8g_15_0"/>
      <w:bookmarkStart w:id="80" w:name="Tc_B7RORNpivEG2C3FolRRnEA_14_0"/>
      <w:bookmarkStart w:id="81" w:name="Tc_kHxvRLJrJ0Wt7YZX_XybPg_13_0"/>
      <w:bookmarkStart w:id="82" w:name="Tc_fTVrwJLt50aqDGux-Ub1sg_12_0"/>
      <w:bookmarkStart w:id="83" w:name="Tc_c84cKk8_Zk6KylXWMkKpcQ_11_0"/>
      <w:bookmarkStart w:id="84" w:name="Tc_w16XZu-DRkW_yjOUwrLjBQ_10_0"/>
      <w:bookmarkStart w:id="85" w:name="Tc_KgweWSIOQ0-O4Fn421TEfg_9_0"/>
      <w:bookmarkStart w:id="86" w:name="Tc_dHIYh7m3QkOh3emm5r6v_g_8_0"/>
      <w:bookmarkStart w:id="87" w:name="Tc_OqOO1eNbuUKZbLqeuOOt_Q_7_0"/>
      <w:bookmarkStart w:id="88" w:name="Tc_nzkv0eSWMEaUee-wrfrpvA_6_0"/>
      <w:bookmarkStart w:id="89" w:name="Tc_L-g9rfUJk0qTeT7eIC9Qeg_5_4"/>
      <w:bookmarkStart w:id="90" w:name="Tc_RBz5y3Vv4UepIdAsArtNMg_5_1"/>
      <w:bookmarkStart w:id="91" w:name="Tc_Fl8d5Shf_UGD1zxjHjzazQ_5_0"/>
      <w:bookmarkStart w:id="92" w:name="Tc_KuNgDeTo1UW3XnZo04V8HA_4_0"/>
      <w:bookmarkStart w:id="93" w:name="Tc_TBaICEevAUCPca6BaqGqbA_3_0"/>
      <w:bookmarkStart w:id="94" w:name="Tc_km93hYe170-63y2EvVcSmw_2_4"/>
      <w:bookmarkStart w:id="95" w:name="Tc_CnHxj4oqWk6_SiQ9M2O2aA_2_1"/>
      <w:bookmarkStart w:id="96" w:name="Tc_djEZdUd4z0iYg3OhZz4PUQ_1_1"/>
      <w:bookmarkStart w:id="97" w:name="_971efe10_ccec_48bd_b991_1a980d5198a1"/>
      <w:bookmarkStart w:id="98" w:name="Tc_C2klXbx-Kk2CD-olDGYhwQ_36_4"/>
      <w:bookmarkStart w:id="99" w:name="Tc_ad7Kig_lMkeIs283aR-3Vg_36_1"/>
      <w:bookmarkStart w:id="100" w:name="Tc_fRXcjxAg30qRXbdYtlwhiQ_36_0"/>
      <w:bookmarkStart w:id="101" w:name="Tc_lhwZSGf3GEKg8lzjUSwF7g_35_0"/>
      <w:bookmarkStart w:id="102" w:name="Tc_fIaIAnxGXE2dAb0w_T_-rA_34_0"/>
      <w:bookmarkStart w:id="103" w:name="Tc_g1HPSU1G0kmzdNrTbPD2Aw_33_0"/>
      <w:bookmarkStart w:id="104" w:name="Tc_3bsYSr6Tg0K1Asuc83sINw_32_0"/>
      <w:bookmarkStart w:id="105" w:name="Tc_cPUDPYRcC06JibJjDH7wcA_31_0"/>
      <w:bookmarkStart w:id="106" w:name="Tc_DF-ANxrKPUWY6k5bLc-gsA_30_0"/>
      <w:bookmarkStart w:id="107" w:name="Tc_oBitwNx5pEGsjsvvoTy6Rg_29_0"/>
      <w:bookmarkStart w:id="108" w:name="Tc_awDEKjIkiEupuSO2vs0mww_28_0"/>
      <w:bookmarkStart w:id="109" w:name="Tc_TG5yEpakxE2_hzcM7INOAQ_27_0"/>
      <w:bookmarkStart w:id="110" w:name="Tc_dOkjh5pNlEqZeAUzXMf5JA_26_0"/>
      <w:bookmarkStart w:id="111" w:name="Tc_mcCba8VOi02JdxKgSrVQtg_25_0"/>
      <w:bookmarkStart w:id="112" w:name="Tc_QqlPtJhdk0eN-ZKLhLqMJA_24_0"/>
      <w:bookmarkStart w:id="113" w:name="Tc_gmXHTyWjnEeUIvxU1AN3Vw_23_5"/>
      <w:bookmarkStart w:id="114" w:name="Tc_LcUgkd_TLkGwJFkD_M2Hig_23_0"/>
      <w:bookmarkStart w:id="115" w:name="Tc_d007-SFXxUaMa_uWR1YlNw_22_0"/>
      <w:bookmarkStart w:id="116" w:name="Tc_F9r251ZNk0CvNuAKInHVPw_21_0"/>
      <w:bookmarkStart w:id="117" w:name="Tc_oAod1cFDnkG5dSQu5QuiQw_20_4"/>
      <w:bookmarkStart w:id="118" w:name="Tc_RRDgUiHGREKKupk6DQByJg_20_1"/>
      <w:bookmarkStart w:id="119" w:name="Tc_u84g5AAtpUKqvcHnAzxtvg_20_0"/>
      <w:bookmarkStart w:id="120" w:name="Tc_iHxJ5mkZx06FQqY2AOE2Mg_19_0"/>
      <w:bookmarkStart w:id="121" w:name="Tc_CGsxEZLN7kuw4QSbvlYFqQ_18_0"/>
      <w:bookmarkStart w:id="122" w:name="Tc_rxKOn20lSkuRBR1MPYZpAw_17_4"/>
      <w:bookmarkStart w:id="123" w:name="Tc_ZlPYz5kRik-2ZH96MD0AwA_17_1"/>
      <w:bookmarkStart w:id="124" w:name="Tc_MujsWPpeU0-UuABXuPgUJQ_17_0"/>
      <w:bookmarkStart w:id="125" w:name="Tc_TXNzeDpJWkC07KADlyNu-Q_16_0"/>
      <w:bookmarkStart w:id="126" w:name="Tc_v1WlFawrJE2ZGSCY1z9r8g_15_0"/>
      <w:bookmarkStart w:id="127" w:name="Tc_B7RORNpivEG2C3FolRRnEA_14_0"/>
      <w:bookmarkStart w:id="128" w:name="Tc_kHxvRLJrJ0Wt7YZX_XybPg_13_0"/>
      <w:bookmarkStart w:id="129" w:name="Tc_fTVrwJLt50aqDGux-Ub1sg_12_0"/>
      <w:bookmarkStart w:id="130" w:name="Tc_c84cKk8_Zk6KylXWMkKpcQ_11_0"/>
      <w:bookmarkStart w:id="131" w:name="Tc_w16XZu-DRkW_yjOUwrLjBQ_10_0"/>
      <w:bookmarkStart w:id="132" w:name="Tc_KgweWSIOQ0-O4Fn421TEfg_9_0"/>
      <w:bookmarkStart w:id="133" w:name="Tc_dHIYh7m3QkOh3emm5r6v_g_8_0"/>
      <w:bookmarkStart w:id="134" w:name="Tc_OqOO1eNbuUKZbLqeuOOt_Q_7_0"/>
      <w:bookmarkStart w:id="135" w:name="Tc_nzkv0eSWMEaUee-wrfrpvA_6_0"/>
      <w:bookmarkStart w:id="136" w:name="Tc_L-g9rfUJk0qTeT7eIC9Qeg_5_4"/>
      <w:bookmarkStart w:id="137" w:name="Tc_RBz5y3Vv4UepIdAsArtNMg_5_1"/>
      <w:bookmarkStart w:id="138" w:name="Tc_Fl8d5Shf_UGD1zxjHjzazQ_5_0"/>
      <w:bookmarkStart w:id="139" w:name="Tc_KuNgDeTo1UW3XnZo04V8HA_4_0"/>
      <w:bookmarkStart w:id="140" w:name="Tc_TBaICEevAUCPca6BaqGqbA_3_0"/>
      <w:bookmarkStart w:id="141" w:name="Tc_km93hYe170-63y2EvVcSmw_2_4"/>
      <w:bookmarkStart w:id="142" w:name="Tc_CnHxj4oqWk6_SiQ9M2O2aA_2_1"/>
      <w:bookmarkStart w:id="143" w:name="Tc_djEZdUd4z0iYg3OhZz4PUQ_1_1"/>
      <w:bookmarkStart w:id="144" w:name="_971efe10_ccec_48bd_b991_1a980d5198a1"/>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tbl>
      <w:tblPr>
        <w:tblW w:w="10205" w:type="dxa"/>
        <w:jc w:val="left"/>
        <w:tblInd w:w="0" w:type="dxa"/>
        <w:tblLayout w:type="fixed"/>
        <w:tblCellMar>
          <w:top w:w="0" w:type="dxa"/>
          <w:left w:w="0" w:type="dxa"/>
          <w:bottom w:w="0" w:type="dxa"/>
          <w:right w:w="0" w:type="dxa"/>
        </w:tblCellMar>
      </w:tblPr>
      <w:tblGrid>
        <w:gridCol w:w="6632"/>
        <w:gridCol w:w="379"/>
        <w:gridCol w:w="1410"/>
        <w:gridCol w:w="326"/>
        <w:gridCol w:w="279"/>
        <w:gridCol w:w="1179"/>
      </w:tblGrid>
      <w:tr>
        <w:trPr/>
        <w:tc>
          <w:tcPr>
            <w:tcW w:w="6632"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40665" cy="175260"/>
                      <wp:effectExtent l="0" t="0" r="0" b="0"/>
                      <wp:wrapNone/>
                      <wp:docPr id="1" name="Frame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895350" cy="175260"/>
                      <wp:effectExtent l="0" t="0" r="0" b="0"/>
                      <wp:wrapNone/>
                      <wp:docPr id="2" name="Frame2"/>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7165" cy="175260"/>
                      <wp:effectExtent l="0" t="0" r="0" b="0"/>
                      <wp:wrapNone/>
                      <wp:docPr id="4" name="Frame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48665" cy="175260"/>
                      <wp:effectExtent l="0" t="0" r="0" b="0"/>
                      <wp:wrapNone/>
                      <wp:docPr id="5" name="Frame5"/>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32" w:type="dxa"/>
            <w:tcBorders/>
            <w:vAlign w:val="center"/>
          </w:tcPr>
          <w:p>
            <w:pPr>
              <w:pStyle w:val="TableContents"/>
              <w:bidi w:val="0"/>
              <w:spacing w:before="0" w:after="1"/>
              <w:ind w:left="0" w:right="0" w:hanging="0"/>
              <w:jc w:val="left"/>
              <w:rPr/>
            </w:pPr>
            <w:r>
              <w:rPr/>
              <w:t>​</w:t>
            </w:r>
          </w:p>
        </w:tc>
        <w:tc>
          <w:tcPr>
            <w:tcW w:w="35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6632" w:type="dxa"/>
            <w:tcBorders/>
            <w:vAlign w:val="center"/>
          </w:tcPr>
          <w:p>
            <w:pPr>
              <w:pStyle w:val="TableContents"/>
              <w:bidi w:val="0"/>
              <w:spacing w:before="0" w:after="1"/>
              <w:ind w:left="0" w:right="0" w:hanging="0"/>
              <w:jc w:val="left"/>
              <w:rPr/>
            </w:pPr>
            <w:r>
              <w:rPr/>
              <w:t>​</w:t>
            </w:r>
          </w:p>
        </w:tc>
        <w:tc>
          <w:tcPr>
            <w:tcW w:w="17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 (Unaudited)</w:t>
            </w:r>
          </w:p>
        </w:tc>
        <w:tc>
          <w:tcPr>
            <w:tcW w:w="326" w:type="dxa"/>
            <w:tcBorders/>
            <w:vAlign w:val="center"/>
          </w:tcPr>
          <w:p>
            <w:pPr>
              <w:pStyle w:val="TableContents"/>
              <w:bidi w:val="0"/>
              <w:spacing w:before="0" w:after="1"/>
              <w:ind w:left="0" w:right="0" w:hanging="0"/>
              <w:jc w:val="center"/>
              <w:rPr/>
            </w:pPr>
            <w:r>
              <w:rPr/>
              <w:t>    </w:t>
            </w:r>
          </w:p>
        </w:tc>
        <w:tc>
          <w:tcPr>
            <w:tcW w:w="14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6632"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789"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458" w:type="dxa"/>
            <w:gridSpan w:val="2"/>
            <w:tcBorders/>
            <w:shd w:fill="CCEEFF" w:val="clear"/>
            <w:vAlign w:val="center"/>
          </w:tcPr>
          <w:p>
            <w:pPr>
              <w:pStyle w:val="TableContents"/>
              <w:bidi w:val="0"/>
              <w:spacing w:before="0" w:after="1"/>
              <w:ind w:left="0" w:right="0" w:hanging="0"/>
              <w:jc w:val="center"/>
              <w:rPr/>
            </w:pPr>
            <w:r>
              <w:rPr/>
              <w:t>​</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132,433</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149,314</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317,260</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328,993</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449,693</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478,307</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(42,302)</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(34,714)</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407,391</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443,593</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4,100</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4,410</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86,549</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35,080</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25,495</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40,574</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1,409</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10,951</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17,045</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578,986</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564,560</w:t>
            </w:r>
          </w:p>
        </w:tc>
      </w:tr>
      <w:tr>
        <w:trPr/>
        <w:tc>
          <w:tcPr>
            <w:tcW w:w="6632"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7,279</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5,736</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3,319</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2,627</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4,358</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13,178</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278,898</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275,677</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307,032</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288,947</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Contingencies—See Note 20</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pPr>
            <w:r>
              <w:rPr/>
              <w:t>​</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pPr>
            <w:r>
              <w:rPr/>
              <w:t>​</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$0.01 par value per share, 100 million shares authorized, no shares issued and outstanding as of September 30, 2024 and December 31, 2023</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14,251,933 shares issued and outstanding as of September 30, 2024 and 13,659,207 shares issued and outstanding as of December 31, 2023</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79" w:type="dxa"/>
            <w:tcBorders/>
            <w:vAlign w:val="center"/>
          </w:tcPr>
          <w:p>
            <w:pPr>
              <w:pStyle w:val="TableContents"/>
              <w:bidi w:val="0"/>
              <w:spacing w:before="0" w:after="1"/>
              <w:ind w:left="0" w:right="0" w:hanging="0"/>
              <w:jc w:val="left"/>
              <w:rPr/>
            </w:pPr>
            <w:r>
              <w:rPr/>
              <w:t>​</w:t>
            </w:r>
          </w:p>
        </w:tc>
        <w:tc>
          <w:tcPr>
            <w:tcW w:w="14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254,110</w:t>
            </w:r>
          </w:p>
        </w:tc>
        <w:tc>
          <w:tcPr>
            <w:tcW w:w="326" w:type="dxa"/>
            <w:tcBorders/>
            <w:vAlign w:val="center"/>
          </w:tcPr>
          <w:p>
            <w:pPr>
              <w:pStyle w:val="TableContents"/>
              <w:bidi w:val="0"/>
              <w:spacing w:before="0" w:after="1"/>
              <w:ind w:left="0" w:right="0" w:hanging="0"/>
              <w:jc w:val="left"/>
              <w:rPr/>
            </w:pPr>
            <w:r>
              <w:rPr/>
              <w:t>​</w:t>
            </w:r>
          </w:p>
        </w:tc>
        <w:tc>
          <w:tcPr>
            <w:tcW w:w="279"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243,690</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(10,652)</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(2,359)</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4,641</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9,275</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79" w:type="dxa"/>
            <w:tcBorders/>
            <w:shd w:fill="CCEEFF" w:val="clear"/>
            <w:vAlign w:val="center"/>
          </w:tcPr>
          <w:p>
            <w:pPr>
              <w:pStyle w:val="TableContents"/>
              <w:bidi w:val="0"/>
              <w:spacing w:before="0" w:after="1"/>
              <w:ind w:left="0" w:right="0" w:hanging="0"/>
              <w:jc w:val="left"/>
              <w:rPr/>
            </w:pPr>
            <w:r>
              <w:rPr/>
              <w:t>​</w:t>
            </w:r>
          </w:p>
        </w:tc>
        <w:tc>
          <w:tcPr>
            <w:tcW w:w="14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248,242</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250,743</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23,712</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24,870</w:t>
            </w:r>
          </w:p>
        </w:tc>
      </w:tr>
      <w:tr>
        <w:trPr/>
        <w:tc>
          <w:tcPr>
            <w:tcW w:w="66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4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271,954</w:t>
            </w:r>
          </w:p>
        </w:tc>
        <w:tc>
          <w:tcPr>
            <w:tcW w:w="326" w:type="dxa"/>
            <w:tcBorders/>
            <w:shd w:fill="CCEEFF" w:val="clear"/>
            <w:vAlign w:val="center"/>
          </w:tcPr>
          <w:p>
            <w:pPr>
              <w:pStyle w:val="TableContents"/>
              <w:bidi w:val="0"/>
              <w:spacing w:before="0" w:after="1"/>
              <w:ind w:left="0" w:right="0" w:hanging="0"/>
              <w:jc w:val="left"/>
              <w:rPr/>
            </w:pPr>
            <w:r>
              <w:rPr/>
              <w:t>​</w:t>
            </w:r>
          </w:p>
        </w:tc>
        <w:tc>
          <w:tcPr>
            <w:tcW w:w="2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275,613</w:t>
            </w:r>
          </w:p>
        </w:tc>
      </w:tr>
      <w:tr>
        <w:trPr/>
        <w:tc>
          <w:tcPr>
            <w:tcW w:w="66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578,986</w:t>
            </w:r>
          </w:p>
        </w:tc>
        <w:tc>
          <w:tcPr>
            <w:tcW w:w="326" w:type="dxa"/>
            <w:tcBorders/>
            <w:vAlign w:val="center"/>
          </w:tcPr>
          <w:p>
            <w:pPr>
              <w:pStyle w:val="TableContents"/>
              <w:bidi w:val="0"/>
              <w:spacing w:before="0" w:after="1"/>
              <w:ind w:left="0" w:right="0" w:hanging="0"/>
              <w:jc w:val="left"/>
              <w:rPr/>
            </w:pPr>
            <w:r>
              <w:rPr/>
              <w:t>​</w:t>
            </w:r>
          </w:p>
        </w:tc>
        <w:tc>
          <w:tcPr>
            <w:tcW w:w="2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accompanying notes are an integral part of these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145" w:name="_75ef0c91_6a47_4806_8109_bcf71feae8c7"/>
      <w:bookmarkEnd w:id="145"/>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146" w:name="CONSOLIDATEDSTATEMENTSOPERATIONS"/>
      <w:bookmarkEnd w:id="146"/>
      <w:r>
        <w:rPr>
          <w:rFonts w:ascii="Times New Roman;Times;serif" w:hAnsi="Times New Roman;Times;serif"/>
          <w:sz w:val="20"/>
        </w:rPr>
        <w:t>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7" w:name="Tc_6sf9pDdgbEWMDvKqFWgWvA_30_0"/>
      <w:bookmarkStart w:id="148" w:name="Tc_v0TuYjA9vUqACZ0gl2wPwA_29_0"/>
      <w:bookmarkStart w:id="149" w:name="Tc_zf7CETZ7tkm7sieccca-Ug_28_0"/>
      <w:bookmarkStart w:id="150" w:name="Tc_tMxgoNOIH0CMXePDb63Wjw_26_11"/>
      <w:bookmarkStart w:id="151" w:name="Tc_nVDmnTQhFkaLxyyECz4eLg_26_8"/>
      <w:bookmarkStart w:id="152" w:name="Tc_APIZbd9O2EOByKRZqA_Spg_26_5"/>
      <w:bookmarkStart w:id="153" w:name="Tc_uBAn7x2250yDiCT27hZV8Q_26_2"/>
      <w:bookmarkStart w:id="154" w:name="Tc_T6P8B__Vp0CfvYl89uamig_26_0"/>
      <w:bookmarkStart w:id="155" w:name="Tc_Xt-14lUYZ06Zw9DfB9Qt1Q_25_11"/>
      <w:bookmarkStart w:id="156" w:name="Tc_HmZVzzLs2026kCsFB27Jug_25_8"/>
      <w:bookmarkStart w:id="157" w:name="Tc_iQDP0hESekCsS8AGwrZi0w_25_5"/>
      <w:bookmarkStart w:id="158" w:name="Tc_W2c-KQ0oCEaAMgLOsv6ThA_25_2"/>
      <w:bookmarkStart w:id="159" w:name="Tc_KF2UJ3546EyGNwJOB3eKaA_25_0"/>
      <w:bookmarkStart w:id="160" w:name="Tc_Co0yg7WrL0CuPyf90LGmtA_24_0"/>
      <w:bookmarkStart w:id="161" w:name="Tc_Xvec-QokkECJ2EmhiGbA1Q_23_0"/>
      <w:bookmarkStart w:id="162" w:name="Tc_cXYfY1C4x0CmHxY3s98TEg_21_11"/>
      <w:bookmarkStart w:id="163" w:name="Tc_luEk4iEGqUug4ofyp7n6Lg_21_8"/>
      <w:bookmarkStart w:id="164" w:name="Tc_vUcpfpVTfEexoQXfzEhJCg_21_5"/>
      <w:bookmarkStart w:id="165" w:name="Tc_nKuqmGrK90C7KZVK3jWLsg_21_2"/>
      <w:bookmarkStart w:id="166" w:name="Tc_d2HPGWeAmEi6nTdXykU9MQ_21_0"/>
      <w:bookmarkStart w:id="167" w:name="Tc_T0nF26x4kkOHzwF5qbLa3A_20_0"/>
      <w:bookmarkStart w:id="168" w:name="Tc_HQW5xUaFLkWD-KO5mFzJhA_19_0"/>
      <w:bookmarkStart w:id="169" w:name="Tc_2eeOv4nT50Oc6GxbBoKJ2g_18_0"/>
      <w:bookmarkStart w:id="170" w:name="Tc_zXDMZiGwSEmpvqi7PfqQjw_17_0"/>
      <w:bookmarkStart w:id="171" w:name="Tc_NyoQBplHQ0alhi_54oc_pQ_16_0"/>
      <w:bookmarkStart w:id="172" w:name="Tc_umoNQhssiU6ThYV_91VSJA_15_9"/>
      <w:bookmarkStart w:id="173" w:name="Tc_kr6a0WiSNE-0cmo3xEij5w_15_6"/>
      <w:bookmarkStart w:id="174" w:name="Tc_gJ-9A4xHvEKwo24ysttEeQ_15_3"/>
      <w:bookmarkStart w:id="175" w:name="Tc_4tCrrHM36E-15WafsHdkhw_15_0"/>
      <w:bookmarkStart w:id="176" w:name="Tc_Hq8aRm-VzUiDEK0IsR0koA_14_0"/>
      <w:bookmarkStart w:id="177" w:name="Tc_pmiMp6EvQEGLkTJ4wfSH9Q_13_0"/>
      <w:bookmarkStart w:id="178" w:name="Tc_kY3PXDfz40CuMJFWNLLIAg_12_0"/>
      <w:bookmarkStart w:id="179" w:name="Tc_Qxt1pbQLE0CzniFfZ6n1CQ_11_0"/>
      <w:bookmarkStart w:id="180" w:name="Tc_VtgGCd7W40OLyLGipQfPhg_10_0"/>
      <w:bookmarkStart w:id="181" w:name="Tc_-q5Rtndv5EWcfoL1Zq1vQw_9_0"/>
      <w:bookmarkStart w:id="182" w:name="Tc_tKxE_7XvfEWYRpDHs6wckA_8_0"/>
      <w:bookmarkStart w:id="183" w:name="Tc_W6RSMCjeAkqaiSEWSXAzgA_7_0"/>
      <w:bookmarkStart w:id="184" w:name="Tc_9mDgpdH-BkGc0WzfO39Exw_6_12"/>
      <w:bookmarkStart w:id="185" w:name="Tc_AS4aV-ZJd026xVcKe25Akw_6_6"/>
      <w:bookmarkStart w:id="186" w:name="Tc_1TlJNNZQG0OI4tVCHaKnJQ_6_0"/>
      <w:bookmarkStart w:id="187" w:name="Tc_MWXz8-b3fUWIvpJLzm-QbQ_5_0"/>
      <w:bookmarkStart w:id="188" w:name="Tc_BOuJxgisd02XT7Aw0Ty0Dw_4_11"/>
      <w:bookmarkStart w:id="189" w:name="Tc_UvMlTVrnWEWsv5akMo-7vQ_4_8"/>
      <w:bookmarkStart w:id="190" w:name="Tc_ON_XIsrol0KgMwUIzmHJpg_4_5"/>
      <w:bookmarkStart w:id="191" w:name="Tc_HKXbv5wokEKx2yKzAPGwdw_4_2"/>
      <w:bookmarkStart w:id="192" w:name="Tc_0Kpsr8H6S0-FA9IPUnU0CQ_4_0"/>
      <w:bookmarkStart w:id="193" w:name="Tc_dg1aC_AOwEGDdHT2j9Ihyw_3_0"/>
      <w:bookmarkStart w:id="194" w:name="Tc_x-MxHmhTrUKMVBRDfBQ7Vw_2_11"/>
      <w:bookmarkStart w:id="195" w:name="Tc_Ue5HuiXKBUeH2009_lUh4A_2_8"/>
      <w:bookmarkStart w:id="196" w:name="Tc_QIdKa7-i1USztEiUudU4BA_2_5"/>
      <w:bookmarkStart w:id="197" w:name="Tc_hXsxvP-aGECyVM7KrN_0KA_2_2"/>
      <w:bookmarkStart w:id="198" w:name="Tc_4cu3QpaVRECN9OAcE4wYfQ_1_8"/>
      <w:bookmarkStart w:id="199" w:name="Tc_vEkDj_q99EaMkvb7EJYl1g_1_2"/>
      <w:bookmarkStart w:id="200" w:name="_28da37b6_eced_4282_8387_5058a00681d4"/>
      <w:bookmarkStart w:id="201" w:name="Tc_6sf9pDdgbEWMDvKqFWgWvA_30_0"/>
      <w:bookmarkStart w:id="202" w:name="Tc_v0TuYjA9vUqACZ0gl2wPwA_29_0"/>
      <w:bookmarkStart w:id="203" w:name="Tc_zf7CETZ7tkm7sieccca-Ug_28_0"/>
      <w:bookmarkStart w:id="204" w:name="Tc_tMxgoNOIH0CMXePDb63Wjw_26_11"/>
      <w:bookmarkStart w:id="205" w:name="Tc_nVDmnTQhFkaLxyyECz4eLg_26_8"/>
      <w:bookmarkStart w:id="206" w:name="Tc_APIZbd9O2EOByKRZqA_Spg_26_5"/>
      <w:bookmarkStart w:id="207" w:name="Tc_uBAn7x2250yDiCT27hZV8Q_26_2"/>
      <w:bookmarkStart w:id="208" w:name="Tc_T6P8B__Vp0CfvYl89uamig_26_0"/>
      <w:bookmarkStart w:id="209" w:name="Tc_Xt-14lUYZ06Zw9DfB9Qt1Q_25_11"/>
      <w:bookmarkStart w:id="210" w:name="Tc_HmZVzzLs2026kCsFB27Jug_25_8"/>
      <w:bookmarkStart w:id="211" w:name="Tc_iQDP0hESekCsS8AGwrZi0w_25_5"/>
      <w:bookmarkStart w:id="212" w:name="Tc_W2c-KQ0oCEaAMgLOsv6ThA_25_2"/>
      <w:bookmarkStart w:id="213" w:name="Tc_KF2UJ3546EyGNwJOB3eKaA_25_0"/>
      <w:bookmarkStart w:id="214" w:name="Tc_Co0yg7WrL0CuPyf90LGmtA_24_0"/>
      <w:bookmarkStart w:id="215" w:name="Tc_Xvec-QokkECJ2EmhiGbA1Q_23_0"/>
      <w:bookmarkStart w:id="216" w:name="Tc_cXYfY1C4x0CmHxY3s98TEg_21_11"/>
      <w:bookmarkStart w:id="217" w:name="Tc_luEk4iEGqUug4ofyp7n6Lg_21_8"/>
      <w:bookmarkStart w:id="218" w:name="Tc_vUcpfpVTfEexoQXfzEhJCg_21_5"/>
      <w:bookmarkStart w:id="219" w:name="Tc_nKuqmGrK90C7KZVK3jWLsg_21_2"/>
      <w:bookmarkStart w:id="220" w:name="Tc_d2HPGWeAmEi6nTdXykU9MQ_21_0"/>
      <w:bookmarkStart w:id="221" w:name="Tc_T0nF26x4kkOHzwF5qbLa3A_20_0"/>
      <w:bookmarkStart w:id="222" w:name="Tc_HQW5xUaFLkWD-KO5mFzJhA_19_0"/>
      <w:bookmarkStart w:id="223" w:name="Tc_2eeOv4nT50Oc6GxbBoKJ2g_18_0"/>
      <w:bookmarkStart w:id="224" w:name="Tc_zXDMZiGwSEmpvqi7PfqQjw_17_0"/>
      <w:bookmarkStart w:id="225" w:name="Tc_NyoQBplHQ0alhi_54oc_pQ_16_0"/>
      <w:bookmarkStart w:id="226" w:name="Tc_umoNQhssiU6ThYV_91VSJA_15_9"/>
      <w:bookmarkStart w:id="227" w:name="Tc_kr6a0WiSNE-0cmo3xEij5w_15_6"/>
      <w:bookmarkStart w:id="228" w:name="Tc_gJ-9A4xHvEKwo24ysttEeQ_15_3"/>
      <w:bookmarkStart w:id="229" w:name="Tc_4tCrrHM36E-15WafsHdkhw_15_0"/>
      <w:bookmarkStart w:id="230" w:name="Tc_Hq8aRm-VzUiDEK0IsR0koA_14_0"/>
      <w:bookmarkStart w:id="231" w:name="Tc_pmiMp6EvQEGLkTJ4wfSH9Q_13_0"/>
      <w:bookmarkStart w:id="232" w:name="Tc_kY3PXDfz40CuMJFWNLLIAg_12_0"/>
      <w:bookmarkStart w:id="233" w:name="Tc_Qxt1pbQLE0CzniFfZ6n1CQ_11_0"/>
      <w:bookmarkStart w:id="234" w:name="Tc_VtgGCd7W40OLyLGipQfPhg_10_0"/>
      <w:bookmarkStart w:id="235" w:name="Tc_-q5Rtndv5EWcfoL1Zq1vQw_9_0"/>
      <w:bookmarkStart w:id="236" w:name="Tc_tKxE_7XvfEWYRpDHs6wckA_8_0"/>
      <w:bookmarkStart w:id="237" w:name="Tc_W6RSMCjeAkqaiSEWSXAzgA_7_0"/>
      <w:bookmarkStart w:id="238" w:name="Tc_9mDgpdH-BkGc0WzfO39Exw_6_12"/>
      <w:bookmarkStart w:id="239" w:name="Tc_AS4aV-ZJd026xVcKe25Akw_6_6"/>
      <w:bookmarkStart w:id="240" w:name="Tc_1TlJNNZQG0OI4tVCHaKnJQ_6_0"/>
      <w:bookmarkStart w:id="241" w:name="Tc_MWXz8-b3fUWIvpJLzm-QbQ_5_0"/>
      <w:bookmarkStart w:id="242" w:name="Tc_BOuJxgisd02XT7Aw0Ty0Dw_4_11"/>
      <w:bookmarkStart w:id="243" w:name="Tc_UvMlTVrnWEWsv5akMo-7vQ_4_8"/>
      <w:bookmarkStart w:id="244" w:name="Tc_ON_XIsrol0KgMwUIzmHJpg_4_5"/>
      <w:bookmarkStart w:id="245" w:name="Tc_HKXbv5wokEKx2yKzAPGwdw_4_2"/>
      <w:bookmarkStart w:id="246" w:name="Tc_0Kpsr8H6S0-FA9IPUnU0CQ_4_0"/>
      <w:bookmarkStart w:id="247" w:name="Tc_dg1aC_AOwEGDdHT2j9Ihyw_3_0"/>
      <w:bookmarkStart w:id="248" w:name="Tc_x-MxHmhTrUKMVBRDfBQ7Vw_2_11"/>
      <w:bookmarkStart w:id="249" w:name="Tc_Ue5HuiXKBUeH2009_lUh4A_2_8"/>
      <w:bookmarkStart w:id="250" w:name="Tc_QIdKa7-i1USztEiUudU4BA_2_5"/>
      <w:bookmarkStart w:id="251" w:name="Tc_hXsxvP-aGECyVM7KrN_0KA_2_2"/>
      <w:bookmarkStart w:id="252" w:name="Tc_4cu3QpaVRECN9OAcE4wYfQ_1_8"/>
      <w:bookmarkStart w:id="253" w:name="Tc_vEkDj_q99EaMkvb7EJYl1g_1_2"/>
      <w:bookmarkStart w:id="254" w:name="_28da37b6_eced_4282_8387_5058a00681d4"/>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3564"/>
        <w:gridCol w:w="109"/>
        <w:gridCol w:w="259"/>
        <w:gridCol w:w="1280"/>
        <w:gridCol w:w="109"/>
        <w:gridCol w:w="259"/>
        <w:gridCol w:w="1280"/>
        <w:gridCol w:w="109"/>
        <w:gridCol w:w="259"/>
        <w:gridCol w:w="1280"/>
        <w:gridCol w:w="109"/>
        <w:gridCol w:w="247"/>
        <w:gridCol w:w="1341"/>
      </w:tblGrid>
      <w:tr>
        <w:trPr/>
        <w:tc>
          <w:tcPr>
            <w:tcW w:w="35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4465" cy="175260"/>
                      <wp:effectExtent l="0" t="0" r="0" b="0"/>
                      <wp:wrapNone/>
                      <wp:docPr id="7" name="Frame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12800" cy="175260"/>
                      <wp:effectExtent l="0" t="0" r="0" b="0"/>
                      <wp:wrapNone/>
                      <wp:docPr id="8" name="Frame8"/>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64465" cy="175260"/>
                      <wp:effectExtent l="0" t="0" r="0" b="0"/>
                      <wp:wrapNone/>
                      <wp:docPr id="10" name="Frame10"/>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12800" cy="175260"/>
                      <wp:effectExtent l="0" t="0" r="0" b="0"/>
                      <wp:wrapNone/>
                      <wp:docPr id="11" name="Frame11"/>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4465" cy="175260"/>
                      <wp:effectExtent l="0" t="0" r="0" b="0"/>
                      <wp:wrapNone/>
                      <wp:docPr id="13" name="Frame13"/>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812800" cy="175260"/>
                      <wp:effectExtent l="0" t="0" r="0" b="0"/>
                      <wp:wrapNone/>
                      <wp:docPr id="14" name="Frame14"/>
                      <a:graphic xmlns:a="http://schemas.openxmlformats.org/drawingml/2006/main">
                        <a:graphicData uri="http://schemas.microsoft.com/office/word/2010/wordprocessingShape">
                          <wps:wsp>
                            <wps:cNvSpPr txBox="1"/>
                            <wps:spPr>
                              <a:xfrm>
                                <a:off x="0" y="0"/>
                                <a:ext cx="812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9215" cy="175260"/>
                      <wp:effectExtent l="0" t="0" r="0" b="0"/>
                      <wp:wrapNone/>
                      <wp:docPr id="15"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56845" cy="175260"/>
                      <wp:effectExtent l="0" t="0" r="0" b="0"/>
                      <wp:wrapNone/>
                      <wp:docPr id="16" name="Frame1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51535" cy="175260"/>
                      <wp:effectExtent l="0" t="0" r="0" b="0"/>
                      <wp:wrapNone/>
                      <wp:docPr id="17" name="Frame17"/>
                      <a:graphic xmlns:a="http://schemas.openxmlformats.org/drawingml/2006/main">
                        <a:graphicData uri="http://schemas.microsoft.com/office/word/2010/wordprocessingShape">
                          <wps:wsp>
                            <wps:cNvSpPr txBox="1"/>
                            <wps:spPr>
                              <a:xfrm>
                                <a:off x="0" y="0"/>
                                <a:ext cx="851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64"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31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323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5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5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1"/>
              <w:ind w:left="0" w:right="0" w:hanging="0"/>
              <w:jc w:val="center"/>
              <w:rPr/>
            </w:pPr>
            <w:r>
              <w:rPr/>
              <w:t>​</w:t>
            </w:r>
          </w:p>
        </w:tc>
        <w:tc>
          <w:tcPr>
            <w:tcW w:w="15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5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center"/>
              <w:rPr/>
            </w:pPr>
            <w:r>
              <w:rPr/>
              <w:t>​</w:t>
            </w:r>
          </w:p>
        </w:tc>
        <w:tc>
          <w:tcPr>
            <w:tcW w:w="128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center"/>
              <w:rPr/>
            </w:pPr>
            <w:r>
              <w:rPr/>
              <w:t>​</w:t>
            </w:r>
          </w:p>
        </w:tc>
        <w:tc>
          <w:tcPr>
            <w:tcW w:w="1341" w:type="dxa"/>
            <w:tcBorders/>
            <w:shd w:fill="CCEEFF" w:val="clear"/>
            <w:vAlign w:val="center"/>
          </w:tcPr>
          <w:p>
            <w:pPr>
              <w:pStyle w:val="TableContents"/>
              <w:bidi w:val="0"/>
              <w:spacing w:before="0" w:after="1"/>
              <w:ind w:left="0" w:right="0" w:hanging="0"/>
              <w:jc w:val="center"/>
              <w:rPr/>
            </w:pPr>
            <w:r>
              <w:rPr/>
              <w:t>​</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11,718</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11,447</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34,512</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33,951</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38,436</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34,063</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pPr>
            <w:r>
              <w:rPr/>
              <w:t>​</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5,569</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4,731</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1,843</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1,652</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4,987</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4,823</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6,528</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19,074</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19,286</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30,740</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31,704</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7,782</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6,460</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12,040</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10,164</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(3,167)</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(8,933)</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(7,494)</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3,293</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Net (Income) Loss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09" w:type="dxa"/>
            <w:tcBorders/>
            <w:vAlign w:val="center"/>
          </w:tcPr>
          <w:p>
            <w:pPr>
              <w:pStyle w:val="TableContents"/>
              <w:bidi w:val="0"/>
              <w:spacing w:before="0" w:after="1"/>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109"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3,024</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2,582</w:t>
            </w:r>
          </w:p>
        </w:tc>
      </w:tr>
      <w:tr>
        <w:trPr/>
        <w:tc>
          <w:tcPr>
            <w:tcW w:w="356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pPr>
            <w:r>
              <w:rPr/>
              <w:t>​</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pPr>
            <w:r>
              <w:rPr/>
              <w:t>​</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pPr>
            <w:r>
              <w:rPr/>
              <w:t>​</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356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pPr>
            <w:r>
              <w:rPr/>
              <w:t>​</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0" w:hanging="0"/>
              <w:jc w:val="right"/>
              <w:rPr/>
            </w:pPr>
            <w:r>
              <w:rPr/>
              <w:t>​</w:t>
            </w:r>
          </w:p>
        </w:tc>
      </w:tr>
      <w:tr>
        <w:trPr/>
        <w:tc>
          <w:tcPr>
            <w:tcW w:w="3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13,744,232</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13,946,194</w:t>
            </w:r>
          </w:p>
        </w:tc>
        <w:tc>
          <w:tcPr>
            <w:tcW w:w="109" w:type="dxa"/>
            <w:tcBorders/>
            <w:shd w:fill="CCEEFF" w:val="clear"/>
            <w:vAlign w:val="center"/>
          </w:tcPr>
          <w:p>
            <w:pPr>
              <w:pStyle w:val="TableContents"/>
              <w:bidi w:val="0"/>
              <w:spacing w:before="0" w:after="1"/>
              <w:ind w:left="0" w:right="0" w:hanging="0"/>
              <w:jc w:val="left"/>
              <w:rPr/>
            </w:pPr>
            <w:r>
              <w:rPr/>
              <w:t>​</w:t>
            </w:r>
          </w:p>
        </w:tc>
        <w:tc>
          <w:tcPr>
            <w:tcW w:w="259" w:type="dxa"/>
            <w:tcBorders/>
            <w:shd w:fill="CCEEFF" w:val="clear"/>
            <w:vAlign w:val="center"/>
          </w:tcPr>
          <w:p>
            <w:pPr>
              <w:pStyle w:val="TableContents"/>
              <w:bidi w:val="0"/>
              <w:spacing w:before="0" w:after="1"/>
              <w:ind w:left="0" w:right="0" w:hanging="0"/>
              <w:jc w:val="left"/>
              <w:rPr/>
            </w:pPr>
            <w:r>
              <w:rPr/>
              <w:t>​</w:t>
            </w:r>
          </w:p>
        </w:tc>
        <w:tc>
          <w:tcPr>
            <w:tcW w:w="12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13,663,752</w:t>
            </w:r>
          </w:p>
        </w:tc>
        <w:tc>
          <w:tcPr>
            <w:tcW w:w="109"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w:t>
            </w:r>
          </w:p>
        </w:tc>
        <w:tc>
          <w:tcPr>
            <w:tcW w:w="13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14,001,774</w:t>
            </w:r>
          </w:p>
        </w:tc>
      </w:tr>
      <w:tr>
        <w:trPr/>
        <w:tc>
          <w:tcPr>
            <w:tcW w:w="35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14,968,086</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15,649,688</w:t>
            </w:r>
          </w:p>
        </w:tc>
        <w:tc>
          <w:tcPr>
            <w:tcW w:w="109" w:type="dxa"/>
            <w:tcBorders/>
            <w:vAlign w:val="center"/>
          </w:tcPr>
          <w:p>
            <w:pPr>
              <w:pStyle w:val="TableContents"/>
              <w:bidi w:val="0"/>
              <w:spacing w:before="0" w:after="1"/>
              <w:ind w:left="0" w:right="0" w:hanging="0"/>
              <w:jc w:val="left"/>
              <w:rPr/>
            </w:pPr>
            <w:r>
              <w:rPr/>
              <w:t>​</w:t>
            </w:r>
          </w:p>
        </w:tc>
        <w:tc>
          <w:tcPr>
            <w:tcW w:w="259" w:type="dxa"/>
            <w:tcBorders/>
            <w:vAlign w:val="center"/>
          </w:tcPr>
          <w:p>
            <w:pPr>
              <w:pStyle w:val="TableContents"/>
              <w:bidi w:val="0"/>
              <w:spacing w:before="0" w:after="1"/>
              <w:ind w:left="0" w:right="0" w:hanging="0"/>
              <w:jc w:val="left"/>
              <w:rPr/>
            </w:pPr>
            <w:r>
              <w:rPr/>
              <w:t>​</w:t>
            </w:r>
          </w:p>
        </w:tc>
        <w:tc>
          <w:tcPr>
            <w:tcW w:w="12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14,887,606</w:t>
            </w:r>
          </w:p>
        </w:tc>
        <w:tc>
          <w:tcPr>
            <w:tcW w:w="109"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w:t>
            </w:r>
          </w:p>
        </w:tc>
        <w:tc>
          <w:tcPr>
            <w:tcW w:w="134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15,705,268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55" w:name="_e9327352_996a_49eb_868d_15fcf2a6f696"/>
      <w:bookmarkEnd w:id="255"/>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256" w:name="CONSOLIDATEDSTATEMENTSOFCOMPINCOME"/>
      <w:bookmarkEnd w:id="256"/>
      <w:r>
        <w:rPr>
          <w:rFonts w:ascii="Times New Roman;Times;serif" w:hAnsi="Times New Roman;Times;serif"/>
          <w:sz w:val="20"/>
        </w:rPr>
        <w:t>CONSOLIDATED STATEMENTS OF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57" w:name="Tc_2A01mGMfGUCpjfWxhyuLxw_12_11"/>
      <w:bookmarkStart w:id="258" w:name="Tc_XhSf9VXKrUqUSaespMdaHQ_12_8"/>
      <w:bookmarkStart w:id="259" w:name="Tc_9FHU7P2fnkeupdOVNTQIhQ_12_5"/>
      <w:bookmarkStart w:id="260" w:name="Tc_vQ_JIU5nAkaCTJ7QaZv3vA_12_2"/>
      <w:bookmarkStart w:id="261" w:name="Tc_XpXtPrbsTE6k7HvfyLVmVg_12_0"/>
      <w:bookmarkStart w:id="262" w:name="Tc_NIAxWvF4t0KFi1OxquAzDw_11_0"/>
      <w:bookmarkStart w:id="263" w:name="Tc_8pz6HZFlQkGlheTvNn-EUw_10_12"/>
      <w:bookmarkStart w:id="264" w:name="Tc_Fzp5ZzWXg0mpbSRcIT3T3w_10_6"/>
      <w:bookmarkStart w:id="265" w:name="Tc_Kv5W5jZA3UmMWpySVUt4sQ_10_0"/>
      <w:bookmarkStart w:id="266" w:name="Tc__lTTAw7ViUeMvHwsC589Mw_9_0"/>
      <w:bookmarkStart w:id="267" w:name="Tc_T3cIPAl54k2H62rPmBeZSA_8_0"/>
      <w:bookmarkStart w:id="268" w:name="Tc_rMZoIe21dkSJ6W6zcabOQg_7_11"/>
      <w:bookmarkStart w:id="269" w:name="Tc_tD3TBb2DSEmvYWSG574VRA_7_8"/>
      <w:bookmarkStart w:id="270" w:name="Tc_5Po9ZVrk4k-JqqYMhWpEow_7_5"/>
      <w:bookmarkStart w:id="271" w:name="Tc_y404MKzCD0SVmDg03p2XTw_7_2"/>
      <w:bookmarkStart w:id="272" w:name="Tc_OR8cHRY8vE2q3fbjdisgdw_7_0"/>
      <w:bookmarkStart w:id="273" w:name="Tc_FfD_fsCHBECHdW4_MlaGXA_6_0"/>
      <w:bookmarkStart w:id="274" w:name="Tc_1fastPyRSk65Cf3XQ0KbtQ_5_0"/>
      <w:bookmarkStart w:id="275" w:name="Tc_y_2U_Inw2E-2BsxG-LUgHw_4_0"/>
      <w:bookmarkStart w:id="276" w:name="Tc_d7ii0PnfN0Cy9N64hec3OA_3_11"/>
      <w:bookmarkStart w:id="277" w:name="Tc_sd1DQcjW3UmCYgL0TmeriQ_3_8"/>
      <w:bookmarkStart w:id="278" w:name="Tc_vIKcgg02t06zFjHOhYviUA_3_5"/>
      <w:bookmarkStart w:id="279" w:name="Tc_KJh8Y04LwUiVgxRKCWVBUA_3_2"/>
      <w:bookmarkStart w:id="280" w:name="Tc_iP8GxoxTOUCkTbuw6Y_7aQ_3_0"/>
      <w:bookmarkStart w:id="281" w:name="Tc_fwSnkN30MkyZcvBZWo0nRQ_2_11"/>
      <w:bookmarkStart w:id="282" w:name="Tc_7CE_SpjHo0C4lG_j1Jvfog_2_8"/>
      <w:bookmarkStart w:id="283" w:name="Tc_I6hQnaT7i0ik0EuMUNw76g_2_5"/>
      <w:bookmarkStart w:id="284" w:name="Tc_dLjFFAwXbkmkS54KoNkexQ_2_2"/>
      <w:bookmarkStart w:id="285" w:name="Tc_WxM40ORrlki3H25nUP6gEQ_1_8"/>
      <w:bookmarkStart w:id="286" w:name="Tc_KgYPpq-GHEiYq1ZYfiBTig_1_2"/>
      <w:bookmarkStart w:id="287" w:name="_132e16af_15fe_499f_a972_ea154f753c26"/>
      <w:bookmarkStart w:id="288" w:name="Tc_2A01mGMfGUCpjfWxhyuLxw_12_11"/>
      <w:bookmarkStart w:id="289" w:name="Tc_XhSf9VXKrUqUSaespMdaHQ_12_8"/>
      <w:bookmarkStart w:id="290" w:name="Tc_9FHU7P2fnkeupdOVNTQIhQ_12_5"/>
      <w:bookmarkStart w:id="291" w:name="Tc_vQ_JIU5nAkaCTJ7QaZv3vA_12_2"/>
      <w:bookmarkStart w:id="292" w:name="Tc_XpXtPrbsTE6k7HvfyLVmVg_12_0"/>
      <w:bookmarkStart w:id="293" w:name="Tc_NIAxWvF4t0KFi1OxquAzDw_11_0"/>
      <w:bookmarkStart w:id="294" w:name="Tc_8pz6HZFlQkGlheTvNn-EUw_10_12"/>
      <w:bookmarkStart w:id="295" w:name="Tc_Fzp5ZzWXg0mpbSRcIT3T3w_10_6"/>
      <w:bookmarkStart w:id="296" w:name="Tc_Kv5W5jZA3UmMWpySVUt4sQ_10_0"/>
      <w:bookmarkStart w:id="297" w:name="Tc__lTTAw7ViUeMvHwsC589Mw_9_0"/>
      <w:bookmarkStart w:id="298" w:name="Tc_T3cIPAl54k2H62rPmBeZSA_8_0"/>
      <w:bookmarkStart w:id="299" w:name="Tc_rMZoIe21dkSJ6W6zcabOQg_7_11"/>
      <w:bookmarkStart w:id="300" w:name="Tc_tD3TBb2DSEmvYWSG574VRA_7_8"/>
      <w:bookmarkStart w:id="301" w:name="Tc_5Po9ZVrk4k-JqqYMhWpEow_7_5"/>
      <w:bookmarkStart w:id="302" w:name="Tc_y404MKzCD0SVmDg03p2XTw_7_2"/>
      <w:bookmarkStart w:id="303" w:name="Tc_OR8cHRY8vE2q3fbjdisgdw_7_0"/>
      <w:bookmarkStart w:id="304" w:name="Tc_FfD_fsCHBECHdW4_MlaGXA_6_0"/>
      <w:bookmarkStart w:id="305" w:name="Tc_1fastPyRSk65Cf3XQ0KbtQ_5_0"/>
      <w:bookmarkStart w:id="306" w:name="Tc_y_2U_Inw2E-2BsxG-LUgHw_4_0"/>
      <w:bookmarkStart w:id="307" w:name="Tc_d7ii0PnfN0Cy9N64hec3OA_3_11"/>
      <w:bookmarkStart w:id="308" w:name="Tc_sd1DQcjW3UmCYgL0TmeriQ_3_8"/>
      <w:bookmarkStart w:id="309" w:name="Tc_vIKcgg02t06zFjHOhYviUA_3_5"/>
      <w:bookmarkStart w:id="310" w:name="Tc_KJh8Y04LwUiVgxRKCWVBUA_3_2"/>
      <w:bookmarkStart w:id="311" w:name="Tc_iP8GxoxTOUCkTbuw6Y_7aQ_3_0"/>
      <w:bookmarkStart w:id="312" w:name="Tc_fwSnkN30MkyZcvBZWo0nRQ_2_11"/>
      <w:bookmarkStart w:id="313" w:name="Tc_7CE_SpjHo0C4lG_j1Jvfog_2_8"/>
      <w:bookmarkStart w:id="314" w:name="Tc_I6hQnaT7i0ik0EuMUNw76g_2_5"/>
      <w:bookmarkStart w:id="315" w:name="Tc_dLjFFAwXbkmkS54KoNkexQ_2_2"/>
      <w:bookmarkStart w:id="316" w:name="Tc_WxM40ORrlki3H25nUP6gEQ_1_8"/>
      <w:bookmarkStart w:id="317" w:name="Tc_KgYPpq-GHEiYq1ZYfiBTig_1_2"/>
      <w:bookmarkStart w:id="318" w:name="_132e16af_15fe_499f_a972_ea154f753c26"/>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tbl>
      <w:tblPr>
        <w:tblW w:w="10205" w:type="dxa"/>
        <w:jc w:val="left"/>
        <w:tblInd w:w="0" w:type="dxa"/>
        <w:tblLayout w:type="fixed"/>
        <w:tblCellMar>
          <w:top w:w="0" w:type="dxa"/>
          <w:left w:w="0" w:type="dxa"/>
          <w:bottom w:w="0" w:type="dxa"/>
          <w:right w:w="0" w:type="dxa"/>
        </w:tblCellMar>
      </w:tblPr>
      <w:tblGrid>
        <w:gridCol w:w="3370"/>
        <w:gridCol w:w="109"/>
        <w:gridCol w:w="370"/>
        <w:gridCol w:w="1109"/>
        <w:gridCol w:w="326"/>
        <w:gridCol w:w="398"/>
        <w:gridCol w:w="1081"/>
        <w:gridCol w:w="109"/>
        <w:gridCol w:w="370"/>
        <w:gridCol w:w="1109"/>
        <w:gridCol w:w="326"/>
        <w:gridCol w:w="362"/>
        <w:gridCol w:w="1166"/>
      </w:tblGrid>
      <w:tr>
        <w:trPr/>
        <w:tc>
          <w:tcPr>
            <w:tcW w:w="3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39950" cy="175260"/>
                      <wp:effectExtent l="0" t="0" r="0" b="0"/>
                      <wp:wrapNone/>
                      <wp:docPr id="18" name="Frame18"/>
                      <a:graphic xmlns:a="http://schemas.openxmlformats.org/drawingml/2006/main">
                        <a:graphicData uri="http://schemas.microsoft.com/office/word/2010/wordprocessingShape">
                          <wps:wsp>
                            <wps:cNvSpPr txBox="1"/>
                            <wps:spPr>
                              <a:xfrm>
                                <a:off x="0" y="0"/>
                                <a:ext cx="2139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34950" cy="175260"/>
                      <wp:effectExtent l="0" t="0" r="0" b="0"/>
                      <wp:wrapNone/>
                      <wp:docPr id="20" name="Frame20"/>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04215" cy="175260"/>
                      <wp:effectExtent l="0" t="0" r="0" b="0"/>
                      <wp:wrapNone/>
                      <wp:docPr id="21" name="Frame21"/>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52730" cy="175260"/>
                      <wp:effectExtent l="0" t="0" r="0" b="0"/>
                      <wp:wrapNone/>
                      <wp:docPr id="23" name="Frame23"/>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86435" cy="175260"/>
                      <wp:effectExtent l="0" t="0" r="0" b="0"/>
                      <wp:wrapNone/>
                      <wp:docPr id="24" name="Frame2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4950" cy="175260"/>
                      <wp:effectExtent l="0" t="0" r="0" b="0"/>
                      <wp:wrapNone/>
                      <wp:docPr id="26" name="Frame26"/>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704215" cy="175260"/>
                      <wp:effectExtent l="0" t="0" r="0" b="0"/>
                      <wp:wrapNone/>
                      <wp:docPr id="27" name="Frame27"/>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29870" cy="175260"/>
                      <wp:effectExtent l="0" t="0" r="0" b="0"/>
                      <wp:wrapNone/>
                      <wp:docPr id="29" name="Frame2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40410" cy="175260"/>
                      <wp:effectExtent l="0" t="0" r="0" b="0"/>
                      <wp:wrapNone/>
                      <wp:docPr id="30" name="Frame30"/>
                      <a:graphic xmlns:a="http://schemas.openxmlformats.org/drawingml/2006/main">
                        <a:graphicData uri="http://schemas.microsoft.com/office/word/2010/wordprocessingShape">
                          <wps:wsp>
                            <wps:cNvSpPr txBox="1"/>
                            <wps:spPr>
                              <a:xfrm>
                                <a:off x="0" y="0"/>
                                <a:ext cx="74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70" w:type="dxa"/>
            <w:tcBorders/>
            <w:vAlign w:val="center"/>
          </w:tcPr>
          <w:p>
            <w:pPr>
              <w:pStyle w:val="TableContents"/>
              <w:bidi w:val="0"/>
              <w:spacing w:before="0" w:after="1"/>
              <w:ind w:left="0" w:right="0" w:hanging="0"/>
              <w:jc w:val="left"/>
              <w:rPr>
                <w:color w:val="0000FF"/>
              </w:rPr>
            </w:pPr>
            <w:r>
              <w:rPr>
                <w:color w:val="0000FF"/>
              </w:rPr>
              <w:t>​</w:t>
            </w:r>
          </w:p>
        </w:tc>
        <w:tc>
          <w:tcPr>
            <w:tcW w:w="109" w:type="dxa"/>
            <w:tcBorders/>
            <w:vAlign w:val="center"/>
          </w:tcPr>
          <w:p>
            <w:pPr>
              <w:pStyle w:val="TableContents"/>
              <w:bidi w:val="0"/>
              <w:spacing w:before="0" w:after="1"/>
              <w:ind w:left="0" w:right="0" w:hanging="0"/>
              <w:jc w:val="left"/>
              <w:rPr/>
            </w:pPr>
            <w:r>
              <w:rPr/>
              <w:t>​</w:t>
            </w:r>
          </w:p>
        </w:tc>
        <w:tc>
          <w:tcPr>
            <w:tcW w:w="32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center"/>
              <w:rPr/>
            </w:pPr>
            <w:r>
              <w:rPr/>
              <w:t>​</w:t>
            </w:r>
          </w:p>
        </w:tc>
        <w:tc>
          <w:tcPr>
            <w:tcW w:w="333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37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4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1"/>
              <w:ind w:left="0" w:right="0" w:hanging="0"/>
              <w:jc w:val="center"/>
              <w:rPr/>
            </w:pPr>
            <w:r>
              <w:rPr/>
              <w:t>    </w:t>
            </w:r>
          </w:p>
        </w:tc>
        <w:tc>
          <w:tcPr>
            <w:tcW w:w="14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1"/>
              <w:ind w:left="0" w:right="0" w:hanging="0"/>
              <w:jc w:val="left"/>
              <w:rPr/>
            </w:pPr>
            <w:r>
              <w:rPr/>
              <w:t>​</w:t>
            </w:r>
          </w:p>
        </w:tc>
        <w:tc>
          <w:tcPr>
            <w:tcW w:w="147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September 30, 2024</w:t>
            </w:r>
          </w:p>
        </w:tc>
        <w:tc>
          <w:tcPr>
            <w:tcW w:w="326" w:type="dxa"/>
            <w:tcBorders/>
            <w:vAlign w:val="center"/>
          </w:tcPr>
          <w:p>
            <w:pPr>
              <w:pStyle w:val="TableContents"/>
              <w:bidi w:val="0"/>
              <w:spacing w:before="0" w:after="1"/>
              <w:ind w:left="0" w:right="0" w:hanging="0"/>
              <w:jc w:val="center"/>
              <w:rPr/>
            </w:pPr>
            <w:r>
              <w:rPr/>
              <w:t>    </w:t>
            </w:r>
          </w:p>
        </w:tc>
        <w:tc>
          <w:tcPr>
            <w:tcW w:w="152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September 30, 2023</w:t>
            </w:r>
          </w:p>
        </w:tc>
      </w:tr>
      <w:tr>
        <w:trPr/>
        <w:tc>
          <w:tcPr>
            <w:tcW w:w="3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3,293</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33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109"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right"/>
              <w:rPr/>
            </w:pPr>
            <w:r>
              <w:rPr/>
              <w:t>​</w:t>
            </w:r>
          </w:p>
        </w:tc>
      </w:tr>
      <w:tr>
        <w:trPr/>
        <w:tc>
          <w:tcPr>
            <w:tcW w:w="3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Hedging Derivative - Interest Rate Swaps</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(6,686)</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(5,046)</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r>
      <w:tr>
        <w:trPr/>
        <w:tc>
          <w:tcPr>
            <w:tcW w:w="33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Comprehensive Income (Loss)</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(6,686)</w:t>
            </w:r>
          </w:p>
        </w:tc>
        <w:tc>
          <w:tcPr>
            <w:tcW w:w="326"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1,492</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(5,046)</w:t>
            </w:r>
          </w:p>
        </w:tc>
        <w:tc>
          <w:tcPr>
            <w:tcW w:w="326" w:type="dxa"/>
            <w:tcBorders/>
            <w:vAlign w:val="center"/>
          </w:tcPr>
          <w:p>
            <w:pPr>
              <w:pStyle w:val="TableContents"/>
              <w:bidi w:val="0"/>
              <w:spacing w:before="0" w:after="1"/>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3,105</w:t>
            </w:r>
          </w:p>
        </w:tc>
      </w:tr>
      <w:tr>
        <w:trPr/>
        <w:tc>
          <w:tcPr>
            <w:tcW w:w="3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(3,332)</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6,001</w:t>
            </w:r>
          </w:p>
        </w:tc>
      </w:tr>
      <w:tr>
        <w:trPr/>
        <w:tc>
          <w:tcPr>
            <w:tcW w:w="33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Comprehensive (Income) Loss Attributable to Noncontrolling Interest</w:t>
            </w:r>
          </w:p>
        </w:tc>
        <w:tc>
          <w:tcPr>
            <w:tcW w:w="109"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11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2" w:type="dxa"/>
            <w:tcBorders/>
            <w:vAlign w:val="center"/>
          </w:tcPr>
          <w:p>
            <w:pPr>
              <w:pStyle w:val="TableContents"/>
              <w:bidi w:val="0"/>
              <w:spacing w:before="0" w:after="1"/>
              <w:ind w:left="0" w:right="0" w:hanging="0"/>
              <w:jc w:val="left"/>
              <w:rPr/>
            </w:pPr>
            <w:r>
              <w:rPr/>
              <w:t>​</w:t>
            </w:r>
          </w:p>
        </w:tc>
        <w:tc>
          <w:tcPr>
            <w:tcW w:w="1166" w:type="dxa"/>
            <w:tcBorders/>
            <w:vAlign w:val="center"/>
          </w:tcPr>
          <w:p>
            <w:pPr>
              <w:pStyle w:val="TableContents"/>
              <w:bidi w:val="0"/>
              <w:spacing w:before="0" w:after="1"/>
              <w:ind w:left="0" w:right="0" w:hanging="0"/>
              <w:jc w:val="left"/>
              <w:rPr/>
            </w:pPr>
            <w:r>
              <w:rPr/>
              <w:t>​</w:t>
            </w:r>
          </w:p>
        </w:tc>
      </w:tr>
      <w:tr>
        <w:trPr/>
        <w:tc>
          <w:tcPr>
            <w:tcW w:w="3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110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(269)</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c>
          <w:tcPr>
            <w:tcW w:w="116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(314)</w:t>
            </w:r>
          </w:p>
        </w:tc>
      </w:tr>
      <w:tr>
        <w:trPr/>
        <w:tc>
          <w:tcPr>
            <w:tcW w:w="33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Comprehensive (Income) Loss Attributable to Noncontrolling Interest </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547</w:t>
            </w:r>
          </w:p>
        </w:tc>
        <w:tc>
          <w:tcPr>
            <w:tcW w:w="326" w:type="dxa"/>
            <w:tcBorders/>
            <w:vAlign w:val="center"/>
          </w:tcPr>
          <w:p>
            <w:pPr>
              <w:pStyle w:val="TableContents"/>
              <w:bidi w:val="0"/>
              <w:spacing w:before="0" w:after="1"/>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412</w:t>
            </w:r>
          </w:p>
        </w:tc>
        <w:tc>
          <w:tcPr>
            <w:tcW w:w="326" w:type="dxa"/>
            <w:tcBorders/>
            <w:vAlign w:val="center"/>
          </w:tcPr>
          <w:p>
            <w:pPr>
              <w:pStyle w:val="TableContents"/>
              <w:bidi w:val="0"/>
              <w:spacing w:before="0" w:after="1"/>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Noncontrolling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w:t>
            </w:r>
          </w:p>
        </w:tc>
        <w:tc>
          <w:tcPr>
            <w:tcW w:w="326" w:type="dxa"/>
            <w:tcBorders/>
            <w:shd w:fill="CCEEFF" w:val="clear"/>
            <w:vAlign w:val="center"/>
          </w:tcPr>
          <w:p>
            <w:pPr>
              <w:pStyle w:val="TableContents"/>
              <w:bidi w:val="0"/>
              <w:spacing w:before="0" w:after="1"/>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w:t>
            </w:r>
          </w:p>
        </w:tc>
        <w:tc>
          <w:tcPr>
            <w:tcW w:w="109"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143</w:t>
            </w:r>
          </w:p>
        </w:tc>
        <w:tc>
          <w:tcPr>
            <w:tcW w:w="326" w:type="dxa"/>
            <w:tcBorders/>
            <w:shd w:fill="CCEEFF" w:val="clear"/>
            <w:vAlign w:val="center"/>
          </w:tcPr>
          <w:p>
            <w:pPr>
              <w:pStyle w:val="TableContents"/>
              <w:bidi w:val="0"/>
              <w:spacing w:before="0" w:after="1"/>
              <w:ind w:left="0" w:right="0" w:hanging="0"/>
              <w:jc w:val="left"/>
              <w:rPr/>
            </w:pPr>
            <w:r>
              <w:rPr/>
              <w:t>​</w:t>
            </w:r>
          </w:p>
        </w:tc>
        <w:tc>
          <w:tcPr>
            <w:tcW w:w="3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(314)</w:t>
            </w:r>
          </w:p>
        </w:tc>
      </w:tr>
      <w:tr>
        <w:trPr/>
        <w:tc>
          <w:tcPr>
            <w:tcW w:w="33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Alpine Income Property Trust, Inc.</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(3,059)</w:t>
            </w:r>
          </w:p>
        </w:tc>
        <w:tc>
          <w:tcPr>
            <w:tcW w:w="326" w:type="dxa"/>
            <w:tcBorders/>
            <w:vAlign w:val="center"/>
          </w:tcPr>
          <w:p>
            <w:pPr>
              <w:pStyle w:val="TableContents"/>
              <w:bidi w:val="0"/>
              <w:spacing w:before="0" w:after="1"/>
              <w:ind w:left="0" w:right="0" w:hanging="0"/>
              <w:jc w:val="left"/>
              <w:rPr/>
            </w:pPr>
            <w:r>
              <w:rPr/>
              <w:t>​</w:t>
            </w:r>
          </w:p>
        </w:tc>
        <w:tc>
          <w:tcPr>
            <w:tcW w:w="3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655</w:t>
            </w:r>
          </w:p>
        </w:tc>
        <w:tc>
          <w:tcPr>
            <w:tcW w:w="109"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(1,610)</w:t>
            </w:r>
          </w:p>
        </w:tc>
        <w:tc>
          <w:tcPr>
            <w:tcW w:w="326" w:type="dxa"/>
            <w:tcBorders/>
            <w:vAlign w:val="center"/>
          </w:tcPr>
          <w:p>
            <w:pPr>
              <w:pStyle w:val="TableContents"/>
              <w:bidi w:val="0"/>
              <w:spacing w:before="0" w:after="1"/>
              <w:ind w:left="0" w:right="0" w:hanging="0"/>
              <w:jc w:val="left"/>
              <w:rPr/>
            </w:pPr>
            <w:r>
              <w:rPr/>
              <w:t>​</w:t>
            </w:r>
          </w:p>
        </w:tc>
        <w:tc>
          <w:tcPr>
            <w:tcW w:w="3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16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5,687</w:t>
            </w:r>
          </w:p>
        </w:tc>
      </w:tr>
    </w:tbl>
    <w:p>
      <w:pPr>
        <w:pStyle w:val="TextBody"/>
        <w:bidi w:val="0"/>
        <w:spacing w:before="0" w:after="24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bookmarkStart w:id="319" w:name="_cefe13bd_ee96_4e1f_9209_df5926a41f9d"/>
      <w:bookmarkStart w:id="320" w:name="CONSOLIDATEDSTATEMENTSOFOPERATIONS_7649"/>
      <w:bookmarkEnd w:id="319"/>
      <w:bookmarkEnd w:id="320"/>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bookmarkStart w:id="321" w:name="CONSOLIDATEDSTATEMENTSOFSHAREHOLDERSEQUI"/>
      <w:bookmarkEnd w:id="321"/>
      <w:r>
        <w:rPr>
          <w:rFonts w:ascii="Times New Roman;Times;serif" w:hAnsi="Times New Roman;Times;serif"/>
          <w:sz w:val="19"/>
        </w:rPr>
        <w:t>CONSOLIDATED STATEMENTS OF STOCKHOLDERS’ EQUITY</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2024:</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22" w:name="Tc_whzWKNHXeUS9nTI2zGUfwA_8_20"/>
      <w:bookmarkStart w:id="323" w:name="Tc_Vn3MMtfajkCk4WmqNoHf-Q_8_17"/>
      <w:bookmarkStart w:id="324" w:name="Tc_3bTx5KJyTEuqyrYXBIfTow_8_14"/>
      <w:bookmarkStart w:id="325" w:name="Tc_w8HQedpawEOO17Buik2SUQ_8_11"/>
      <w:bookmarkStart w:id="326" w:name="Tc_Iu-dk37Gr0-QLrfZtHs2TA_8_8"/>
      <w:bookmarkStart w:id="327" w:name="Tc_otZVNJTEwU24wpuJEidwbg_8_5"/>
      <w:bookmarkStart w:id="328" w:name="Tc_4ctX8Hix5k-twgwaZy8HKA_8_2"/>
      <w:bookmarkStart w:id="329" w:name="Tc_KYFzPC7Y4Ueq7zUgj8qlnw_8_0"/>
      <w:bookmarkStart w:id="330" w:name="Tc_0uy1FVu3eUWoUXd8PW2FCQ_7_9"/>
      <w:bookmarkStart w:id="331" w:name="Tc_YS13fSZ7vUC9zNITvMm8jg_7_6"/>
      <w:bookmarkStart w:id="332" w:name="Tc_XCStWKJKAkS47Pk8Gsgy_g_7_3"/>
      <w:bookmarkStart w:id="333" w:name="Tc_wW-h7ilAjEKqNJD-CJYzig_7_0"/>
      <w:bookmarkStart w:id="334" w:name="Tc_3tx8tDVBLECGyM7m9WqcTQ_6_12"/>
      <w:bookmarkStart w:id="335" w:name="Tc_ImuFnMpoekqMszcJ9sat6Q_6_6"/>
      <w:bookmarkStart w:id="336" w:name="Tc_t7smcmu8cE2BT6YMXBo7aA_6_3"/>
      <w:bookmarkStart w:id="337" w:name="Tc_Y2llQfrXG0i_tf5C0ZBC4w_6_0"/>
      <w:bookmarkStart w:id="338" w:name="Tc_5g0C3Fl12EagTXbNMHBDSA_5_18"/>
      <w:bookmarkStart w:id="339" w:name="Tc_eiGrZfMTwUiayQ2c3lCY_g_5_12"/>
      <w:bookmarkStart w:id="340" w:name="Tc_pMfnYKkG2UaVBBzckgojgg_5_9"/>
      <w:bookmarkStart w:id="341" w:name="Tc_ZU0nrSr070OZcSg1JTWQVQ_5_0"/>
      <w:bookmarkStart w:id="342" w:name="Tc_2F0WuQKzD0WKHCr1rdF7AA_4_18"/>
      <w:bookmarkStart w:id="343" w:name="Tc_9ump60TvFUCcjqJeyvtjaw_4_12"/>
      <w:bookmarkStart w:id="344" w:name="Tc_zRa2g_uXa0qNVOoXapr1BA_4_9"/>
      <w:bookmarkStart w:id="345" w:name="Tc_Tifi-Y3ofUqWMmqw62h3SA_4_3"/>
      <w:bookmarkStart w:id="346" w:name="Tc_D7TdlH1SY0awEgsQi4q6zQ_4_0"/>
      <w:bookmarkStart w:id="347" w:name="Tc_pD7wB_zsi0y9f5AhI2M3tw_3_12"/>
      <w:bookmarkStart w:id="348" w:name="Tc_jPtEmwKPtU2fpS9MIcKywA_3_6"/>
      <w:bookmarkStart w:id="349" w:name="Tc_s2VMZqEq8kmoaNAl4HUbiQ_3_3"/>
      <w:bookmarkStart w:id="350" w:name="Tc_XULVcJVoK0aGXqAx_-6l4w_3_0"/>
      <w:bookmarkStart w:id="351" w:name="Tc_6Q0a99VraUe3TYstXgXyrQ_2_20"/>
      <w:bookmarkStart w:id="352" w:name="Tc_hcTnqFkDq0i0zrGl3i2MMg_2_17"/>
      <w:bookmarkStart w:id="353" w:name="Tc_BpgnLHfUv0qGqCj3xvjvVQ_2_14"/>
      <w:bookmarkStart w:id="354" w:name="Tc_m6MwDVrqnkCRnB4mGemX7g_2_11"/>
      <w:bookmarkStart w:id="355" w:name="Tc_mg35SU5Awk6dW2Zj8nWiYg_2_8"/>
      <w:bookmarkStart w:id="356" w:name="Tc_NYWACD1JgE2AasTUmoJrEQ_2_5"/>
      <w:bookmarkStart w:id="357" w:name="Tc_9JHphiiJLESEeAmMwiMpNQ_2_2"/>
      <w:bookmarkStart w:id="358" w:name="Tc_9Z_6giw5zUSFxV-k2xLlTA_2_0"/>
      <w:bookmarkStart w:id="359" w:name="Tc_JeYpkhdVekOmP2dWBSnyZQ_1_20"/>
      <w:bookmarkStart w:id="360" w:name="Tc_DIFagg9GpUGi0VSiA5WlIQ_1_17"/>
      <w:bookmarkStart w:id="361" w:name="Tc_VrqORMfvPUW04zIMdZuhrQ_1_14"/>
      <w:bookmarkStart w:id="362" w:name="Tc_ODes7P5AP0-eR5z-Ix1nhg_1_11"/>
      <w:bookmarkStart w:id="363" w:name="Tc_dP_qblfjjEeROdvV3t2CLA_1_8"/>
      <w:bookmarkStart w:id="364" w:name="Tc_aKd3smpZyU-hAwqd5UwCsA_1_5"/>
      <w:bookmarkStart w:id="365" w:name="Tc_u_GQsxLVnUKvTM-V1jeb7g_1_2"/>
      <w:bookmarkStart w:id="366" w:name="_fad1320e_d93d_4b51_b3df_b37b4a471fac"/>
      <w:bookmarkStart w:id="367" w:name="Tc_whzWKNHXeUS9nTI2zGUfwA_8_20"/>
      <w:bookmarkStart w:id="368" w:name="Tc_Vn3MMtfajkCk4WmqNoHf-Q_8_17"/>
      <w:bookmarkStart w:id="369" w:name="Tc_3bTx5KJyTEuqyrYXBIfTow_8_14"/>
      <w:bookmarkStart w:id="370" w:name="Tc_w8HQedpawEOO17Buik2SUQ_8_11"/>
      <w:bookmarkStart w:id="371" w:name="Tc_Iu-dk37Gr0-QLrfZtHs2TA_8_8"/>
      <w:bookmarkStart w:id="372" w:name="Tc_otZVNJTEwU24wpuJEidwbg_8_5"/>
      <w:bookmarkStart w:id="373" w:name="Tc_4ctX8Hix5k-twgwaZy8HKA_8_2"/>
      <w:bookmarkStart w:id="374" w:name="Tc_KYFzPC7Y4Ueq7zUgj8qlnw_8_0"/>
      <w:bookmarkStart w:id="375" w:name="Tc_0uy1FVu3eUWoUXd8PW2FCQ_7_9"/>
      <w:bookmarkStart w:id="376" w:name="Tc_YS13fSZ7vUC9zNITvMm8jg_7_6"/>
      <w:bookmarkStart w:id="377" w:name="Tc_XCStWKJKAkS47Pk8Gsgy_g_7_3"/>
      <w:bookmarkStart w:id="378" w:name="Tc_wW-h7ilAjEKqNJD-CJYzig_7_0"/>
      <w:bookmarkStart w:id="379" w:name="Tc_3tx8tDVBLECGyM7m9WqcTQ_6_12"/>
      <w:bookmarkStart w:id="380" w:name="Tc_ImuFnMpoekqMszcJ9sat6Q_6_6"/>
      <w:bookmarkStart w:id="381" w:name="Tc_t7smcmu8cE2BT6YMXBo7aA_6_3"/>
      <w:bookmarkStart w:id="382" w:name="Tc_Y2llQfrXG0i_tf5C0ZBC4w_6_0"/>
      <w:bookmarkStart w:id="383" w:name="Tc_5g0C3Fl12EagTXbNMHBDSA_5_18"/>
      <w:bookmarkStart w:id="384" w:name="Tc_eiGrZfMTwUiayQ2c3lCY_g_5_12"/>
      <w:bookmarkStart w:id="385" w:name="Tc_pMfnYKkG2UaVBBzckgojgg_5_9"/>
      <w:bookmarkStart w:id="386" w:name="Tc_ZU0nrSr070OZcSg1JTWQVQ_5_0"/>
      <w:bookmarkStart w:id="387" w:name="Tc_2F0WuQKzD0WKHCr1rdF7AA_4_18"/>
      <w:bookmarkStart w:id="388" w:name="Tc_9ump60TvFUCcjqJeyvtjaw_4_12"/>
      <w:bookmarkStart w:id="389" w:name="Tc_zRa2g_uXa0qNVOoXapr1BA_4_9"/>
      <w:bookmarkStart w:id="390" w:name="Tc_Tifi-Y3ofUqWMmqw62h3SA_4_3"/>
      <w:bookmarkStart w:id="391" w:name="Tc_D7TdlH1SY0awEgsQi4q6zQ_4_0"/>
      <w:bookmarkStart w:id="392" w:name="Tc_pD7wB_zsi0y9f5AhI2M3tw_3_12"/>
      <w:bookmarkStart w:id="393" w:name="Tc_jPtEmwKPtU2fpS9MIcKywA_3_6"/>
      <w:bookmarkStart w:id="394" w:name="Tc_s2VMZqEq8kmoaNAl4HUbiQ_3_3"/>
      <w:bookmarkStart w:id="395" w:name="Tc_XULVcJVoK0aGXqAx_-6l4w_3_0"/>
      <w:bookmarkStart w:id="396" w:name="Tc_6Q0a99VraUe3TYstXgXyrQ_2_20"/>
      <w:bookmarkStart w:id="397" w:name="Tc_hcTnqFkDq0i0zrGl3i2MMg_2_17"/>
      <w:bookmarkStart w:id="398" w:name="Tc_BpgnLHfUv0qGqCj3xvjvVQ_2_14"/>
      <w:bookmarkStart w:id="399" w:name="Tc_m6MwDVrqnkCRnB4mGemX7g_2_11"/>
      <w:bookmarkStart w:id="400" w:name="Tc_mg35SU5Awk6dW2Zj8nWiYg_2_8"/>
      <w:bookmarkStart w:id="401" w:name="Tc_NYWACD1JgE2AasTUmoJrEQ_2_5"/>
      <w:bookmarkStart w:id="402" w:name="Tc_9JHphiiJLESEeAmMwiMpNQ_2_2"/>
      <w:bookmarkStart w:id="403" w:name="Tc_9Z_6giw5zUSFxV-k2xLlTA_2_0"/>
      <w:bookmarkStart w:id="404" w:name="Tc_JeYpkhdVekOmP2dWBSnyZQ_1_20"/>
      <w:bookmarkStart w:id="405" w:name="Tc_DIFagg9GpUGi0VSiA5WlIQ_1_17"/>
      <w:bookmarkStart w:id="406" w:name="Tc_VrqORMfvPUW04zIMdZuhrQ_1_14"/>
      <w:bookmarkStart w:id="407" w:name="Tc_ODes7P5AP0-eR5z-Ix1nhg_1_11"/>
      <w:bookmarkStart w:id="408" w:name="Tc_dP_qblfjjEeROdvV3t2CLA_1_8"/>
      <w:bookmarkStart w:id="409" w:name="Tc_aKd3smpZyU-hAwqd5UwCsA_1_5"/>
      <w:bookmarkStart w:id="410" w:name="Tc_u_GQsxLVnUKvTM-V1jeb7g_1_2"/>
      <w:bookmarkStart w:id="411" w:name="_fad1320e_d93d_4b51_b3df_b37b4a471fac"/>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tbl>
      <w:tblPr>
        <w:tblW w:w="10511"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196"/>
        <w:gridCol w:w="690"/>
        <w:gridCol w:w="266"/>
        <w:gridCol w:w="321"/>
        <w:gridCol w:w="985"/>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81685" cy="175260"/>
                      <wp:effectExtent l="0" t="0" r="0" b="0"/>
                      <wp:wrapNone/>
                      <wp:docPr id="31" name="Frame3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79705" cy="175260"/>
                      <wp:effectExtent l="0" t="0" r="0" b="0"/>
                      <wp:wrapNone/>
                      <wp:docPr id="33" name="Frame3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44805" cy="175260"/>
                      <wp:effectExtent l="0" t="0" r="0" b="0"/>
                      <wp:wrapNone/>
                      <wp:docPr id="34" name="Frame3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8910" cy="175260"/>
                      <wp:effectExtent l="0" t="0" r="0" b="0"/>
                      <wp:wrapNone/>
                      <wp:docPr id="35" name="Frame3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175" cy="175260"/>
                      <wp:effectExtent l="0" t="0" r="0" b="0"/>
                      <wp:wrapNone/>
                      <wp:docPr id="36" name="Frame36"/>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61010" cy="175260"/>
                      <wp:effectExtent l="0" t="0" r="0" b="0"/>
                      <wp:wrapNone/>
                      <wp:docPr id="37" name="Frame37"/>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68910" cy="175260"/>
                      <wp:effectExtent l="0" t="0" r="0" b="0"/>
                      <wp:wrapNone/>
                      <wp:docPr id="38" name="Frame3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38150" cy="175260"/>
                      <wp:effectExtent l="0" t="0" r="0" b="0"/>
                      <wp:wrapNone/>
                      <wp:docPr id="40" name="Frame4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8910" cy="175260"/>
                      <wp:effectExtent l="0" t="0" r="0" b="0"/>
                      <wp:wrapNone/>
                      <wp:docPr id="41" name="Frame4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3835" cy="175260"/>
                      <wp:effectExtent l="0" t="0" r="0" b="0"/>
                      <wp:wrapNone/>
                      <wp:docPr id="42" name="Frame42"/>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25475" cy="175260"/>
                      <wp:effectExtent l="0" t="0" r="0" b="0"/>
                      <wp:wrapNone/>
                      <wp:docPr id="43" name="Frame43"/>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8910" cy="175260"/>
                      <wp:effectExtent l="0" t="0" r="0" b="0"/>
                      <wp:wrapNone/>
                      <wp:docPr id="44" name="Frame4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1925" cy="175260"/>
                      <wp:effectExtent l="0" t="0" r="0" b="0"/>
                      <wp:wrapNone/>
                      <wp:docPr id="45" name="Frame4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2135" cy="175260"/>
                      <wp:effectExtent l="0" t="0" r="0" b="0"/>
                      <wp:wrapNone/>
                      <wp:docPr id="46" name="Frame4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68910" cy="175260"/>
                      <wp:effectExtent l="0" t="0" r="0" b="0"/>
                      <wp:wrapNone/>
                      <wp:docPr id="47" name="Frame4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96850" cy="175260"/>
                      <wp:effectExtent l="0" t="0" r="0" b="0"/>
                      <wp:wrapNone/>
                      <wp:docPr id="48" name="Frame4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03885" cy="175260"/>
                      <wp:effectExtent l="0" t="0" r="0" b="0"/>
                      <wp:wrapNone/>
                      <wp:docPr id="49" name="Frame49"/>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8910" cy="175260"/>
                      <wp:effectExtent l="0" t="0" r="0" b="0"/>
                      <wp:wrapNone/>
                      <wp:docPr id="50" name="Frame5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5460" cy="175260"/>
                      <wp:effectExtent l="0" t="0" r="0" b="0"/>
                      <wp:wrapNone/>
                      <wp:docPr id="52" name="Frame5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0"/>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66" w:type="dxa"/>
            <w:tcBorders/>
            <w:vAlign w:val="center"/>
          </w:tcPr>
          <w:p>
            <w:pPr>
              <w:pStyle w:val="TableContents"/>
              <w:bidi w:val="0"/>
              <w:spacing w:before="0" w:after="0"/>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0"/>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July 1, 2024</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243,019</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(9,907)</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10,780</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244,028</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24,326</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268,354</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3,080</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3,080</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274</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3,354</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11,012</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11,019</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11,019</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($0.280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(3,825)</w:t>
            </w:r>
          </w:p>
        </w:tc>
        <w:tc>
          <w:tcPr>
            <w:tcW w:w="26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(3,825)</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(4,166)</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Loss</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(6,139)</w:t>
            </w:r>
          </w:p>
        </w:tc>
        <w:tc>
          <w:tcPr>
            <w:tcW w:w="26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(6,139)</w:t>
            </w:r>
          </w:p>
        </w:tc>
        <w:tc>
          <w:tcPr>
            <w:tcW w:w="26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(547)</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(6,686)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254,110</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(10,652)</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4,641</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248,242</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23,712</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271,954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2023:</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12" w:name="Tc_H3YpBm5LOUKO9mS6xUbm3A_9_20"/>
      <w:bookmarkStart w:id="413" w:name="Tc_yfnHytO7zkmCAz5oW4C6CQ_9_17"/>
      <w:bookmarkStart w:id="414" w:name="Tc_6UTsznqSdEyRXmWDK437WA_9_14"/>
      <w:bookmarkStart w:id="415" w:name="Tc_XDdh4tjkDEi6cWu7Wi9dhw_9_11"/>
      <w:bookmarkStart w:id="416" w:name="Tc_gIrsaerKPkylWMrMk8g-Xg_9_8"/>
      <w:bookmarkStart w:id="417" w:name="Tc_Q21L8hs4ZUGoRSBFutinZw_9_5"/>
      <w:bookmarkStart w:id="418" w:name="Tc_Uwvee0BLrEuZKPLY1va5vg_9_2"/>
      <w:bookmarkStart w:id="419" w:name="Tc_XF-Msij8x0qkUa0uLBwxlw_9_0"/>
      <w:bookmarkStart w:id="420" w:name="Tc_a5-BM_CY6kmEHeYIkAI1gg_8_18"/>
      <w:bookmarkStart w:id="421" w:name="Tc_upTnKIJjvESDkZkhzR_6Mw_8_9"/>
      <w:bookmarkStart w:id="422" w:name="Tc_oUd7hguvzE2OV68pjEBP0Q_8_6"/>
      <w:bookmarkStart w:id="423" w:name="Tc_27tKDLw3OUS-fcDwivk1MA_8_3"/>
      <w:bookmarkStart w:id="424" w:name="Tc_JTYuNj8FcUeWuOVskcVGQA_8_0"/>
      <w:bookmarkStart w:id="425" w:name="Tc_019Z1ZHEv0-XN9pGTcIUog_7_12"/>
      <w:bookmarkStart w:id="426" w:name="Tc_KI9JZiVfZEKMgokm8Q-nJw_7_6"/>
      <w:bookmarkStart w:id="427" w:name="Tc_liP112WIUkCJxANHGgy3SQ_7_3"/>
      <w:bookmarkStart w:id="428" w:name="Tc_RV1kwVD7b0SFoAMaUWxW3g_7_0"/>
      <w:bookmarkStart w:id="429" w:name="Tc_E6No4NkUx0Szkujw3H9rGg_6_18"/>
      <w:bookmarkStart w:id="430" w:name="Tc_LGM8W4IWDEKNQSdPWS5X8A_6_12"/>
      <w:bookmarkStart w:id="431" w:name="Tc_N0sW_j-G4EuUyl5n-SlP2A_6_9"/>
      <w:bookmarkStart w:id="432" w:name="Tc_PJWi1rgkrEmNrpSvvlXrDA_6_3"/>
      <w:bookmarkStart w:id="433" w:name="Tc_TBr3sbgn1kSbCL0b6YgeIg_6_0"/>
      <w:bookmarkStart w:id="434" w:name="Tc_KWBy0qgOrkyKmdHw7qiDTA_5_18"/>
      <w:bookmarkStart w:id="435" w:name="Tc_US9v9p6C2kuzBi96lpi8Nw_5_12"/>
      <w:bookmarkStart w:id="436" w:name="Tc_qlYMZcFRREG-9L5Rw50aPA_5_9"/>
      <w:bookmarkStart w:id="437" w:name="Tc_6XRCKFUFH02hhTRqY9ruZg_5_3"/>
      <w:bookmarkStart w:id="438" w:name="Tc_XvlI_qfhj0yhe0oSMv4BWg_5_0"/>
      <w:bookmarkStart w:id="439" w:name="Tc_d2pGaVdG20mJCWhwbQTMmw_4_18"/>
      <w:bookmarkStart w:id="440" w:name="Tc_BCb23nPhTEWeU5MljlsmgA_4_12"/>
      <w:bookmarkStart w:id="441" w:name="Tc_NcQU9gA2oEimmmQlxfcGww_4_9"/>
      <w:bookmarkStart w:id="442" w:name="Tc_Ppg2kzUOPEySHM3g0B_WfA_4_0"/>
      <w:bookmarkStart w:id="443" w:name="Tc_xGc3dgqJ4UyTM9jsOlkJDA_3_12"/>
      <w:bookmarkStart w:id="444" w:name="Tc_EDOgk7JHW0iVBax9bw-soQ_3_6"/>
      <w:bookmarkStart w:id="445" w:name="Tc_eQDVblsiLESEDVJ6Mdusqg_3_3"/>
      <w:bookmarkStart w:id="446" w:name="Tc_rEUBMUhNe0ilUH7b1rmOig_3_0"/>
      <w:bookmarkStart w:id="447" w:name="Tc_sWcXjOBrdEm6a61UZt5FTQ_2_20"/>
      <w:bookmarkStart w:id="448" w:name="Tc_0B0q1-FOhkqNLB7BI16vuQ_2_17"/>
      <w:bookmarkStart w:id="449" w:name="Tc_KRZ3pfSmwUyvFZVq3WtIVg_2_14"/>
      <w:bookmarkStart w:id="450" w:name="Tc_Omdl5t2agEWY4TWnOSZLDg_2_11"/>
      <w:bookmarkStart w:id="451" w:name="Tc_7NNOjblDK0WdItJfxPnSFQ_2_8"/>
      <w:bookmarkStart w:id="452" w:name="Tc_qq1IqWWYRUaus4lQARovEA_2_5"/>
      <w:bookmarkStart w:id="453" w:name="Tc_Ew8Jk8vRU06MtYrtGUHl2Q_2_2"/>
      <w:bookmarkStart w:id="454" w:name="Tc_cThwyomT70eXfsAMGNd_Tg_2_0"/>
      <w:bookmarkStart w:id="455" w:name="Tc_rcAsI7wjr066K2v6Us5WnQ_1_20"/>
      <w:bookmarkStart w:id="456" w:name="Tc_yBkhGFOMGU-N6nmK8Q5GQQ_1_17"/>
      <w:bookmarkStart w:id="457" w:name="Tc_Zba4LyWftUmF-qVBXrY-fw_1_14"/>
      <w:bookmarkStart w:id="458" w:name="Tc_nWCzebmSoEC4ajE9WKsI0w_1_11"/>
      <w:bookmarkStart w:id="459" w:name="Tc_u_34p0hhnEO8o1ZZ8qjyWw_1_8"/>
      <w:bookmarkStart w:id="460" w:name="Tc_ZDeWoNZiOEG4EzoXBFIkpQ_1_5"/>
      <w:bookmarkStart w:id="461" w:name="Tc_KxLpB4wDhkSRoNaYnz_yEA_1_2"/>
      <w:bookmarkStart w:id="462" w:name="_e2482f0a_c2f6_4f0c_be9f_e9b84d2541eb"/>
      <w:bookmarkStart w:id="463" w:name="Tc_H3YpBm5LOUKO9mS6xUbm3A_9_20"/>
      <w:bookmarkStart w:id="464" w:name="Tc_yfnHytO7zkmCAz5oW4C6CQ_9_17"/>
      <w:bookmarkStart w:id="465" w:name="Tc_6UTsznqSdEyRXmWDK437WA_9_14"/>
      <w:bookmarkStart w:id="466" w:name="Tc_XDdh4tjkDEi6cWu7Wi9dhw_9_11"/>
      <w:bookmarkStart w:id="467" w:name="Tc_gIrsaerKPkylWMrMk8g-Xg_9_8"/>
      <w:bookmarkStart w:id="468" w:name="Tc_Q21L8hs4ZUGoRSBFutinZw_9_5"/>
      <w:bookmarkStart w:id="469" w:name="Tc_Uwvee0BLrEuZKPLY1va5vg_9_2"/>
      <w:bookmarkStart w:id="470" w:name="Tc_XF-Msij8x0qkUa0uLBwxlw_9_0"/>
      <w:bookmarkStart w:id="471" w:name="Tc_a5-BM_CY6kmEHeYIkAI1gg_8_18"/>
      <w:bookmarkStart w:id="472" w:name="Tc_upTnKIJjvESDkZkhzR_6Mw_8_9"/>
      <w:bookmarkStart w:id="473" w:name="Tc_oUd7hguvzE2OV68pjEBP0Q_8_6"/>
      <w:bookmarkStart w:id="474" w:name="Tc_27tKDLw3OUS-fcDwivk1MA_8_3"/>
      <w:bookmarkStart w:id="475" w:name="Tc_JTYuNj8FcUeWuOVskcVGQA_8_0"/>
      <w:bookmarkStart w:id="476" w:name="Tc_019Z1ZHEv0-XN9pGTcIUog_7_12"/>
      <w:bookmarkStart w:id="477" w:name="Tc_KI9JZiVfZEKMgokm8Q-nJw_7_6"/>
      <w:bookmarkStart w:id="478" w:name="Tc_liP112WIUkCJxANHGgy3SQ_7_3"/>
      <w:bookmarkStart w:id="479" w:name="Tc_RV1kwVD7b0SFoAMaUWxW3g_7_0"/>
      <w:bookmarkStart w:id="480" w:name="Tc_E6No4NkUx0Szkujw3H9rGg_6_18"/>
      <w:bookmarkStart w:id="481" w:name="Tc_LGM8W4IWDEKNQSdPWS5X8A_6_12"/>
      <w:bookmarkStart w:id="482" w:name="Tc_N0sW_j-G4EuUyl5n-SlP2A_6_9"/>
      <w:bookmarkStart w:id="483" w:name="Tc_PJWi1rgkrEmNrpSvvlXrDA_6_3"/>
      <w:bookmarkStart w:id="484" w:name="Tc_TBr3sbgn1kSbCL0b6YgeIg_6_0"/>
      <w:bookmarkStart w:id="485" w:name="Tc_KWBy0qgOrkyKmdHw7qiDTA_5_18"/>
      <w:bookmarkStart w:id="486" w:name="Tc_US9v9p6C2kuzBi96lpi8Nw_5_12"/>
      <w:bookmarkStart w:id="487" w:name="Tc_qlYMZcFRREG-9L5Rw50aPA_5_9"/>
      <w:bookmarkStart w:id="488" w:name="Tc_6XRCKFUFH02hhTRqY9ruZg_5_3"/>
      <w:bookmarkStart w:id="489" w:name="Tc_XvlI_qfhj0yhe0oSMv4BWg_5_0"/>
      <w:bookmarkStart w:id="490" w:name="Tc_d2pGaVdG20mJCWhwbQTMmw_4_18"/>
      <w:bookmarkStart w:id="491" w:name="Tc_BCb23nPhTEWeU5MljlsmgA_4_12"/>
      <w:bookmarkStart w:id="492" w:name="Tc_NcQU9gA2oEimmmQlxfcGww_4_9"/>
      <w:bookmarkStart w:id="493" w:name="Tc_Ppg2kzUOPEySHM3g0B_WfA_4_0"/>
      <w:bookmarkStart w:id="494" w:name="Tc_xGc3dgqJ4UyTM9jsOlkJDA_3_12"/>
      <w:bookmarkStart w:id="495" w:name="Tc_EDOgk7JHW0iVBax9bw-soQ_3_6"/>
      <w:bookmarkStart w:id="496" w:name="Tc_eQDVblsiLESEDVJ6Mdusqg_3_3"/>
      <w:bookmarkStart w:id="497" w:name="Tc_rEUBMUhNe0ilUH7b1rmOig_3_0"/>
      <w:bookmarkStart w:id="498" w:name="Tc_sWcXjOBrdEm6a61UZt5FTQ_2_20"/>
      <w:bookmarkStart w:id="499" w:name="Tc_0B0q1-FOhkqNLB7BI16vuQ_2_17"/>
      <w:bookmarkStart w:id="500" w:name="Tc_KRZ3pfSmwUyvFZVq3WtIVg_2_14"/>
      <w:bookmarkStart w:id="501" w:name="Tc_Omdl5t2agEWY4TWnOSZLDg_2_11"/>
      <w:bookmarkStart w:id="502" w:name="Tc_7NNOjblDK0WdItJfxPnSFQ_2_8"/>
      <w:bookmarkStart w:id="503" w:name="Tc_qq1IqWWYRUaus4lQARovEA_2_5"/>
      <w:bookmarkStart w:id="504" w:name="Tc_Ew8Jk8vRU06MtYrtGUHl2Q_2_2"/>
      <w:bookmarkStart w:id="505" w:name="Tc_cThwyomT70eXfsAMGNd_Tg_2_0"/>
      <w:bookmarkStart w:id="506" w:name="Tc_rcAsI7wjr066K2v6Us5WnQ_1_20"/>
      <w:bookmarkStart w:id="507" w:name="Tc_yBkhGFOMGU-N6nmK8Q5GQQ_1_17"/>
      <w:bookmarkStart w:id="508" w:name="Tc_Zba4LyWftUmF-qVBXrY-fw_1_14"/>
      <w:bookmarkStart w:id="509" w:name="Tc_nWCzebmSoEC4ajE9WKsI0w_1_11"/>
      <w:bookmarkStart w:id="510" w:name="Tc_u_34p0hhnEO8o1ZZ8qjyWw_1_8"/>
      <w:bookmarkStart w:id="511" w:name="Tc_ZDeWoNZiOEG4EzoXBFIkpQ_1_5"/>
      <w:bookmarkStart w:id="512" w:name="Tc_KxLpB4wDhkSRoNaYnz_yEA_1_2"/>
      <w:bookmarkStart w:id="513" w:name="_e2482f0a_c2f6_4f0c_be9f_e9b84d2541eb"/>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tbl>
      <w:tblPr>
        <w:tblW w:w="10436"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196"/>
        <w:gridCol w:w="615"/>
        <w:gridCol w:w="266"/>
        <w:gridCol w:w="321"/>
        <w:gridCol w:w="985"/>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81685" cy="175260"/>
                      <wp:effectExtent l="0" t="0" r="0" b="0"/>
                      <wp:wrapNone/>
                      <wp:docPr id="53" name="Frame53"/>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79705" cy="175260"/>
                      <wp:effectExtent l="0" t="0" r="0" b="0"/>
                      <wp:wrapNone/>
                      <wp:docPr id="55" name="Frame55"/>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44805" cy="175260"/>
                      <wp:effectExtent l="0" t="0" r="0" b="0"/>
                      <wp:wrapNone/>
                      <wp:docPr id="56" name="Frame5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8910" cy="175260"/>
                      <wp:effectExtent l="0" t="0" r="0" b="0"/>
                      <wp:wrapNone/>
                      <wp:docPr id="57" name="Frame5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0175" cy="175260"/>
                      <wp:effectExtent l="0" t="0" r="0" b="0"/>
                      <wp:wrapNone/>
                      <wp:docPr id="58" name="Frame58"/>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61010" cy="175260"/>
                      <wp:effectExtent l="0" t="0" r="0" b="0"/>
                      <wp:wrapNone/>
                      <wp:docPr id="59" name="Frame59"/>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8910" cy="175260"/>
                      <wp:effectExtent l="0" t="0" r="0" b="0"/>
                      <wp:wrapNone/>
                      <wp:docPr id="60" name="Frame6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0525" cy="175260"/>
                      <wp:effectExtent l="0" t="0" r="0" b="0"/>
                      <wp:wrapNone/>
                      <wp:docPr id="62" name="Frame6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8910" cy="175260"/>
                      <wp:effectExtent l="0" t="0" r="0" b="0"/>
                      <wp:wrapNone/>
                      <wp:docPr id="63" name="Frame6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3835" cy="175260"/>
                      <wp:effectExtent l="0" t="0" r="0" b="0"/>
                      <wp:wrapNone/>
                      <wp:docPr id="64" name="Frame64"/>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25475" cy="175260"/>
                      <wp:effectExtent l="0" t="0" r="0" b="0"/>
                      <wp:wrapNone/>
                      <wp:docPr id="65" name="Frame65"/>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68910" cy="175260"/>
                      <wp:effectExtent l="0" t="0" r="0" b="0"/>
                      <wp:wrapNone/>
                      <wp:docPr id="66" name="Frame6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1925" cy="175260"/>
                      <wp:effectExtent l="0" t="0" r="0" b="0"/>
                      <wp:wrapNone/>
                      <wp:docPr id="67" name="Frame67"/>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572135" cy="175260"/>
                      <wp:effectExtent l="0" t="0" r="0" b="0"/>
                      <wp:wrapNone/>
                      <wp:docPr id="68" name="Frame6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8910" cy="175260"/>
                      <wp:effectExtent l="0" t="0" r="0" b="0"/>
                      <wp:wrapNone/>
                      <wp:docPr id="69" name="Frame6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96850" cy="175260"/>
                      <wp:effectExtent l="0" t="0" r="0" b="0"/>
                      <wp:wrapNone/>
                      <wp:docPr id="70" name="Frame7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03885" cy="175260"/>
                      <wp:effectExtent l="0" t="0" r="0" b="0"/>
                      <wp:wrapNone/>
                      <wp:docPr id="71" name="Frame71"/>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8910" cy="175260"/>
                      <wp:effectExtent l="0" t="0" r="0" b="0"/>
                      <wp:wrapNone/>
                      <wp:docPr id="72" name="Frame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05460" cy="175260"/>
                      <wp:effectExtent l="0" t="0" r="0" b="0"/>
                      <wp:wrapNone/>
                      <wp:docPr id="74" name="Frame7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1"/>
              <w:ind w:left="0" w:right="0" w:hanging="0"/>
              <w:jc w:val="center"/>
              <w:rPr/>
            </w:pPr>
            <w:r>
              <w:rPr/>
              <w:t>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26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July 1, 2023</w:t>
            </w:r>
          </w:p>
        </w:tc>
        <w:tc>
          <w:tcPr>
            <w:tcW w:w="326" w:type="dxa"/>
            <w:tcBorders/>
            <w:shd w:fill="CCEEFF" w:val="clear"/>
            <w:vAlign w:val="center"/>
          </w:tcPr>
          <w:p>
            <w:pPr>
              <w:pStyle w:val="TableContents"/>
              <w:bidi w:val="0"/>
              <w:spacing w:before="0" w:after="1"/>
              <w:ind w:left="0" w:right="0" w:hanging="0"/>
              <w:jc w:val="center"/>
              <w:rPr/>
            </w:pPr>
            <w:r>
              <w:rPr/>
              <w:t>    </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248,958</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5,731</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16,214</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271,043</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33,237</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304,280</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w:t>
            </w:r>
          </w:p>
        </w:tc>
        <w:tc>
          <w:tcPr>
            <w:tcW w:w="266"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(837)</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(4,709)</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(4,711)</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(4,711)</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Payment of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($0.275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(3,819)</w:t>
            </w:r>
          </w:p>
        </w:tc>
        <w:tc>
          <w:tcPr>
            <w:tcW w:w="266" w:type="dxa"/>
            <w:tcBorders/>
            <w:vAlign w:val="center"/>
          </w:tcPr>
          <w:p>
            <w:pPr>
              <w:pStyle w:val="TableContents"/>
              <w:bidi w:val="0"/>
              <w:spacing w:before="0" w:after="1"/>
              <w:ind w:left="0" w:right="0" w:hanging="0"/>
              <w:jc w:val="right"/>
              <w:rPr/>
            </w:pPr>
            <w:r>
              <w:rPr/>
              <w:t>​</w:t>
            </w:r>
          </w:p>
        </w:tc>
        <w:tc>
          <w:tcPr>
            <w:tcW w:w="321"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(3,819)</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(469)</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(4,288)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1,492</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September 30, 2023</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c>
          <w:tcPr>
            <w:tcW w:w="26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244,300</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1,075</w:t>
            </w:r>
          </w:p>
        </w:tc>
        <w:tc>
          <w:tcPr>
            <w:tcW w:w="266" w:type="dxa"/>
            <w:tcBorders/>
            <w:vAlign w:val="center"/>
          </w:tcPr>
          <w:p>
            <w:pPr>
              <w:pStyle w:val="TableContents"/>
              <w:bidi w:val="0"/>
              <w:spacing w:before="0" w:after="1"/>
              <w:ind w:left="0" w:right="0" w:hanging="0"/>
              <w:jc w:val="righ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17,706</w:t>
            </w:r>
          </w:p>
        </w:tc>
        <w:tc>
          <w:tcPr>
            <w:tcW w:w="26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263,219</w:t>
            </w:r>
          </w:p>
        </w:tc>
        <w:tc>
          <w:tcPr>
            <w:tcW w:w="26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32,666</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295,885</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ALPINE INCOME PROPERTY TRUST, INC.</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CONSOLIDATED STATEMENTS OF STOCKHOLDERS’ EQUITY (Continued)</w:t>
      </w:r>
    </w:p>
    <w:p>
      <w:pPr>
        <w:pStyle w:val="TextBody"/>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(Unaudited, in thousands, except per share data)</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2024:</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14" w:name="Tc_lGd7l00QAEOQw-BGhSS28g_9_20"/>
      <w:bookmarkStart w:id="515" w:name="Tc_nc2x3PVJO0Ky1aGUjX0CUw_9_17"/>
      <w:bookmarkStart w:id="516" w:name="Tc_cdpu5zeMiUC8AnmDZuTarw_9_14"/>
      <w:bookmarkStart w:id="517" w:name="Tc_LMLjE6T2eUqq1hbbXEbI0w_9_11"/>
      <w:bookmarkStart w:id="518" w:name="Tc_sfglTvcO4UWb7APY60WTlw_9_8"/>
      <w:bookmarkStart w:id="519" w:name="Tc_1XtkQorNfkWtEhFKSrIslg_9_5"/>
      <w:bookmarkStart w:id="520" w:name="Tc__0kvNe8B4UiHOCH-6f41zA_9_2"/>
      <w:bookmarkStart w:id="521" w:name="Tc_yxT1MG6y40OZvBeV0sUtVw_9_0"/>
      <w:bookmarkStart w:id="522" w:name="Tc_41mJV412WE6pcU8V5yC8kw_8_9"/>
      <w:bookmarkStart w:id="523" w:name="Tc_YRiiEAgrME20WhFTr1uDcQ_8_6"/>
      <w:bookmarkStart w:id="524" w:name="Tc_Daz7gmxO9kqC_jupK3HJLQ_8_3"/>
      <w:bookmarkStart w:id="525" w:name="Tc_g-eR6MCxeE6rEslcNIUhkQ_8_0"/>
      <w:bookmarkStart w:id="526" w:name="Tc_AVZ6W5FfnE60i5RvLCSy7Q_7_12"/>
      <w:bookmarkStart w:id="527" w:name="Tc_Ynucyi6gvkil5ILlEjTifQ_7_6"/>
      <w:bookmarkStart w:id="528" w:name="Tc_DaTHTmhGek63P8U8s58XlA_7_3"/>
      <w:bookmarkStart w:id="529" w:name="Tc_G3qTonIeuEq9WZLu56bqjw_7_0"/>
      <w:bookmarkStart w:id="530" w:name="Tc_psd7lYZjYk2e4R2Sqge60Q_6_18"/>
      <w:bookmarkStart w:id="531" w:name="Tc_WDCSiT0SQkyUpzVAqlCQ8w_6_12"/>
      <w:bookmarkStart w:id="532" w:name="Tc_eV-ltIm2SUSnvzGELSjyPw_6_9"/>
      <w:bookmarkStart w:id="533" w:name="Tc_zwuTSFpPJUWZERkIgtYkug_6_0"/>
      <w:bookmarkStart w:id="534" w:name="Tc_R1G2LBQuf0KekSSPQBPBHA_5_18"/>
      <w:bookmarkStart w:id="535" w:name="Tc_cWrWPY3lf0yZQf_YH7rTjA_5_12"/>
      <w:bookmarkStart w:id="536" w:name="Tc_dDNUgMxTQk60RX2_7FKBtQ_5_9"/>
      <w:bookmarkStart w:id="537" w:name="Tc_mrMETnDPykqdjJnFQcGXHQ_5_3"/>
      <w:bookmarkStart w:id="538" w:name="Tc_-SJ2cOQtwk-i8AdI_GW7Ew_5_0"/>
      <w:bookmarkStart w:id="539" w:name="Tc_yhX6FJprPU6qGjV-jY8-yg_4_18"/>
      <w:bookmarkStart w:id="540" w:name="Tc_PmpNdf2QaUehFaIYP009pg_4_12"/>
      <w:bookmarkStart w:id="541" w:name="Tc_OMjsE3RFAUeMpFQcZInndg_4_9"/>
      <w:bookmarkStart w:id="542" w:name="Tc_CzNauktAbkqJd6czjeZqxw_4_0"/>
      <w:bookmarkStart w:id="543" w:name="Tc_7zHYrVzZYEK4lAgOBQXKKg_3_12"/>
      <w:bookmarkStart w:id="544" w:name="Tc_AUD3b-ZjnUyacEwh37I6xw_3_6"/>
      <w:bookmarkStart w:id="545" w:name="Tc_nTOHnTbiM02LZq-5suYcTA_3_3"/>
      <w:bookmarkStart w:id="546" w:name="Tc_8pYV8LPxikiS6Td3aYualA_3_0"/>
      <w:bookmarkStart w:id="547" w:name="Tc_q93qUiGi8EyOUv_ocikiwg_2_20"/>
      <w:bookmarkStart w:id="548" w:name="Tc_FpTz-JC36kOSCgOgtQVnyg_2_17"/>
      <w:bookmarkStart w:id="549" w:name="Tc_HSAjpAwxnEOtp__HMs0kRA_2_14"/>
      <w:bookmarkStart w:id="550" w:name="Tc_u-d-Tet7ZE25KgH9TxsFWg_2_11"/>
      <w:bookmarkStart w:id="551" w:name="Tc_vwSIIECDm0aUFxu31ik9TQ_2_8"/>
      <w:bookmarkStart w:id="552" w:name="Tc_G8i9F5rJu02AOiYGys_LJA_2_5"/>
      <w:bookmarkStart w:id="553" w:name="Tc_arywoWQVm0yH4a8CGnERxg_2_2"/>
      <w:bookmarkStart w:id="554" w:name="Tc_nKzroKpEYkW3y4AcQhkcbg_2_0"/>
      <w:bookmarkStart w:id="555" w:name="Tc_ibI8W6pgg0auYRf6jIsCuQ_1_20"/>
      <w:bookmarkStart w:id="556" w:name="Tc_2Hs-O2jRGkW8mczP71CULg_1_17"/>
      <w:bookmarkStart w:id="557" w:name="Tc_c7_Hqbfx00y04IS8qxP-dg_1_14"/>
      <w:bookmarkStart w:id="558" w:name="Tc_dAkeYBwRS0SLd7AVU-mLgg_1_11"/>
      <w:bookmarkStart w:id="559" w:name="Tc_-lXOMySaW0SZUBhSiIO8Yg_1_8"/>
      <w:bookmarkStart w:id="560" w:name="Tc_vhUGQH0dTkKBE8HPjWrugw_1_5"/>
      <w:bookmarkStart w:id="561" w:name="Tc_kjD37FMi-ESVYLouUtEt7A_1_2"/>
      <w:bookmarkStart w:id="562" w:name="_5cf7d37e_2032_4caa_ba5e_de1310186ce9"/>
      <w:bookmarkStart w:id="563" w:name="Tc_lGd7l00QAEOQw-BGhSS28g_9_20"/>
      <w:bookmarkStart w:id="564" w:name="Tc_nc2x3PVJO0Ky1aGUjX0CUw_9_17"/>
      <w:bookmarkStart w:id="565" w:name="Tc_cdpu5zeMiUC8AnmDZuTarw_9_14"/>
      <w:bookmarkStart w:id="566" w:name="Tc_LMLjE6T2eUqq1hbbXEbI0w_9_11"/>
      <w:bookmarkStart w:id="567" w:name="Tc_sfglTvcO4UWb7APY60WTlw_9_8"/>
      <w:bookmarkStart w:id="568" w:name="Tc_1XtkQorNfkWtEhFKSrIslg_9_5"/>
      <w:bookmarkStart w:id="569" w:name="Tc__0kvNe8B4UiHOCH-6f41zA_9_2"/>
      <w:bookmarkStart w:id="570" w:name="Tc_yxT1MG6y40OZvBeV0sUtVw_9_0"/>
      <w:bookmarkStart w:id="571" w:name="Tc_41mJV412WE6pcU8V5yC8kw_8_9"/>
      <w:bookmarkStart w:id="572" w:name="Tc_YRiiEAgrME20WhFTr1uDcQ_8_6"/>
      <w:bookmarkStart w:id="573" w:name="Tc_Daz7gmxO9kqC_jupK3HJLQ_8_3"/>
      <w:bookmarkStart w:id="574" w:name="Tc_g-eR6MCxeE6rEslcNIUhkQ_8_0"/>
      <w:bookmarkStart w:id="575" w:name="Tc_AVZ6W5FfnE60i5RvLCSy7Q_7_12"/>
      <w:bookmarkStart w:id="576" w:name="Tc_Ynucyi6gvkil5ILlEjTifQ_7_6"/>
      <w:bookmarkStart w:id="577" w:name="Tc_DaTHTmhGek63P8U8s58XlA_7_3"/>
      <w:bookmarkStart w:id="578" w:name="Tc_G3qTonIeuEq9WZLu56bqjw_7_0"/>
      <w:bookmarkStart w:id="579" w:name="Tc_psd7lYZjYk2e4R2Sqge60Q_6_18"/>
      <w:bookmarkStart w:id="580" w:name="Tc_WDCSiT0SQkyUpzVAqlCQ8w_6_12"/>
      <w:bookmarkStart w:id="581" w:name="Tc_eV-ltIm2SUSnvzGELSjyPw_6_9"/>
      <w:bookmarkStart w:id="582" w:name="Tc_zwuTSFpPJUWZERkIgtYkug_6_0"/>
      <w:bookmarkStart w:id="583" w:name="Tc_R1G2LBQuf0KekSSPQBPBHA_5_18"/>
      <w:bookmarkStart w:id="584" w:name="Tc_cWrWPY3lf0yZQf_YH7rTjA_5_12"/>
      <w:bookmarkStart w:id="585" w:name="Tc_dDNUgMxTQk60RX2_7FKBtQ_5_9"/>
      <w:bookmarkStart w:id="586" w:name="Tc_mrMETnDPykqdjJnFQcGXHQ_5_3"/>
      <w:bookmarkStart w:id="587" w:name="Tc_-SJ2cOQtwk-i8AdI_GW7Ew_5_0"/>
      <w:bookmarkStart w:id="588" w:name="Tc_yhX6FJprPU6qGjV-jY8-yg_4_18"/>
      <w:bookmarkStart w:id="589" w:name="Tc_PmpNdf2QaUehFaIYP009pg_4_12"/>
      <w:bookmarkStart w:id="590" w:name="Tc_OMjsE3RFAUeMpFQcZInndg_4_9"/>
      <w:bookmarkStart w:id="591" w:name="Tc_CzNauktAbkqJd6czjeZqxw_4_0"/>
      <w:bookmarkStart w:id="592" w:name="Tc_7zHYrVzZYEK4lAgOBQXKKg_3_12"/>
      <w:bookmarkStart w:id="593" w:name="Tc_AUD3b-ZjnUyacEwh37I6xw_3_6"/>
      <w:bookmarkStart w:id="594" w:name="Tc_nTOHnTbiM02LZq-5suYcTA_3_3"/>
      <w:bookmarkStart w:id="595" w:name="Tc_8pYV8LPxikiS6Td3aYualA_3_0"/>
      <w:bookmarkStart w:id="596" w:name="Tc_q93qUiGi8EyOUv_ocikiwg_2_20"/>
      <w:bookmarkStart w:id="597" w:name="Tc_FpTz-JC36kOSCgOgtQVnyg_2_17"/>
      <w:bookmarkStart w:id="598" w:name="Tc_HSAjpAwxnEOtp__HMs0kRA_2_14"/>
      <w:bookmarkStart w:id="599" w:name="Tc_u-d-Tet7ZE25KgH9TxsFWg_2_11"/>
      <w:bookmarkStart w:id="600" w:name="Tc_vwSIIECDm0aUFxu31ik9TQ_2_8"/>
      <w:bookmarkStart w:id="601" w:name="Tc_G8i9F5rJu02AOiYGys_LJA_2_5"/>
      <w:bookmarkStart w:id="602" w:name="Tc_arywoWQVm0yH4a8CGnERxg_2_2"/>
      <w:bookmarkStart w:id="603" w:name="Tc_nKzroKpEYkW3y4AcQhkcbg_2_0"/>
      <w:bookmarkStart w:id="604" w:name="Tc_ibI8W6pgg0auYRf6jIsCuQ_1_20"/>
      <w:bookmarkStart w:id="605" w:name="Tc_2Hs-O2jRGkW8mczP71CULg_1_17"/>
      <w:bookmarkStart w:id="606" w:name="Tc_c7_Hqbfx00y04IS8qxP-dg_1_14"/>
      <w:bookmarkStart w:id="607" w:name="Tc_dAkeYBwRS0SLd7AVU-mLgg_1_11"/>
      <w:bookmarkStart w:id="608" w:name="Tc_-lXOMySaW0SZUBhSiIO8Yg_1_8"/>
      <w:bookmarkStart w:id="609" w:name="Tc_vhUGQH0dTkKBE8HPjWrugw_1_5"/>
      <w:bookmarkStart w:id="610" w:name="Tc_kjD37FMi-ESVYLouUtEt7A_1_2"/>
      <w:bookmarkStart w:id="611" w:name="_5cf7d37e_2032_4caa_ba5e_de1310186ce9"/>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tbl>
      <w:tblPr>
        <w:tblW w:w="10511"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196"/>
        <w:gridCol w:w="690"/>
        <w:gridCol w:w="266"/>
        <w:gridCol w:w="333"/>
        <w:gridCol w:w="973"/>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81685" cy="175260"/>
                      <wp:effectExtent l="0" t="0" r="0" b="0"/>
                      <wp:wrapNone/>
                      <wp:docPr id="75" name="Frame7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79705" cy="175260"/>
                      <wp:effectExtent l="0" t="0" r="0" b="0"/>
                      <wp:wrapNone/>
                      <wp:docPr id="77" name="Frame7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44805" cy="175260"/>
                      <wp:effectExtent l="0" t="0" r="0" b="0"/>
                      <wp:wrapNone/>
                      <wp:docPr id="78" name="Frame7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8910" cy="175260"/>
                      <wp:effectExtent l="0" t="0" r="0" b="0"/>
                      <wp:wrapNone/>
                      <wp:docPr id="79" name="Frame7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0175" cy="175260"/>
                      <wp:effectExtent l="0" t="0" r="0" b="0"/>
                      <wp:wrapNone/>
                      <wp:docPr id="80" name="Frame80"/>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61010" cy="175260"/>
                      <wp:effectExtent l="0" t="0" r="0" b="0"/>
                      <wp:wrapNone/>
                      <wp:docPr id="81" name="Frame81"/>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8910" cy="175260"/>
                      <wp:effectExtent l="0" t="0" r="0" b="0"/>
                      <wp:wrapNone/>
                      <wp:docPr id="82" name="Frame8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24460" cy="175260"/>
                      <wp:effectExtent l="0" t="0" r="0" b="0"/>
                      <wp:wrapNone/>
                      <wp:docPr id="83" name="Frame8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150" cy="175260"/>
                      <wp:effectExtent l="0" t="0" r="0" b="0"/>
                      <wp:wrapNone/>
                      <wp:docPr id="84" name="Frame8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68910" cy="175260"/>
                      <wp:effectExtent l="0" t="0" r="0" b="0"/>
                      <wp:wrapNone/>
                      <wp:docPr id="85" name="Frame8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1455" cy="175260"/>
                      <wp:effectExtent l="0" t="0" r="0" b="0"/>
                      <wp:wrapNone/>
                      <wp:docPr id="86" name="Frame8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17855" cy="175260"/>
                      <wp:effectExtent l="0" t="0" r="0" b="0"/>
                      <wp:wrapNone/>
                      <wp:docPr id="87" name="Frame87"/>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8910" cy="175260"/>
                      <wp:effectExtent l="0" t="0" r="0" b="0"/>
                      <wp:wrapNone/>
                      <wp:docPr id="88" name="Frame8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61925" cy="175260"/>
                      <wp:effectExtent l="0" t="0" r="0" b="0"/>
                      <wp:wrapNone/>
                      <wp:docPr id="89" name="Frame8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2135" cy="175260"/>
                      <wp:effectExtent l="0" t="0" r="0" b="0"/>
                      <wp:wrapNone/>
                      <wp:docPr id="90" name="Frame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8910" cy="175260"/>
                      <wp:effectExtent l="0" t="0" r="0" b="0"/>
                      <wp:wrapNone/>
                      <wp:docPr id="91" name="Frame9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96850" cy="175260"/>
                      <wp:effectExtent l="0" t="0" r="0" b="0"/>
                      <wp:wrapNone/>
                      <wp:docPr id="92" name="Frame92"/>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03885" cy="175260"/>
                      <wp:effectExtent l="0" t="0" r="0" b="0"/>
                      <wp:wrapNone/>
                      <wp:docPr id="93" name="Frame93"/>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68910" cy="175260"/>
                      <wp:effectExtent l="0" t="0" r="0" b="0"/>
                      <wp:wrapNone/>
                      <wp:docPr id="94" name="Frame9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05460" cy="175260"/>
                      <wp:effectExtent l="0" t="0" r="0" b="0"/>
                      <wp:wrapNone/>
                      <wp:docPr id="96" name="Frame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Dividends in Excess of Net Income</w:t>
            </w:r>
          </w:p>
        </w:tc>
        <w:tc>
          <w:tcPr>
            <w:tcW w:w="266" w:type="dxa"/>
            <w:tcBorders/>
            <w:vAlign w:val="center"/>
          </w:tcPr>
          <w:p>
            <w:pPr>
              <w:pStyle w:val="TableContents"/>
              <w:bidi w:val="0"/>
              <w:spacing w:before="0" w:after="1"/>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1"/>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January 1, 2024</w:t>
            </w:r>
          </w:p>
        </w:tc>
        <w:tc>
          <w:tcPr>
            <w:tcW w:w="326" w:type="dxa"/>
            <w:tcBorders/>
            <w:shd w:fill="CCEEFF" w:val="clear"/>
            <w:vAlign w:val="center"/>
          </w:tcPr>
          <w:p>
            <w:pPr>
              <w:pStyle w:val="TableContents"/>
              <w:bidi w:val="0"/>
              <w:spacing w:before="0" w:after="1"/>
              <w:ind w:left="0" w:right="0" w:hanging="0"/>
              <w:jc w:val="center"/>
              <w:rPr/>
            </w:pPr>
            <w:r>
              <w:rPr/>
              <w:t>    </w:t>
            </w:r>
          </w:p>
        </w:tc>
        <w:tc>
          <w:tcPr>
            <w:tcW w:w="28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243,690</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(2,359)</w:t>
            </w:r>
          </w:p>
        </w:tc>
        <w:tc>
          <w:tcPr>
            <w:tcW w:w="26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9,275</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250,743</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24,870</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275,613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3,024</w:t>
            </w:r>
          </w:p>
        </w:tc>
        <w:tc>
          <w:tcPr>
            <w:tcW w:w="26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3,024</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3,293</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(774)</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(775)</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righ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shd w:fill="CCEEFF" w:val="clear"/>
            <w:vAlign w:val="center"/>
          </w:tcPr>
          <w:p>
            <w:pPr>
              <w:pStyle w:val="TableContents"/>
              <w:bidi w:val="0"/>
              <w:spacing w:before="0" w:after="1"/>
              <w:ind w:left="0" w:right="0" w:hanging="0"/>
              <w:jc w:val="left"/>
              <w:rPr/>
            </w:pPr>
            <w:r>
              <w:rPr/>
              <w:t>​</w:t>
            </w:r>
          </w:p>
        </w:tc>
        <w:tc>
          <w:tcPr>
            <w:tcW w:w="54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shd w:fill="CCEEFF" w:val="clear"/>
            <w:vAlign w:val="center"/>
          </w:tcPr>
          <w:p>
            <w:pPr>
              <w:pStyle w:val="TableContents"/>
              <w:bidi w:val="0"/>
              <w:spacing w:before="0" w:after="1"/>
              <w:ind w:left="0" w:right="0" w:hanging="0"/>
              <w:jc w:val="left"/>
              <w:rPr/>
            </w:pPr>
            <w:r>
              <w:rPr/>
              <w:t>​</w:t>
            </w:r>
          </w:p>
        </w:tc>
        <w:tc>
          <w:tcPr>
            <w:tcW w:w="7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10,956</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3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10,963</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51" w:type="dxa"/>
            <w:tcBorders/>
            <w:shd w:fill="CCEEFF" w:val="cle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10,963</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Dividends ($0.830 per share)</w:t>
            </w:r>
          </w:p>
        </w:tc>
        <w:tc>
          <w:tcPr>
            <w:tcW w:w="326" w:type="dxa"/>
            <w:tcBorders/>
            <w:vAlign w:val="center"/>
          </w:tcPr>
          <w:p>
            <w:pPr>
              <w:pStyle w:val="TableContents"/>
              <w:bidi w:val="0"/>
              <w:spacing w:before="0" w:after="1"/>
              <w:ind w:left="0" w:right="0" w:hanging="0"/>
              <w:jc w:val="left"/>
              <w:rPr/>
            </w:pPr>
            <w:r>
              <w:rPr/>
              <w:t>​</w:t>
            </w:r>
          </w:p>
        </w:tc>
        <w:tc>
          <w:tcPr>
            <w:tcW w:w="283" w:type="dxa"/>
            <w:tcBorders/>
            <w:vAlign w:val="center"/>
          </w:tcPr>
          <w:p>
            <w:pPr>
              <w:pStyle w:val="TableContents"/>
              <w:bidi w:val="0"/>
              <w:spacing w:before="0" w:after="1"/>
              <w:ind w:left="0" w:right="0" w:hanging="0"/>
              <w:jc w:val="left"/>
              <w:rPr/>
            </w:pPr>
            <w:r>
              <w:rPr/>
              <w:t>​</w:t>
            </w:r>
          </w:p>
        </w:tc>
        <w:tc>
          <w:tcPr>
            <w:tcW w:w="54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05" w:type="dxa"/>
            <w:tcBorders/>
            <w:vAlign w:val="center"/>
          </w:tcPr>
          <w:p>
            <w:pPr>
              <w:pStyle w:val="TableContents"/>
              <w:bidi w:val="0"/>
              <w:spacing w:before="0" w:after="1"/>
              <w:ind w:left="0" w:right="0" w:hanging="0"/>
              <w:jc w:val="left"/>
              <w:rPr/>
            </w:pPr>
            <w:r>
              <w:rPr/>
              <w:t>​</w:t>
            </w:r>
          </w:p>
        </w:tc>
        <w:tc>
          <w:tcPr>
            <w:tcW w:w="726"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(11,317)</w:t>
            </w:r>
          </w:p>
        </w:tc>
        <w:tc>
          <w:tcPr>
            <w:tcW w:w="266" w:type="dxa"/>
            <w:tcBorders/>
            <w:vAlign w:val="center"/>
          </w:tcPr>
          <w:p>
            <w:pPr>
              <w:pStyle w:val="TableContents"/>
              <w:bidi w:val="0"/>
              <w:spacing w:before="0" w:after="1"/>
              <w:ind w:left="0" w:right="0" w:hanging="0"/>
              <w:jc w:val="left"/>
              <w:rPr/>
            </w:pPr>
            <w:r>
              <w:rPr/>
              <w:t>​</w:t>
            </w:r>
          </w:p>
        </w:tc>
        <w:tc>
          <w:tcPr>
            <w:tcW w:w="33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26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(11,317)</w:t>
            </w:r>
          </w:p>
        </w:tc>
        <w:tc>
          <w:tcPr>
            <w:tcW w:w="26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(1,015)</w:t>
            </w:r>
          </w:p>
        </w:tc>
        <w:tc>
          <w:tcPr>
            <w:tcW w:w="26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(12,332)</w:t>
            </w:r>
          </w:p>
        </w:tc>
      </w:tr>
      <w:tr>
        <w:trPr/>
        <w:tc>
          <w:tcPr>
            <w:tcW w:w="123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Comprehensive Loss </w:t>
            </w:r>
          </w:p>
        </w:tc>
        <w:tc>
          <w:tcPr>
            <w:tcW w:w="326" w:type="dxa"/>
            <w:tcBorders/>
            <w:shd w:fill="CCEEFF" w:val="clear"/>
            <w:vAlign w:val="center"/>
          </w:tcPr>
          <w:p>
            <w:pPr>
              <w:pStyle w:val="TableContents"/>
              <w:bidi w:val="0"/>
              <w:spacing w:before="0" w:after="1"/>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66" w:type="dxa"/>
            <w:tcBorders/>
            <w:shd w:fill="CCEEFF" w:val="clear"/>
            <w:vAlign w:val="center"/>
          </w:tcPr>
          <w:p>
            <w:pPr>
              <w:pStyle w:val="TableContents"/>
              <w:bidi w:val="0"/>
              <w:spacing w:before="0" w:after="1"/>
              <w:ind w:left="0" w:right="0" w:hanging="0"/>
              <w:jc w:val="righ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(4,634)</w:t>
            </w:r>
          </w:p>
        </w:tc>
        <w:tc>
          <w:tcPr>
            <w:tcW w:w="266" w:type="dxa"/>
            <w:tcBorders/>
            <w:shd w:fill="CCEEFF" w:val="clear"/>
            <w:vAlign w:val="center"/>
          </w:tcPr>
          <w:p>
            <w:pPr>
              <w:pStyle w:val="TableContents"/>
              <w:bidi w:val="0"/>
              <w:spacing w:before="0" w:after="1"/>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(4,634)</w:t>
            </w:r>
          </w:p>
        </w:tc>
        <w:tc>
          <w:tcPr>
            <w:tcW w:w="26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w:t>
            </w:r>
          </w:p>
        </w:tc>
        <w:tc>
          <w:tcPr>
            <w:tcW w:w="26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(5,046)</w:t>
            </w:r>
          </w:p>
        </w:tc>
      </w:tr>
      <w:tr>
        <w:trPr/>
        <w:tc>
          <w:tcPr>
            <w:tcW w:w="123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Balance September 30, 2024</w:t>
            </w:r>
          </w:p>
        </w:tc>
        <w:tc>
          <w:tcPr>
            <w:tcW w:w="326" w:type="dxa"/>
            <w:tcBorders/>
            <w:vAlign w:val="center"/>
          </w:tcPr>
          <w:p>
            <w:pPr>
              <w:pStyle w:val="TableContents"/>
              <w:bidi w:val="0"/>
              <w:spacing w:before="0" w:after="1"/>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143</w:t>
            </w:r>
          </w:p>
        </w:tc>
        <w:tc>
          <w:tcPr>
            <w:tcW w:w="266" w:type="dxa"/>
            <w:tcBorders/>
            <w:vAlign w:val="center"/>
          </w:tcPr>
          <w:p>
            <w:pPr>
              <w:pStyle w:val="TableContents"/>
              <w:bidi w:val="0"/>
              <w:spacing w:before="0" w:after="1"/>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254,110</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(10,652)</w:t>
            </w:r>
          </w:p>
        </w:tc>
        <w:tc>
          <w:tcPr>
            <w:tcW w:w="266" w:type="dxa"/>
            <w:tcBorders/>
            <w:vAlign w:val="center"/>
          </w:tcPr>
          <w:p>
            <w:pPr>
              <w:pStyle w:val="TableContents"/>
              <w:bidi w:val="0"/>
              <w:spacing w:before="0" w:after="1"/>
              <w:ind w:left="0" w:right="0" w:hanging="0"/>
              <w:jc w:val="right"/>
              <w:rPr/>
            </w:pPr>
            <w:r>
              <w:rPr/>
              <w:t>​</w:t>
            </w:r>
          </w:p>
        </w:tc>
        <w:tc>
          <w:tcPr>
            <w:tcW w:w="3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4,641</w:t>
            </w:r>
          </w:p>
        </w:tc>
        <w:tc>
          <w:tcPr>
            <w:tcW w:w="266" w:type="dxa"/>
            <w:tcBorders/>
            <w:vAlign w:val="center"/>
          </w:tcPr>
          <w:p>
            <w:pPr>
              <w:pStyle w:val="TableContents"/>
              <w:bidi w:val="0"/>
              <w:spacing w:before="0" w:after="1"/>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248,242</w:t>
            </w:r>
          </w:p>
        </w:tc>
        <w:tc>
          <w:tcPr>
            <w:tcW w:w="26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23,712</w:t>
            </w:r>
          </w:p>
        </w:tc>
        <w:tc>
          <w:tcPr>
            <w:tcW w:w="26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271,954</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September 30,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12" w:name="Tc_lE_kfWfgYUuKsIRJv7v7xw_9_20"/>
      <w:bookmarkStart w:id="613" w:name="Tc_kHtRbPXgKUKfZlTfFPeYfw_9_17"/>
      <w:bookmarkStart w:id="614" w:name="Tc_xNXdLo-nakitPsBegFCT_A_9_14"/>
      <w:bookmarkStart w:id="615" w:name="Tc_RaHakPidwUSzKvTBKNXU5Q_9_11"/>
      <w:bookmarkStart w:id="616" w:name="Tc_nCw9f7O_2ECeXW9Cuo7Nnw_9_8"/>
      <w:bookmarkStart w:id="617" w:name="Tc__bYT5bOvXECBXAaATpKBww_9_5"/>
      <w:bookmarkStart w:id="618" w:name="Tc_GeFm7Hv3eUWLUW4lVBFQ-w_9_2"/>
      <w:bookmarkStart w:id="619" w:name="Tc_DckwMOdi0k-eRup7TDm5Sg_9_0"/>
      <w:bookmarkStart w:id="620" w:name="Tc_iYys14TehEyoMrtoUfVTZw_8_18"/>
      <w:bookmarkStart w:id="621" w:name="Tc_0F1lwG9I_kuDsxZyxo3WOg_8_9"/>
      <w:bookmarkStart w:id="622" w:name="Tc_TaDvJD-vVEK2MUfQZ2TvTA_8_6"/>
      <w:bookmarkStart w:id="623" w:name="Tc_d_BqTM7ym0qwKM1Q06ca5Q_8_3"/>
      <w:bookmarkStart w:id="624" w:name="Tc_MASvGR-Ydkq7VTMMx8A3bw_8_0"/>
      <w:bookmarkStart w:id="625" w:name="Tc_9umeBdinz067SkOnwOqmlQ_7_12"/>
      <w:bookmarkStart w:id="626" w:name="Tc_qKP4Ir6bgU-lbfsmA-gqJw_7_6"/>
      <w:bookmarkStart w:id="627" w:name="Tc_Xq0FaMwTWkOkWuv3iBelyw_7_3"/>
      <w:bookmarkStart w:id="628" w:name="Tc_kurwshznLkK3N04C_d43hw_7_0"/>
      <w:bookmarkStart w:id="629" w:name="Tc_qq-HkYPpyUe_aFdG3D_neQ_6_18"/>
      <w:bookmarkStart w:id="630" w:name="Tc_CI5WNSUjckyW76L3OmDEDw_6_12"/>
      <w:bookmarkStart w:id="631" w:name="Tc_wRyL_web_U6C2bGjFV3GcA_6_9"/>
      <w:bookmarkStart w:id="632" w:name="Tc_JVcnhcHj-kOTsNf6C5ShIA_6_0"/>
      <w:bookmarkStart w:id="633" w:name="Tc_1YgQlkSkbECS1DkRE5NHBQ_5_18"/>
      <w:bookmarkStart w:id="634" w:name="Tc_3e7j28jMJkCCO4i9CRG2LQ_5_12"/>
      <w:bookmarkStart w:id="635" w:name="Tc_DBChvwy4ikOFTaUSI_BxRQ_5_9"/>
      <w:bookmarkStart w:id="636" w:name="Tc_ixDFmkn4XEKZI15kcm5ZcA_5_3"/>
      <w:bookmarkStart w:id="637" w:name="Tc_vykPE8gnuUm1_pe_68Y3Vw_5_0"/>
      <w:bookmarkStart w:id="638" w:name="Tc_R7_E5uq0jU-CYKT7BKeb8A_4_18"/>
      <w:bookmarkStart w:id="639" w:name="Tc_BLUAOcINSUi8Ejw-VkJaQQ_4_12"/>
      <w:bookmarkStart w:id="640" w:name="Tc_KrprKYEvTUWmJ_8mUaB2UA_4_9"/>
      <w:bookmarkStart w:id="641" w:name="Tc_99U9Gd6Re0Gi5BIURWzcAw_4_0"/>
      <w:bookmarkStart w:id="642" w:name="Tc_sKguyz6-vUKW0kaJRk_Brg_3_12"/>
      <w:bookmarkStart w:id="643" w:name="Tc_aGhBDg-7f0m8JS_9jzG8gA_3_6"/>
      <w:bookmarkStart w:id="644" w:name="Tc_baAwQOnRlkS2KFoFWMEqBg_3_3"/>
      <w:bookmarkStart w:id="645" w:name="Tc_cmeUCi3lWEmIHLIXB40tFg_3_0"/>
      <w:bookmarkStart w:id="646" w:name="Tc_8dOlh_BTR0-ThMj5pw87zw_2_20"/>
      <w:bookmarkStart w:id="647" w:name="Tc_SvumvQjzGUa61m_U4QGHUA_2_17"/>
      <w:bookmarkStart w:id="648" w:name="Tc_DO0frXxDvkC27H6gBScSlQ_2_14"/>
      <w:bookmarkStart w:id="649" w:name="Tc_Kgt3q94890aHEKBgU8x1Ug_2_11"/>
      <w:bookmarkStart w:id="650" w:name="Tc_LdMqZ7iMZ0aZ7LlpLco9gA_2_8"/>
      <w:bookmarkStart w:id="651" w:name="Tc_1o2cNSefqkGuD9iQ80FJKQ_2_5"/>
      <w:bookmarkStart w:id="652" w:name="Tc_UlAFaT6QQUqo4oy4OWU_aQ_2_2"/>
      <w:bookmarkStart w:id="653" w:name="Tc_k0MX3Pd56kCDITGS5A19Ow_2_0"/>
      <w:bookmarkStart w:id="654" w:name="Tc_JriiPRZPZ0GVklIYKXh8TQ_1_20"/>
      <w:bookmarkStart w:id="655" w:name="Tc_F87Q91fCBkGRDRU2eIsRIw_1_17"/>
      <w:bookmarkStart w:id="656" w:name="Tc_SzYgvdfufUyfZIgfm9GBpw_1_14"/>
      <w:bookmarkStart w:id="657" w:name="Tc_8oWdnYx5Mkye6MWo1zp5Yg_1_11"/>
      <w:bookmarkStart w:id="658" w:name="Tc_KsjKqcb-nEy07lqbxXw1DA_1_8"/>
      <w:bookmarkStart w:id="659" w:name="Tc_5rDvCYvfQUaWQ49PkGTyQQ_1_5"/>
      <w:bookmarkStart w:id="660" w:name="Tc_9gASgR39YEq5tJSw4nAC6g_1_2"/>
      <w:bookmarkStart w:id="661" w:name="_a22d80d3_eb20_4da3_9a01_8d18b9c3f485"/>
      <w:bookmarkStart w:id="662" w:name="Tc_lE_kfWfgYUuKsIRJv7v7xw_9_20"/>
      <w:bookmarkStart w:id="663" w:name="Tc_kHtRbPXgKUKfZlTfFPeYfw_9_17"/>
      <w:bookmarkStart w:id="664" w:name="Tc_xNXdLo-nakitPsBegFCT_A_9_14"/>
      <w:bookmarkStart w:id="665" w:name="Tc_RaHakPidwUSzKvTBKNXU5Q_9_11"/>
      <w:bookmarkStart w:id="666" w:name="Tc_nCw9f7O_2ECeXW9Cuo7Nnw_9_8"/>
      <w:bookmarkStart w:id="667" w:name="Tc__bYT5bOvXECBXAaATpKBww_9_5"/>
      <w:bookmarkStart w:id="668" w:name="Tc_GeFm7Hv3eUWLUW4lVBFQ-w_9_2"/>
      <w:bookmarkStart w:id="669" w:name="Tc_DckwMOdi0k-eRup7TDm5Sg_9_0"/>
      <w:bookmarkStart w:id="670" w:name="Tc_iYys14TehEyoMrtoUfVTZw_8_18"/>
      <w:bookmarkStart w:id="671" w:name="Tc_0F1lwG9I_kuDsxZyxo3WOg_8_9"/>
      <w:bookmarkStart w:id="672" w:name="Tc_TaDvJD-vVEK2MUfQZ2TvTA_8_6"/>
      <w:bookmarkStart w:id="673" w:name="Tc_d_BqTM7ym0qwKM1Q06ca5Q_8_3"/>
      <w:bookmarkStart w:id="674" w:name="Tc_MASvGR-Ydkq7VTMMx8A3bw_8_0"/>
      <w:bookmarkStart w:id="675" w:name="Tc_9umeBdinz067SkOnwOqmlQ_7_12"/>
      <w:bookmarkStart w:id="676" w:name="Tc_qKP4Ir6bgU-lbfsmA-gqJw_7_6"/>
      <w:bookmarkStart w:id="677" w:name="Tc_Xq0FaMwTWkOkWuv3iBelyw_7_3"/>
      <w:bookmarkStart w:id="678" w:name="Tc_kurwshznLkK3N04C_d43hw_7_0"/>
      <w:bookmarkStart w:id="679" w:name="Tc_qq-HkYPpyUe_aFdG3D_neQ_6_18"/>
      <w:bookmarkStart w:id="680" w:name="Tc_CI5WNSUjckyW76L3OmDEDw_6_12"/>
      <w:bookmarkStart w:id="681" w:name="Tc_wRyL_web_U6C2bGjFV3GcA_6_9"/>
      <w:bookmarkStart w:id="682" w:name="Tc_JVcnhcHj-kOTsNf6C5ShIA_6_0"/>
      <w:bookmarkStart w:id="683" w:name="Tc_1YgQlkSkbECS1DkRE5NHBQ_5_18"/>
      <w:bookmarkStart w:id="684" w:name="Tc_3e7j28jMJkCCO4i9CRG2LQ_5_12"/>
      <w:bookmarkStart w:id="685" w:name="Tc_DBChvwy4ikOFTaUSI_BxRQ_5_9"/>
      <w:bookmarkStart w:id="686" w:name="Tc_ixDFmkn4XEKZI15kcm5ZcA_5_3"/>
      <w:bookmarkStart w:id="687" w:name="Tc_vykPE8gnuUm1_pe_68Y3Vw_5_0"/>
      <w:bookmarkStart w:id="688" w:name="Tc_R7_E5uq0jU-CYKT7BKeb8A_4_18"/>
      <w:bookmarkStart w:id="689" w:name="Tc_BLUAOcINSUi8Ejw-VkJaQQ_4_12"/>
      <w:bookmarkStart w:id="690" w:name="Tc_KrprKYEvTUWmJ_8mUaB2UA_4_9"/>
      <w:bookmarkStart w:id="691" w:name="Tc_99U9Gd6Re0Gi5BIURWzcAw_4_0"/>
      <w:bookmarkStart w:id="692" w:name="Tc_sKguyz6-vUKW0kaJRk_Brg_3_12"/>
      <w:bookmarkStart w:id="693" w:name="Tc_aGhBDg-7f0m8JS_9jzG8gA_3_6"/>
      <w:bookmarkStart w:id="694" w:name="Tc_baAwQOnRlkS2KFoFWMEqBg_3_3"/>
      <w:bookmarkStart w:id="695" w:name="Tc_cmeUCi3lWEmIHLIXB40tFg_3_0"/>
      <w:bookmarkStart w:id="696" w:name="Tc_8dOlh_BTR0-ThMj5pw87zw_2_20"/>
      <w:bookmarkStart w:id="697" w:name="Tc_SvumvQjzGUa61m_U4QGHUA_2_17"/>
      <w:bookmarkStart w:id="698" w:name="Tc_DO0frXxDvkC27H6gBScSlQ_2_14"/>
      <w:bookmarkStart w:id="699" w:name="Tc_Kgt3q94890aHEKBgU8x1Ug_2_11"/>
      <w:bookmarkStart w:id="700" w:name="Tc_LdMqZ7iMZ0aZ7LlpLco9gA_2_8"/>
      <w:bookmarkStart w:id="701" w:name="Tc_1o2cNSefqkGuD9iQ80FJKQ_2_5"/>
      <w:bookmarkStart w:id="702" w:name="Tc_UlAFaT6QQUqo4oy4OWU_aQ_2_2"/>
      <w:bookmarkStart w:id="703" w:name="Tc_k0MX3Pd56kCDITGS5A19Ow_2_0"/>
      <w:bookmarkStart w:id="704" w:name="Tc_JriiPRZPZ0GVklIYKXh8TQ_1_20"/>
      <w:bookmarkStart w:id="705" w:name="Tc_F87Q91fCBkGRDRU2eIsRIw_1_17"/>
      <w:bookmarkStart w:id="706" w:name="Tc_SzYgvdfufUyfZIgfm9GBpw_1_14"/>
      <w:bookmarkStart w:id="707" w:name="Tc_8oWdnYx5Mkye6MWo1zp5Yg_1_11"/>
      <w:bookmarkStart w:id="708" w:name="Tc_KsjKqcb-nEy07lqbxXw1DA_1_8"/>
      <w:bookmarkStart w:id="709" w:name="Tc_5rDvCYvfQUaWQ49PkGTyQQ_1_5"/>
      <w:bookmarkStart w:id="710" w:name="Tc_9gASgR39YEq5tJSw4nAC6g_1_2"/>
      <w:bookmarkStart w:id="711" w:name="_a22d80d3_eb20_4da3_9a01_8d18b9c3f485"/>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tbl>
      <w:tblPr>
        <w:tblW w:w="10482" w:type="dxa"/>
        <w:jc w:val="left"/>
        <w:tblInd w:w="0" w:type="dxa"/>
        <w:tblLayout w:type="fixed"/>
        <w:tblCellMar>
          <w:top w:w="0" w:type="dxa"/>
          <w:left w:w="0" w:type="dxa"/>
          <w:bottom w:w="0" w:type="dxa"/>
          <w:right w:w="0" w:type="dxa"/>
        </w:tblCellMar>
      </w:tblPr>
      <w:tblGrid>
        <w:gridCol w:w="1231"/>
        <w:gridCol w:w="326"/>
        <w:gridCol w:w="283"/>
        <w:gridCol w:w="543"/>
        <w:gridCol w:w="266"/>
        <w:gridCol w:w="205"/>
        <w:gridCol w:w="726"/>
        <w:gridCol w:w="266"/>
        <w:gridCol w:w="196"/>
        <w:gridCol w:w="661"/>
        <w:gridCol w:w="266"/>
        <w:gridCol w:w="321"/>
        <w:gridCol w:w="985"/>
        <w:gridCol w:w="266"/>
        <w:gridCol w:w="255"/>
        <w:gridCol w:w="901"/>
        <w:gridCol w:w="266"/>
        <w:gridCol w:w="310"/>
        <w:gridCol w:w="951"/>
        <w:gridCol w:w="266"/>
        <w:gridCol w:w="196"/>
        <w:gridCol w:w="796"/>
      </w:tblGrid>
      <w:tr>
        <w:trPr/>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81685" cy="175260"/>
                      <wp:effectExtent l="0" t="0" r="0" b="0"/>
                      <wp:wrapNone/>
                      <wp:docPr id="97" name="Frame97"/>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9705" cy="175260"/>
                      <wp:effectExtent l="0" t="0" r="0" b="0"/>
                      <wp:wrapNone/>
                      <wp:docPr id="99" name="Frame99"/>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44805" cy="175260"/>
                      <wp:effectExtent l="0" t="0" r="0" b="0"/>
                      <wp:wrapNone/>
                      <wp:docPr id="100" name="Frame100"/>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8910" cy="175260"/>
                      <wp:effectExtent l="0" t="0" r="0" b="0"/>
                      <wp:wrapNone/>
                      <wp:docPr id="101" name="Frame1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0175" cy="175260"/>
                      <wp:effectExtent l="0" t="0" r="0" b="0"/>
                      <wp:wrapNone/>
                      <wp:docPr id="102" name="Frame102"/>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61010" cy="175260"/>
                      <wp:effectExtent l="0" t="0" r="0" b="0"/>
                      <wp:wrapNone/>
                      <wp:docPr id="103" name="Frame103"/>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8910" cy="175260"/>
                      <wp:effectExtent l="0" t="0" r="0" b="0"/>
                      <wp:wrapNone/>
                      <wp:docPr id="104" name="Frame1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19735" cy="175260"/>
                      <wp:effectExtent l="0" t="0" r="0" b="0"/>
                      <wp:wrapNone/>
                      <wp:docPr id="106" name="Frame10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8910" cy="175260"/>
                      <wp:effectExtent l="0" t="0" r="0" b="0"/>
                      <wp:wrapNone/>
                      <wp:docPr id="107" name="Frame1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3835" cy="175260"/>
                      <wp:effectExtent l="0" t="0" r="0" b="0"/>
                      <wp:wrapNone/>
                      <wp:docPr id="108" name="Frame10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25475" cy="175260"/>
                      <wp:effectExtent l="0" t="0" r="0" b="0"/>
                      <wp:wrapNone/>
                      <wp:docPr id="109" name="Frame109"/>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68910" cy="175260"/>
                      <wp:effectExtent l="0" t="0" r="0" b="0"/>
                      <wp:wrapNone/>
                      <wp:docPr id="110" name="Frame11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1925" cy="175260"/>
                      <wp:effectExtent l="0" t="0" r="0" b="0"/>
                      <wp:wrapNone/>
                      <wp:docPr id="111" name="Frame11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72135" cy="175260"/>
                      <wp:effectExtent l="0" t="0" r="0" b="0"/>
                      <wp:wrapNone/>
                      <wp:docPr id="112" name="Frame11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68910" cy="175260"/>
                      <wp:effectExtent l="0" t="0" r="0" b="0"/>
                      <wp:wrapNone/>
                      <wp:docPr id="113" name="Frame11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96850" cy="175260"/>
                      <wp:effectExtent l="0" t="0" r="0" b="0"/>
                      <wp:wrapNone/>
                      <wp:docPr id="114" name="Frame11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03885" cy="175260"/>
                      <wp:effectExtent l="0" t="0" r="0" b="0"/>
                      <wp:wrapNone/>
                      <wp:docPr id="115" name="Frame115"/>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68910" cy="175260"/>
                      <wp:effectExtent l="0" t="0" r="0" b="0"/>
                      <wp:wrapNone/>
                      <wp:docPr id="116" name="Frame11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05460" cy="175260"/>
                      <wp:effectExtent l="0" t="0" r="0" b="0"/>
                      <wp:wrapNone/>
                      <wp:docPr id="118" name="Frame1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Common Stock at Par</w:t>
            </w:r>
          </w:p>
        </w:tc>
        <w:tc>
          <w:tcPr>
            <w:tcW w:w="266" w:type="dxa"/>
            <w:tcBorders/>
            <w:vAlign w:val="center"/>
          </w:tcPr>
          <w:p>
            <w:pPr>
              <w:pStyle w:val="TableContents"/>
              <w:bidi w:val="0"/>
              <w:spacing w:before="0" w:after="0"/>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Additional Paid-in Capital</w:t>
            </w:r>
          </w:p>
        </w:tc>
        <w:tc>
          <w:tcPr>
            <w:tcW w:w="266" w:type="dxa"/>
            <w:tcBorders/>
            <w:vAlign w:val="center"/>
          </w:tcPr>
          <w:p>
            <w:pPr>
              <w:pStyle w:val="TableContents"/>
              <w:bidi w:val="0"/>
              <w:spacing w:before="0" w:after="0"/>
              <w:ind w:left="0" w:right="0" w:hanging="0"/>
              <w:jc w:val="center"/>
              <w:rPr/>
            </w:pPr>
            <w:r>
              <w:rPr/>
              <w:t>   </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Retained Earnings</w:t>
            </w:r>
          </w:p>
        </w:tc>
        <w:tc>
          <w:tcPr>
            <w:tcW w:w="266" w:type="dxa"/>
            <w:tcBorders/>
            <w:vAlign w:val="center"/>
          </w:tcPr>
          <w:p>
            <w:pPr>
              <w:pStyle w:val="TableContents"/>
              <w:bidi w:val="0"/>
              <w:spacing w:before="0" w:after="0"/>
              <w:ind w:left="0" w:right="0" w:hanging="0"/>
              <w:jc w:val="center"/>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Accumulated Other Comprehensive Income</w:t>
            </w:r>
          </w:p>
        </w:tc>
        <w:tc>
          <w:tcPr>
            <w:tcW w:w="266" w:type="dxa"/>
            <w:tcBorders/>
            <w:vAlign w:val="center"/>
          </w:tcPr>
          <w:p>
            <w:pPr>
              <w:pStyle w:val="TableContents"/>
              <w:bidi w:val="0"/>
              <w:spacing w:before="0" w:after="0"/>
              <w:ind w:left="0" w:right="0" w:hanging="0"/>
              <w:jc w:val="center"/>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Stockholders' Equity</w:t>
            </w:r>
          </w:p>
        </w:tc>
        <w:tc>
          <w:tcPr>
            <w:tcW w:w="26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Noncontrolling Interest</w:t>
            </w:r>
          </w:p>
        </w:tc>
        <w:tc>
          <w:tcPr>
            <w:tcW w:w="26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Total Equity</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236,841</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10,042</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14,601</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261,618</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33,757</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295,375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2,582</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2,582</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2,896</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Repurchases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(5,073)</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(5,076)</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(5,076)</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to Directors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 Issuance, Net of Equity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12,308</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12,315</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12,315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($0.825 per share)</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(11,549)</w:t>
            </w:r>
          </w:p>
        </w:tc>
        <w:tc>
          <w:tcPr>
            <w:tcW w:w="266" w:type="dxa"/>
            <w:tcBorders/>
            <w:vAlign w:val="center"/>
          </w:tcPr>
          <w:p>
            <w:pPr>
              <w:pStyle w:val="TableContents"/>
              <w:bidi w:val="0"/>
              <w:spacing w:before="0" w:after="0"/>
              <w:ind w:left="0" w:right="0" w:hanging="0"/>
              <w:jc w:val="right"/>
              <w:rPr/>
            </w:pPr>
            <w:r>
              <w:rPr/>
              <w:t>​</w:t>
            </w:r>
          </w:p>
        </w:tc>
        <w:tc>
          <w:tcPr>
            <w:tcW w:w="321"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(11,549)</w:t>
            </w:r>
          </w:p>
        </w:tc>
        <w:tc>
          <w:tcPr>
            <w:tcW w:w="26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(1,405)</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(12,954)</w:t>
            </w:r>
          </w:p>
        </w:tc>
      </w:tr>
      <w:tr>
        <w:trPr/>
        <w:tc>
          <w:tcPr>
            <w:tcW w:w="123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w:t>
            </w:r>
          </w:p>
        </w:tc>
        <w:tc>
          <w:tcPr>
            <w:tcW w:w="26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w:t>
            </w:r>
          </w:p>
        </w:tc>
        <w:tc>
          <w:tcPr>
            <w:tcW w:w="26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3,105</w:t>
            </w:r>
          </w:p>
        </w:tc>
      </w:tr>
      <w:tr>
        <w:trPr/>
        <w:tc>
          <w:tcPr>
            <w:tcW w:w="1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September 30, 2023</w:t>
            </w:r>
          </w:p>
        </w:tc>
        <w:tc>
          <w:tcPr>
            <w:tcW w:w="326"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w:t>
            </w:r>
          </w:p>
        </w:tc>
        <w:tc>
          <w:tcPr>
            <w:tcW w:w="266"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244,300</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w:t>
            </w:r>
          </w:p>
        </w:tc>
        <w:tc>
          <w:tcPr>
            <w:tcW w:w="26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17,706</w:t>
            </w:r>
          </w:p>
        </w:tc>
        <w:tc>
          <w:tcPr>
            <w:tcW w:w="26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263,219</w:t>
            </w:r>
          </w:p>
        </w:tc>
        <w:tc>
          <w:tcPr>
            <w:tcW w:w="26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32,666</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295,885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712" w:name="_28558718_cfea_4bf9_bae3_752e0b235062"/>
      <w:bookmarkEnd w:id="712"/>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bookmarkStart w:id="713" w:name="CONSOLIDATEDSTATEMENTSOFCASHFLOWS_91955"/>
      <w:bookmarkEnd w:id="713"/>
      <w:r>
        <w:rPr>
          <w:rFonts w:ascii="Times New Roman;Times;serif" w:hAnsi="Times New Roman;Times;serif"/>
          <w:sz w:val="20"/>
        </w:rPr>
        <w:t>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14" w:name="Tc_8x_wABQ4xUeD79d7_eWEYQ_41_5"/>
      <w:bookmarkStart w:id="715" w:name="Tc_elEQfRNxPECwNtnvNd98mA_41_2"/>
      <w:bookmarkStart w:id="716" w:name="Tc_wz0FbCzbtU2VTKZnFv13wQ_41_0"/>
      <w:bookmarkStart w:id="717" w:name="Tc_V7CHmx1NTEutTw9dz83Xkg_40_0"/>
      <w:bookmarkStart w:id="718" w:name="Tc_BwJ6eb4ufU-1b7F6HXLBWg_39_5"/>
      <w:bookmarkStart w:id="719" w:name="Tc_b_fZMe8QYkipks1VoxG6rw_39_2"/>
      <w:bookmarkStart w:id="720" w:name="Tc_8L8UlsdYc06IDlfa33ct5Q_39_0"/>
      <w:bookmarkStart w:id="721" w:name="Tc_7FivbyeSTkuTb3z9Nh-DHQ_38_0"/>
      <w:bookmarkStart w:id="722" w:name="Tc_oc2x1lntDUGfkF6_4XQVCw_36_5"/>
      <w:bookmarkStart w:id="723" w:name="Tc_95pkgMcIRUy4C1o-H6PQnQ_36_2"/>
      <w:bookmarkStart w:id="724" w:name="Tc_V8MObKn4qEmwtk5dAgHjXg_36_0"/>
      <w:bookmarkStart w:id="725" w:name="Tc_lcr2jZEYvUykuYOOi4V-_g_35_0"/>
      <w:bookmarkStart w:id="726" w:name="Tc_l8S6r8aitUCUaI7Usn2O8A_34_0"/>
      <w:bookmarkStart w:id="727" w:name="Tc_lXQjwi3qdE2JCvizRoH0ww_33_0"/>
      <w:bookmarkStart w:id="728" w:name="Tc_g3nVMKVEMki1xkxSdcr7-Q_32_0"/>
      <w:bookmarkStart w:id="729" w:name="Tc_ZD28V_3JTkeXUexgLRLajQ_31_0"/>
      <w:bookmarkStart w:id="730" w:name="Tc_M95EXTnZP0SvXq9-jJLKHA_30_0"/>
      <w:bookmarkStart w:id="731" w:name="Tc_y0rcYLk_QE6zKJDnj2XrRA_29_0"/>
      <w:bookmarkStart w:id="732" w:name="Tc_9l6dR4vKAUm5BnamsR6JJw_28_0"/>
      <w:bookmarkStart w:id="733" w:name="Tc_uoXMHOPUjEyPAVla-mK_gA_27_0"/>
      <w:bookmarkStart w:id="734" w:name="Tc_agipVL9p4EG7j7TYYL6fzA_26_0"/>
      <w:bookmarkStart w:id="735" w:name="Tc_K3g835WOwUGtyVKDvxEEBQ_25_0"/>
      <w:bookmarkStart w:id="736" w:name="Tc_KM7s9-x3m0-2e4gp0dJflw_24_6"/>
      <w:bookmarkStart w:id="737" w:name="Tc_U_0h5z69Zk2dYUAh42t-NQ_24_0"/>
      <w:bookmarkStart w:id="738" w:name="Tc_Y5jDNapdpE-mftPfGyPg1A_23_0"/>
      <w:bookmarkStart w:id="739" w:name="Tc_EWtLZ4PFVEOZKVUNXvzP9w_22_0"/>
      <w:bookmarkStart w:id="740" w:name="Tc_SDn5XuPzekWHoZ-SUb0qsA_21_0"/>
      <w:bookmarkStart w:id="741" w:name="Tc_dAFBkF_fh0eH19hkNUXL1A_20_0"/>
      <w:bookmarkStart w:id="742" w:name="Tc_M7DSm2e6zUOIpeRQES_W1A_19_0"/>
      <w:bookmarkStart w:id="743" w:name="Tc_345XXgXPxE2RT77k9DMnfQ_18_0"/>
      <w:bookmarkStart w:id="744" w:name="Tc_FqAVFsmaf06uMnrHYX1evQ_17_0"/>
      <w:bookmarkStart w:id="745" w:name="Tc_FVuBFOFrZ0iuLb69j7gBAA_16_0"/>
      <w:bookmarkStart w:id="746" w:name="Tc_j4W_Pr2SuEKDn6-lY5wgVg_15_0"/>
      <w:bookmarkStart w:id="747" w:name="Tc_AcBRoLd_kkGdeTDD_AOBGg_14_0"/>
      <w:bookmarkStart w:id="748" w:name="Tc_HXcDkZkAb0u79hbwBFC4TA_13_0"/>
      <w:bookmarkStart w:id="749" w:name="Tc_AW_UW67WMk2WK5xRn9FgZQ_12_0"/>
      <w:bookmarkStart w:id="750" w:name="Tc_xKXgX5ISw0egBsYxxlnBKg_11_0"/>
      <w:bookmarkStart w:id="751" w:name="Tc_r-_IGXjDZ0OVgp-GDw-ZQQ_10_0"/>
      <w:bookmarkStart w:id="752" w:name="Tc_7s9ZjOSc-0-xiDmFZK0uVw_9_0"/>
      <w:bookmarkStart w:id="753" w:name="Tc_hiZ_XsHsyUW41L0_OufYaA_8_0"/>
      <w:bookmarkStart w:id="754" w:name="Tc_IcVz2BuHo0qgLmZZfc-1BQ_7_0"/>
      <w:bookmarkStart w:id="755" w:name="Tc_gyrOsR_RxkKeiC-e5t_RXw_6_0"/>
      <w:bookmarkStart w:id="756" w:name="Tc_jYFtX376GU-QPfPnoinV-Q_5_0"/>
      <w:bookmarkStart w:id="757" w:name="Tc_YtcM3rC-IUicPLScrY4Y4A_4_5"/>
      <w:bookmarkStart w:id="758" w:name="Tc_N_AWMXdaAEeRCxdWhSOHiA_4_2"/>
      <w:bookmarkStart w:id="759" w:name="Tc_cpFMCQ43bEu_8RWAubtbfg_4_0"/>
      <w:bookmarkStart w:id="760" w:name="Tc_QBOIH7xa7EKHoWWFo-eruA_3_0"/>
      <w:bookmarkStart w:id="761" w:name="Tc_X_eRmaVdY0OJc7FM1_iaNQ_2_5"/>
      <w:bookmarkStart w:id="762" w:name="Tc_MIgKN5FOVkWVMwcZM1m9pQ_2_2"/>
      <w:bookmarkStart w:id="763" w:name="Tc_qXhrzrvGEUyvaObmr46EFw_1_2"/>
      <w:bookmarkStart w:id="764" w:name="_476ce37f_80b5_4f3e_9fc4_fdcfd2eeb5fc"/>
      <w:bookmarkStart w:id="765" w:name="Tc_8x_wABQ4xUeD79d7_eWEYQ_41_5"/>
      <w:bookmarkStart w:id="766" w:name="Tc_elEQfRNxPECwNtnvNd98mA_41_2"/>
      <w:bookmarkStart w:id="767" w:name="Tc_wz0FbCzbtU2VTKZnFv13wQ_41_0"/>
      <w:bookmarkStart w:id="768" w:name="Tc_V7CHmx1NTEutTw9dz83Xkg_40_0"/>
      <w:bookmarkStart w:id="769" w:name="Tc_BwJ6eb4ufU-1b7F6HXLBWg_39_5"/>
      <w:bookmarkStart w:id="770" w:name="Tc_b_fZMe8QYkipks1VoxG6rw_39_2"/>
      <w:bookmarkStart w:id="771" w:name="Tc_8L8UlsdYc06IDlfa33ct5Q_39_0"/>
      <w:bookmarkStart w:id="772" w:name="Tc_7FivbyeSTkuTb3z9Nh-DHQ_38_0"/>
      <w:bookmarkStart w:id="773" w:name="Tc_oc2x1lntDUGfkF6_4XQVCw_36_5"/>
      <w:bookmarkStart w:id="774" w:name="Tc_95pkgMcIRUy4C1o-H6PQnQ_36_2"/>
      <w:bookmarkStart w:id="775" w:name="Tc_V8MObKn4qEmwtk5dAgHjXg_36_0"/>
      <w:bookmarkStart w:id="776" w:name="Tc_lcr2jZEYvUykuYOOi4V-_g_35_0"/>
      <w:bookmarkStart w:id="777" w:name="Tc_l8S6r8aitUCUaI7Usn2O8A_34_0"/>
      <w:bookmarkStart w:id="778" w:name="Tc_lXQjwi3qdE2JCvizRoH0ww_33_0"/>
      <w:bookmarkStart w:id="779" w:name="Tc_g3nVMKVEMki1xkxSdcr7-Q_32_0"/>
      <w:bookmarkStart w:id="780" w:name="Tc_ZD28V_3JTkeXUexgLRLajQ_31_0"/>
      <w:bookmarkStart w:id="781" w:name="Tc_M95EXTnZP0SvXq9-jJLKHA_30_0"/>
      <w:bookmarkStart w:id="782" w:name="Tc_y0rcYLk_QE6zKJDnj2XrRA_29_0"/>
      <w:bookmarkStart w:id="783" w:name="Tc_9l6dR4vKAUm5BnamsR6JJw_28_0"/>
      <w:bookmarkStart w:id="784" w:name="Tc_uoXMHOPUjEyPAVla-mK_gA_27_0"/>
      <w:bookmarkStart w:id="785" w:name="Tc_agipVL9p4EG7j7TYYL6fzA_26_0"/>
      <w:bookmarkStart w:id="786" w:name="Tc_K3g835WOwUGtyVKDvxEEBQ_25_0"/>
      <w:bookmarkStart w:id="787" w:name="Tc_KM7s9-x3m0-2e4gp0dJflw_24_6"/>
      <w:bookmarkStart w:id="788" w:name="Tc_U_0h5z69Zk2dYUAh42t-NQ_24_0"/>
      <w:bookmarkStart w:id="789" w:name="Tc_Y5jDNapdpE-mftPfGyPg1A_23_0"/>
      <w:bookmarkStart w:id="790" w:name="Tc_EWtLZ4PFVEOZKVUNXvzP9w_22_0"/>
      <w:bookmarkStart w:id="791" w:name="Tc_SDn5XuPzekWHoZ-SUb0qsA_21_0"/>
      <w:bookmarkStart w:id="792" w:name="Tc_dAFBkF_fh0eH19hkNUXL1A_20_0"/>
      <w:bookmarkStart w:id="793" w:name="Tc_M7DSm2e6zUOIpeRQES_W1A_19_0"/>
      <w:bookmarkStart w:id="794" w:name="Tc_345XXgXPxE2RT77k9DMnfQ_18_0"/>
      <w:bookmarkStart w:id="795" w:name="Tc_FqAVFsmaf06uMnrHYX1evQ_17_0"/>
      <w:bookmarkStart w:id="796" w:name="Tc_FVuBFOFrZ0iuLb69j7gBAA_16_0"/>
      <w:bookmarkStart w:id="797" w:name="Tc_j4W_Pr2SuEKDn6-lY5wgVg_15_0"/>
      <w:bookmarkStart w:id="798" w:name="Tc_AcBRoLd_kkGdeTDD_AOBGg_14_0"/>
      <w:bookmarkStart w:id="799" w:name="Tc_HXcDkZkAb0u79hbwBFC4TA_13_0"/>
      <w:bookmarkStart w:id="800" w:name="Tc_AW_UW67WMk2WK5xRn9FgZQ_12_0"/>
      <w:bookmarkStart w:id="801" w:name="Tc_xKXgX5ISw0egBsYxxlnBKg_11_0"/>
      <w:bookmarkStart w:id="802" w:name="Tc_r-_IGXjDZ0OVgp-GDw-ZQQ_10_0"/>
      <w:bookmarkStart w:id="803" w:name="Tc_7s9ZjOSc-0-xiDmFZK0uVw_9_0"/>
      <w:bookmarkStart w:id="804" w:name="Tc_hiZ_XsHsyUW41L0_OufYaA_8_0"/>
      <w:bookmarkStart w:id="805" w:name="Tc_IcVz2BuHo0qgLmZZfc-1BQ_7_0"/>
      <w:bookmarkStart w:id="806" w:name="Tc_gyrOsR_RxkKeiC-e5t_RXw_6_0"/>
      <w:bookmarkStart w:id="807" w:name="Tc_jYFtX376GU-QPfPnoinV-Q_5_0"/>
      <w:bookmarkStart w:id="808" w:name="Tc_YtcM3rC-IUicPLScrY4Y4A_4_5"/>
      <w:bookmarkStart w:id="809" w:name="Tc_N_AWMXdaAEeRCxdWhSOHiA_4_2"/>
      <w:bookmarkStart w:id="810" w:name="Tc_cpFMCQ43bEu_8RWAubtbfg_4_0"/>
      <w:bookmarkStart w:id="811" w:name="Tc_QBOIH7xa7EKHoWWFo-eruA_3_0"/>
      <w:bookmarkStart w:id="812" w:name="Tc_X_eRmaVdY0OJc7FM1_iaNQ_2_5"/>
      <w:bookmarkStart w:id="813" w:name="Tc_MIgKN5FOVkWVMwcZM1m9pQ_2_2"/>
      <w:bookmarkStart w:id="814" w:name="Tc_qXhrzrvGEUyvaObmr46EFw_1_2"/>
      <w:bookmarkStart w:id="815" w:name="_476ce37f_80b5_4f3e_9fc4_fdcfd2eeb5fc"/>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tbl>
      <w:tblPr>
        <w:tblW w:w="9294" w:type="dxa"/>
        <w:jc w:val="left"/>
        <w:tblInd w:w="0" w:type="dxa"/>
        <w:tblLayout w:type="fixed"/>
        <w:tblCellMar>
          <w:top w:w="0" w:type="dxa"/>
          <w:left w:w="0" w:type="dxa"/>
          <w:bottom w:w="0" w:type="dxa"/>
          <w:right w:w="0" w:type="dxa"/>
        </w:tblCellMar>
      </w:tblPr>
      <w:tblGrid>
        <w:gridCol w:w="5941"/>
        <w:gridCol w:w="109"/>
        <w:gridCol w:w="352"/>
        <w:gridCol w:w="1193"/>
        <w:gridCol w:w="109"/>
        <w:gridCol w:w="344"/>
        <w:gridCol w:w="1246"/>
      </w:tblGrid>
      <w:tr>
        <w:trPr/>
        <w:tc>
          <w:tcPr>
            <w:tcW w:w="5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3520" cy="175260"/>
                      <wp:effectExtent l="0" t="0" r="0" b="0"/>
                      <wp:wrapNone/>
                      <wp:docPr id="120" name="Frame12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57555" cy="175260"/>
                      <wp:effectExtent l="0" t="0" r="0" b="0"/>
                      <wp:wrapNone/>
                      <wp:docPr id="121" name="Frame121"/>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8440" cy="175260"/>
                      <wp:effectExtent l="0" t="0" r="0" b="0"/>
                      <wp:wrapNone/>
                      <wp:docPr id="123" name="Frame123"/>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791210" cy="175260"/>
                      <wp:effectExtent l="0" t="0" r="0" b="0"/>
                      <wp:wrapNone/>
                      <wp:docPr id="124" name="Frame12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Nine Months Ended</w:t>
            </w:r>
          </w:p>
        </w:tc>
      </w:tr>
      <w:tr>
        <w:trPr/>
        <w:tc>
          <w:tcPr>
            <w:tcW w:w="5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109" w:type="dxa"/>
            <w:tcBorders/>
            <w:vAlign w:val="center"/>
          </w:tcPr>
          <w:p>
            <w:pPr>
              <w:pStyle w:val="TableContents"/>
              <w:bidi w:val="0"/>
              <w:spacing w:before="0" w:after="0"/>
              <w:ind w:left="0" w:right="0" w:hanging="0"/>
              <w:jc w:val="center"/>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right"/>
              <w:rPr/>
            </w:pPr>
            <w:r>
              <w:rPr/>
              <w:t>​</w:t>
            </w:r>
          </w:p>
        </w:tc>
        <w:tc>
          <w:tcPr>
            <w:tcW w:w="11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righ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3,293</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19,074</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19,286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Intangible Lease Assets and Liabilities to 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Amortization of Deferred Financing Costs to Interest Expense </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540</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530</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(4,344)</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(7,782)</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Compensation</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Decrease (Increase) in Assets: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(370)</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Increase (Decrease) in Liabilities: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 Accrued Expenses, and Other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1,179</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Rent and Deferred Revenue</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21,005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18,744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Investing Activities: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Real Estate, Including Capitalized Expenditures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(22,523)</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(81,395)</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Disposition of Assets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53,702</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97,919</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(52,993)</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Received on Commercial Loan Investments</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14,292</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(7,522)</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Flow from Financing Activities: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67,900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Payments on Long-Term Debt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(64,900)</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(23,000)</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Loan Fees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Stock</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(775)</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(5,076)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Issuance, Net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10,963</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12,315</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Dividends Paid</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(12,332)</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(12,954)</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841</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(24,011)</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in Cash and Cash Equivalents</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14,324</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4,387</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13,731</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13,044</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and Restricted Cash, End of Period</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28,055</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17,431</w:t>
            </w:r>
          </w:p>
        </w:tc>
      </w:tr>
      <w:tr>
        <w:trPr/>
        <w:tc>
          <w:tcPr>
            <w:tcW w:w="5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119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Reconciliation of Cash to the Consolidated Balance Sheets: </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119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2,560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6,265</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25,495</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Cash</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28,055</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17,431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ALPINE INCOME PROPERTY TRUST,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CONSOLIDATED STATEMENTS OF CASH FLOWS (Continued)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16" w:name="Tc_i2QyS6okAUm733YVOvx7PA_7_5"/>
      <w:bookmarkStart w:id="817" w:name="Tc__yM9Q8MFA0qmFAQ1uvcXGQ_7_2"/>
      <w:bookmarkStart w:id="818" w:name="Tc_zW5hgQn2E0m-w0WInH755g_6_0"/>
      <w:bookmarkStart w:id="819" w:name="Tc_qRUsZLoi6EiLX7ewl8rlEA_4_5"/>
      <w:bookmarkStart w:id="820" w:name="Tc_ekb-nicjtUSQT7wrj1K_jg_4_2"/>
      <w:bookmarkStart w:id="821" w:name="Tc_udlkabxgJ0umfY99ibJkpg_4_0"/>
      <w:bookmarkStart w:id="822" w:name="Tc_uPRw_ufog0Oqce7Nl0aS5w_3_0"/>
      <w:bookmarkStart w:id="823" w:name="Tc_XKtEErMQhk2N1AAV-Y879A_2_5"/>
      <w:bookmarkStart w:id="824" w:name="Tc_tITr2CNeVUC3HmXl7iBYcQ_2_2"/>
      <w:bookmarkStart w:id="825" w:name="Tc_rJtVBjDz1k-s4sarqkkmSw_1_2"/>
      <w:bookmarkStart w:id="826" w:name="_4d046adb_13d4_4bcd_9aec_34a9f4e37be9"/>
      <w:bookmarkStart w:id="827" w:name="Tc_i2QyS6okAUm733YVOvx7PA_7_5"/>
      <w:bookmarkStart w:id="828" w:name="Tc__yM9Q8MFA0qmFAQ1uvcXGQ_7_2"/>
      <w:bookmarkStart w:id="829" w:name="Tc_zW5hgQn2E0m-w0WInH755g_6_0"/>
      <w:bookmarkStart w:id="830" w:name="Tc_qRUsZLoi6EiLX7ewl8rlEA_4_5"/>
      <w:bookmarkStart w:id="831" w:name="Tc_ekb-nicjtUSQT7wrj1K_jg_4_2"/>
      <w:bookmarkStart w:id="832" w:name="Tc_udlkabxgJ0umfY99ibJkpg_4_0"/>
      <w:bookmarkStart w:id="833" w:name="Tc_uPRw_ufog0Oqce7Nl0aS5w_3_0"/>
      <w:bookmarkStart w:id="834" w:name="Tc_XKtEErMQhk2N1AAV-Y879A_2_5"/>
      <w:bookmarkStart w:id="835" w:name="Tc_tITr2CNeVUC3HmXl7iBYcQ_2_2"/>
      <w:bookmarkStart w:id="836" w:name="Tc_rJtVBjDz1k-s4sarqkkmSw_1_2"/>
      <w:bookmarkStart w:id="837" w:name="_4d046adb_13d4_4bcd_9aec_34a9f4e37be9"/>
      <w:bookmarkEnd w:id="827"/>
      <w:bookmarkEnd w:id="828"/>
      <w:bookmarkEnd w:id="829"/>
      <w:bookmarkEnd w:id="830"/>
      <w:bookmarkEnd w:id="831"/>
      <w:bookmarkEnd w:id="832"/>
      <w:bookmarkEnd w:id="833"/>
      <w:bookmarkEnd w:id="834"/>
      <w:bookmarkEnd w:id="835"/>
      <w:bookmarkEnd w:id="836"/>
      <w:bookmarkEnd w:id="837"/>
    </w:p>
    <w:tbl>
      <w:tblPr>
        <w:tblW w:w="8619" w:type="dxa"/>
        <w:jc w:val="left"/>
        <w:tblInd w:w="0" w:type="dxa"/>
        <w:tblLayout w:type="fixed"/>
        <w:tblCellMar>
          <w:top w:w="0" w:type="dxa"/>
          <w:left w:w="0" w:type="dxa"/>
          <w:bottom w:w="0" w:type="dxa"/>
          <w:right w:w="0" w:type="dxa"/>
        </w:tblCellMar>
      </w:tblPr>
      <w:tblGrid>
        <w:gridCol w:w="5266"/>
        <w:gridCol w:w="109"/>
        <w:gridCol w:w="394"/>
        <w:gridCol w:w="1151"/>
        <w:gridCol w:w="109"/>
        <w:gridCol w:w="383"/>
        <w:gridCol w:w="1207"/>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343910" cy="175260"/>
                      <wp:effectExtent l="0" t="0" r="0" b="0"/>
                      <wp:wrapNone/>
                      <wp:docPr id="125" name="Frame125"/>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50190" cy="175260"/>
                      <wp:effectExtent l="0" t="0" r="0" b="0"/>
                      <wp:wrapNone/>
                      <wp:docPr id="127" name="Frame12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30885" cy="175260"/>
                      <wp:effectExtent l="0" t="0" r="0" b="0"/>
                      <wp:wrapNone/>
                      <wp:docPr id="128" name="Frame128"/>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43205" cy="175260"/>
                      <wp:effectExtent l="0" t="0" r="0" b="0"/>
                      <wp:wrapNone/>
                      <wp:docPr id="130" name="Frame130"/>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66445" cy="175260"/>
                      <wp:effectExtent l="0" t="0" r="0" b="0"/>
                      <wp:wrapNone/>
                      <wp:docPr id="131" name="Frame131"/>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r>
      <w:tr>
        <w:trPr/>
        <w:tc>
          <w:tcPr>
            <w:tcW w:w="52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Cash Flow Information: </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1207"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8,996</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2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6,924</w:t>
            </w:r>
          </w:p>
        </w:tc>
      </w:tr>
      <w:tr>
        <w:trPr/>
        <w:tc>
          <w:tcPr>
            <w:tcW w:w="526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pPr>
            <w:r>
              <w:rPr/>
              <w:t>​</w:t>
            </w:r>
          </w:p>
        </w:tc>
        <w:tc>
          <w:tcPr>
            <w:tcW w:w="11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pPr>
            <w:r>
              <w:rPr/>
              <w:t>​</w:t>
            </w:r>
          </w:p>
        </w:tc>
        <w:tc>
          <w:tcPr>
            <w:tcW w:w="1207"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Supplemental Disclosure of Non-Cash Investing and Financing Activities: </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right"/>
              <w:rPr/>
            </w:pPr>
            <w:r>
              <w:rPr/>
              <w:t>​</w:t>
            </w:r>
          </w:p>
        </w:tc>
        <w:tc>
          <w:tcPr>
            <w:tcW w:w="1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righ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Unrealized Gain (Loss) on Cash Flow Hedge</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(5,046)</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1207" w:type="dxa"/>
            <w:tcBorders/>
            <w:shd w:fill="CCEEFF" w:val="cle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38" w:name="_3cffe46b_0fd7_46e8_a4f1_a81882c90b4a"/>
      <w:bookmarkEnd w:id="838"/>
      <w:r>
        <w:rPr>
          <w:rFonts w:ascii="Times New Roman;Times;serif" w:hAnsi="Times New Roman;Times;serif"/>
          <w:b/>
          <w:sz w:val="20"/>
        </w:rPr>
        <w:t>NOTES TO CONSOLIDATED FINANCIAL STATEMENTS (UNAUDITED)</w:t>
      </w:r>
    </w:p>
    <w:p>
      <w:pPr>
        <w:pStyle w:val="TextBody"/>
        <w:bidi w:val="0"/>
        <w:spacing w:before="0" w:after="240"/>
        <w:ind w:left="0" w:right="0" w:hanging="0"/>
        <w:jc w:val="left"/>
        <w:rPr>
          <w:rFonts w:ascii="Times New Roman;Times;serif" w:hAnsi="Times New Roman;Times;serif"/>
          <w:b/>
          <w:sz w:val="20"/>
        </w:rPr>
      </w:pPr>
      <w:bookmarkStart w:id="839" w:name="NOTESTOCONSOLIDATEDFINANCIALSTATEMENTSUN"/>
      <w:bookmarkEnd w:id="839"/>
      <w:r>
        <w:rPr>
          <w:rFonts w:ascii="Times New Roman;Times;serif" w:hAnsi="Times New Roman;Times;serif"/>
          <w:b/>
          <w:sz w:val="20"/>
        </w:rPr>
        <w:t>NOTE 1. BUSINESS AND ORGANIZATION</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BUSINESS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property portfolio consists of 133 net leased properties located in 34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As more fully described in Note 4, “Commercial Loans and Investments,” the three Tampa Properties (defined in Note 4 below), which were purchased during the three months ended September 30,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operates in two primary business segments: income properties and commercial loans and investments.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ORGANIZATION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September 30, 2024, we have a total ownership interest in the Operating Partnership of 92.1%, with CTO holding, directly and indirectly, a 7.9%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 </w:t>
      </w:r>
      <w:r>
        <w:rPr>
          <w:rFonts w:ascii="Times New Roman;Times;serif" w:hAnsi="Times New Roman;Times;serif"/>
          <w:sz w:val="20"/>
        </w:rPr>
        <w:t xml:space="preserve">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SUMMARY OF SIGNIFICANT ACCOUNTING POLICIES</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PRINCIPLES OF CONSOLIDATION</w:t>
      </w:r>
    </w:p>
    <w:p>
      <w:pPr>
        <w:pStyle w:val="TextBody"/>
        <w:bidi w:val="0"/>
        <w:spacing w:before="0" w:after="0"/>
        <w:ind w:left="245" w:right="0" w:hanging="0"/>
        <w:jc w:val="left"/>
        <w:rPr/>
      </w:pPr>
      <w:r>
        <w:rPr/>
        <w:t> </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pStyle w:val="TextBody"/>
        <w:bidi w:val="0"/>
        <w:spacing w:lineRule="auto" w:line="280" w:before="0" w:after="0"/>
        <w:ind w:left="0" w:right="0" w:hanging="0"/>
        <w:jc w:val="both"/>
        <w:rPr/>
      </w:pPr>
      <w:r>
        <w:rPr/>
        <w:t>​</w:t>
      </w:r>
    </w:p>
    <w:p>
      <w:pPr>
        <w:pStyle w:val="TextBody"/>
        <w:bidi w:val="0"/>
        <w:spacing w:lineRule="auto" w:line="280" w:before="0" w:after="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lineRule="auto" w:line="280" w:before="0" w:after="0"/>
        <w:ind w:left="245" w:right="0" w:hanging="0"/>
        <w:jc w:val="both"/>
        <w:rPr/>
      </w:pPr>
      <w:r>
        <w:rPr/>
        <w:t> </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Accounting Standards Board </w:t>
      </w:r>
      <w:r>
        <w:rPr>
          <w:rFonts w:ascii="Times New Roman;Times;serif" w:hAnsi="Times New Roman;Times;serif"/>
          <w:i/>
          <w:sz w:val="20"/>
        </w:rPr>
        <w:t>Accounting Standards Codification</w:t>
      </w:r>
      <w:r>
        <w:rPr>
          <w:rFonts w:ascii="Times New Roman;Times;serif" w:hAnsi="Times New Roman;Times;serif"/>
          <w:sz w:val="20"/>
        </w:rPr>
        <w:t xml:space="preserve"> (“FASB ASC”) Topic 280, </w:t>
      </w:r>
      <w:r>
        <w:rPr>
          <w:rFonts w:ascii="Times New Roman;Times;serif" w:hAnsi="Times New Roman;Times;serif"/>
          <w:i/>
          <w:sz w:val="20"/>
        </w:rPr>
        <w:t>Segment Reporting</w:t>
      </w:r>
      <w:r>
        <w:rPr>
          <w:rFonts w:ascii="Times New Roman;Times;serif" w:hAnsi="Times New Roman;Times;serif"/>
          <w:sz w:val="20"/>
        </w:rPr>
        <w:t>, establishes standards related to the manner in which enterprises report operating segment information. The 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reviews financial information on a disaggregated basis for purposes of allocating and evaluating financial performance.</w:t>
      </w:r>
    </w:p>
    <w:p>
      <w:pPr>
        <w:pStyle w:val="TextBody"/>
        <w:bidi w:val="0"/>
        <w:spacing w:lineRule="auto" w:line="280" w:before="0" w:after="0"/>
        <w:ind w:left="0" w:right="0" w:hanging="0"/>
        <w:jc w:val="both"/>
        <w:rPr/>
      </w:pPr>
      <w:r>
        <w:rPr/>
        <w:t>​</w:t>
      </w:r>
    </w:p>
    <w:p>
      <w:pPr>
        <w:pStyle w:val="TextBody"/>
        <w:bidi w:val="0"/>
        <w:spacing w:lineRule="auto" w:line="280" w:before="0" w:after="0"/>
        <w:ind w:left="0" w:right="0" w:hanging="0"/>
        <w:jc w:val="both"/>
        <w:rPr>
          <w:rFonts w:ascii="Times New Roman;Times;serif" w:hAnsi="Times New Roman;Times;serif"/>
          <w:i/>
          <w:sz w:val="20"/>
        </w:rPr>
      </w:pPr>
      <w:r>
        <w:rPr>
          <w:rFonts w:ascii="Times New Roman;Times;serif" w:hAnsi="Times New Roman;Times;serif"/>
          <w:i/>
          <w:sz w:val="20"/>
        </w:rPr>
        <w:t>USE OF ESTIMATES IN THE PREPARATION OF FINANCIAL STATEMENTS</w:t>
      </w:r>
    </w:p>
    <w:p>
      <w:pPr>
        <w:pStyle w:val="TextBody"/>
        <w:bidi w:val="0"/>
        <w:spacing w:lineRule="auto" w:line="280" w:before="0" w:after="0"/>
        <w:ind w:left="245" w:right="0" w:hanging="0"/>
        <w:jc w:val="left"/>
        <w:rPr/>
      </w:pPr>
      <w:r>
        <w:rPr/>
        <w:t> </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pStyle w:val="TextBody"/>
        <w:bidi w:val="0"/>
        <w:spacing w:lineRule="auto" w:line="280" w:before="0" w:after="0"/>
        <w:ind w:left="0" w:right="0" w:firstLine="360"/>
        <w:jc w:val="both"/>
        <w:rPr/>
      </w:pPr>
      <w:r>
        <w:rPr/>
        <w:t>​</w:t>
      </w:r>
    </w:p>
    <w:p>
      <w:pPr>
        <w:pStyle w:val="TextBody"/>
        <w:bidi w:val="0"/>
        <w:spacing w:lineRule="auto" w:line="280" w:before="0" w:after="0"/>
        <w:ind w:left="0" w:right="0" w:firstLine="360"/>
        <w:jc w:val="both"/>
        <w:rPr>
          <w:rFonts w:ascii="Times New Roman;Times;serif" w:hAnsi="Times New Roman;Times;serif"/>
          <w:sz w:val="20"/>
        </w:rPr>
      </w:pPr>
      <w:r>
        <w:rPr>
          <w:rFonts w:ascii="Times New Roman;Times;serif" w:hAnsi="Times New Roman;Times;serif"/>
          <w:sz w:val="20"/>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pStyle w:val="TextBody"/>
        <w:bidi w:val="0"/>
        <w:spacing w:lineRule="auto" w:line="280" w:before="0" w:after="0"/>
        <w:ind w:left="0" w:right="0" w:firstLine="360"/>
        <w:jc w:val="both"/>
        <w:rPr/>
      </w:pPr>
      <w:r>
        <w:rPr/>
        <w:t>​</w:t>
      </w:r>
    </w:p>
    <w:p>
      <w:pPr>
        <w:pStyle w:val="TextBody"/>
        <w:bidi w:val="0"/>
        <w:spacing w:lineRule="auto" w:line="280"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REAL ESTATE</w:t>
      </w:r>
    </w:p>
    <w:p>
      <w:pPr>
        <w:pStyle w:val="TextBody"/>
        <w:bidi w:val="0"/>
        <w:spacing w:lineRule="auto" w:line="280" w:before="0" w:after="240"/>
        <w:ind w:left="0" w:right="0" w:firstLine="360"/>
        <w:jc w:val="both"/>
        <w:rPr>
          <w:rFonts w:ascii="Times New Roman;Times;serif" w:hAnsi="Times New Roman;Times;serif"/>
          <w:sz w:val="20"/>
        </w:rPr>
      </w:pPr>
      <w:r>
        <w:rPr>
          <w:rFonts w:ascii="Times New Roman;Times;serif" w:hAnsi="Times New Roman;Times;serif"/>
          <w:sz w:val="20"/>
        </w:rPr>
        <w:t>The Company’s real estate assets are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September 30, 2024 and September 30, 2023, was $4.2 million and $4.3 million, respectively. The amount of depreciation of real estate, exclusive of amortization related to intangible assets, recognized for the nine months ended September 30, 2024 and September 30, 2023, was $12.7 million and $12.6 million, respectively.</w:t>
      </w:r>
    </w:p>
    <w:p>
      <w:pPr>
        <w:pStyle w:val="TextBody"/>
        <w:bidi w:val="0"/>
        <w:spacing w:lineRule="auto" w:line="280" w:before="0" w:after="240"/>
        <w:ind w:left="0" w:right="0" w:hanging="0"/>
        <w:jc w:val="both"/>
        <w:rPr>
          <w:rFonts w:ascii="Times New Roman;Times;serif" w:hAnsi="Times New Roman;Times;serif"/>
          <w:b w:val="false"/>
          <w:i/>
          <w:sz w:val="20"/>
        </w:rPr>
      </w:pPr>
      <w:r>
        <w:rPr>
          <w:rFonts w:ascii="Times New Roman;Times;serif" w:hAnsi="Times New Roman;Times;serif"/>
          <w:b w:val="false"/>
          <w:i/>
          <w:sz w:val="20"/>
        </w:rPr>
        <w:t>LONG-LIVED ASSETS</w:t>
      </w:r>
    </w:p>
    <w:p>
      <w:pPr>
        <w:pStyle w:val="TextBody"/>
        <w:bidi w:val="0"/>
        <w:spacing w:lineRule="auto" w:line="280" w:before="0" w:after="240"/>
        <w:ind w:left="0" w:right="0" w:firstLine="360"/>
        <w:jc w:val="both"/>
        <w:rPr/>
      </w:pPr>
      <w:r>
        <w:rPr/>
        <w:t> </w:t>
      </w:r>
      <w:r>
        <w:rPr>
          <w:rFonts w:ascii="Times New Roman;Times;serif" w:hAnsi="Times New Roman;Times;serif"/>
          <w:sz w:val="20"/>
        </w:rPr>
        <w:t xml:space="preserve">The Company follows FASB ASC Topic 360-10, </w:t>
      </w:r>
      <w:r>
        <w:rPr>
          <w:rFonts w:ascii="Times New Roman;Times;serif" w:hAnsi="Times New Roman;Times;serif"/>
          <w:i/>
          <w:sz w:val="20"/>
        </w:rPr>
        <w:t>Property, Plant, and Equipment,</w:t>
      </w:r>
      <w:r>
        <w:rPr>
          <w:rFonts w:ascii="Times New Roman;Times;serif" w:hAnsi="Times New Roman;Times;serif"/>
          <w:sz w:val="20"/>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PURCHASE ACCOUNTING FOR ACQUISITIONS OF REAL ESTATE SUBJECT TO A LEASE</w:t>
      </w:r>
    </w:p>
    <w:p>
      <w:pPr>
        <w:pStyle w:val="TextBody"/>
        <w:bidi w:val="0"/>
        <w:spacing w:before="240" w:after="0"/>
        <w:ind w:left="0" w:right="0" w:firstLine="360"/>
        <w:jc w:val="both"/>
        <w:rPr/>
      </w:pPr>
      <w:r>
        <w:rPr/>
        <w:t> </w:t>
      </w:r>
      <w:r>
        <w:rPr>
          <w:rFonts w:ascii="Times New Roman;Times;serif" w:hAnsi="Times New Roman;Times;serif"/>
          <w:sz w:val="20"/>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Times;serif" w:hAnsi="Times New Roman;Times;serif"/>
          <w:i/>
          <w:sz w:val="20"/>
        </w:rPr>
        <w:t>Clarifying the Definition of a Business</w:t>
      </w:r>
      <w:r>
        <w:rPr>
          <w:rFonts w:ascii="Times New Roman;Times;serif" w:hAnsi="Times New Roman;Times;serif"/>
          <w:sz w:val="20"/>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pStyle w:val="TextBody"/>
        <w:bidi w:val="0"/>
        <w:spacing w:before="240" w:after="0"/>
        <w:ind w:left="0" w:right="0" w:firstLine="360"/>
        <w:jc w:val="both"/>
        <w:rPr>
          <w:rFonts w:ascii="Times New Roman;Times;serif" w:hAnsi="Times New Roman;Times;serif"/>
          <w:sz w:val="20"/>
        </w:rPr>
      </w:pPr>
      <w:r>
        <w:rPr>
          <w:rFonts w:ascii="Times New Roman;Times;serif" w:hAnsi="Times New Roman;Times;serif"/>
          <w:sz w:val="20"/>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ASSETS HELD FOR SALE</w:t>
      </w:r>
    </w:p>
    <w:p>
      <w:pPr>
        <w:pStyle w:val="TextBody"/>
        <w:bidi w:val="0"/>
        <w:spacing w:before="24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real estate which are determined to be “held for sale” pursuant to FASB Topic 360-10, </w:t>
      </w:r>
      <w:r>
        <w:rPr>
          <w:rFonts w:ascii="Times New Roman;Times;serif" w:hAnsi="Times New Roman;Times;serif"/>
          <w:i/>
          <w:sz w:val="20"/>
        </w:rPr>
        <w:t>Property, Plant, and Equipment</w:t>
      </w:r>
      <w:r>
        <w:rPr>
          <w:rFonts w:ascii="Times New Roman;Times;serif" w:hAnsi="Times New Roman;Times;serif"/>
          <w:sz w:val="20"/>
        </w:rPr>
        <w:t xml:space="preserve"> are reported separately on the consolidated balance sheets at the lesser of carrying value or fair value, less costs to sell. Real estate investments classified as held for sale are not depreciated.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SALES OF REAL ESTATE</w:t>
      </w:r>
    </w:p>
    <w:p>
      <w:pPr>
        <w:pStyle w:val="TextBody"/>
        <w:bidi w:val="0"/>
        <w:spacing w:before="0" w:after="0"/>
        <w:ind w:left="0" w:right="0" w:firstLine="556"/>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pStyle w:val="TextBody"/>
        <w:bidi w:val="0"/>
        <w:spacing w:before="0" w:after="0"/>
        <w:ind w:left="0" w:right="0" w:firstLine="49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PROPERTY LEASE REVENUE</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2024 and December 31, 2023, the Company’s allowance for doubtful accounts totaled $0.2 million and $0.4 million, respectively.</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COMMERCIAL LOANS AND INVESTMENTS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Investments in commercial loans and investments held for investment are recorded at historical cost, net of unaccreted origination costs and current expected credit losses (“CECL”) reserve.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ASC 326, </w:t>
      </w:r>
      <w:r>
        <w:rPr>
          <w:rFonts w:ascii="Times New Roman;Times;serif" w:hAnsi="Times New Roman;Times;serif"/>
          <w:i/>
          <w:sz w:val="20"/>
        </w:rPr>
        <w:t>Financial Instruments - Credit Losses</w:t>
      </w:r>
      <w:r>
        <w:rPr>
          <w:rFonts w:ascii="Times New Roman;Times;serif" w:hAnsi="Times New Roman;Times;serif"/>
          <w:sz w:val="20"/>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Sales of participations in commercial loans and investments are evaluated for achievement of the characteristics of participating interest pursuant to ASC 860, </w:t>
      </w:r>
      <w:r>
        <w:rPr>
          <w:rFonts w:ascii="Times New Roman;Times;serif" w:hAnsi="Times New Roman;Times;serif"/>
          <w:i/>
          <w:sz w:val="20"/>
        </w:rPr>
        <w:t>Transfers and Servicing</w:t>
      </w:r>
      <w:r>
        <w:rPr>
          <w:rFonts w:ascii="Times New Roman;Times;serif" w:hAnsi="Times New Roman;Times;serif"/>
          <w:sz w:val="20"/>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September 30, 2024, the Company’s participation in commercial loans and investments purchased by a third-party did not achieve sale accounting and has been presented as an Obligation under Participation Agreement within the liabilities portion of the Company’s consolidated balance sheet.</w:t>
      </w:r>
    </w:p>
    <w:p>
      <w:pPr>
        <w:pStyle w:val="TextBody"/>
        <w:bidi w:val="0"/>
        <w:spacing w:before="0" w:after="0"/>
        <w:ind w:left="0" w:right="0" w:hanging="0"/>
        <w:jc w:val="both"/>
        <w:rPr/>
      </w:pPr>
      <w:r>
        <w:rPr/>
        <w:t>​</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RECOGNITION OF INTEREST INCOME FROM COMMERCIAL LOANS AND INVESTMENTS</w:t>
      </w:r>
    </w:p>
    <w:p>
      <w:pPr>
        <w:pStyle w:val="TextBody"/>
        <w:shd w:fill="FFFFFF" w:val="clear"/>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OPERATING LAND LEASE EXPENSE</w:t>
      </w:r>
    </w:p>
    <w:p>
      <w:pPr>
        <w:pStyle w:val="TextBody"/>
        <w:shd w:fill="FFFFFF" w:val="clear"/>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which leases are classified as operating leases pursuant to FASB ASC Topic 842, </w:t>
      </w:r>
      <w:r>
        <w:rPr>
          <w:rFonts w:ascii="Times New Roman;Times;serif" w:hAnsi="Times New Roman;Times;serif"/>
          <w:i/>
          <w:sz w:val="20"/>
        </w:rPr>
        <w:t>Leases</w:t>
      </w:r>
      <w:r>
        <w:rPr>
          <w:rFonts w:ascii="Times New Roman;Times;serif" w:hAnsi="Times New Roman;Times;serif"/>
          <w:sz w:val="20"/>
        </w:rPr>
        <w:t xml:space="preserve">. The corresponding lease expense is recognized on a straight-line basis over the term of the lease and is included in real estate expenses in the accompanying consolidated statements of operations.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0"/>
        <w:ind w:left="245"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and cash equivalents include cash on hand, bank demand accounts, and money market accounts having original maturities of 90 days or less. The Company’s bank balances as of September 30, 2024 and December 31, 2023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RESTRICTED CASH</w:t>
      </w:r>
    </w:p>
    <w:p>
      <w:pPr>
        <w:pStyle w:val="TextBody"/>
        <w:bidi w:val="0"/>
        <w:spacing w:before="0" w:after="0"/>
        <w:ind w:left="0" w:right="0" w:firstLine="490"/>
        <w:jc w:val="both"/>
        <w:rPr/>
      </w:pPr>
      <w:r>
        <w:rPr/>
        <w: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Restricted cash totaled $25.5 million as of September 30, 2024, of which $22.4 million is being held in multiple escrow accounts to be reinvested through the like-kind exchange structure into other income properties and $3.1 million is being held in interest, real estate tax, insurance, and/or capital expenditure reserve accounts related to the Company’s portfolio of commercial loans and investments.</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DERIVATIVE FINANCIAL INSTRUMENTS AND HEDGING ACTIVITY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its cash flow hedging derivatives in accordance with FASB ASC Topic 815-20, </w:t>
      </w:r>
      <w:r>
        <w:rPr>
          <w:rFonts w:ascii="Times New Roman;Times;serif" w:hAnsi="Times New Roman;Times;serif"/>
          <w:i/>
          <w:sz w:val="20"/>
        </w:rPr>
        <w:t>Derivatives and Hedging</w:t>
      </w:r>
      <w:r>
        <w:rPr>
          <w:rFonts w:ascii="Times New Roman;Times;serif" w:hAnsi="Times New Roman;Times;serif"/>
          <w:sz w:val="20"/>
        </w:rPr>
        <w:t xml:space="preserve">. Depending upon the hedge’s value at each balance sheet date, the derivatives are included in either other 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carrying amounts of the Company’s financial assets and liabilities including cash and cash equivalents, restricted cash, accounts receivable included in other assets, accounts payable, and accrued expenses and other liabilities at September 30, 2024 and December 31, 2023,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pStyle w:val="TextBody"/>
        <w:bidi w:val="0"/>
        <w:spacing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sz w:val="20"/>
        </w:rPr>
      </w:pPr>
      <w:r>
        <w:rPr>
          <w:rFonts w:ascii="Times New Roman;Times;serif" w:hAnsi="Times New Roman;Times;serif"/>
          <w:i/>
          <w:sz w:val="20"/>
        </w:rPr>
        <w:t>FAIR VALUE MEASUREMENTS</w:t>
      </w:r>
      <w:r>
        <w:rPr>
          <w:rFonts w:ascii="Times New Roman;Times;serif" w:hAnsi="Times New Roman;Times;serif"/>
          <w:sz w:val="20"/>
        </w:rPr>
        <w:t xml:space="preserve"> </w:t>
      </w:r>
    </w:p>
    <w:p>
      <w:pPr>
        <w:pStyle w:val="TextBody"/>
        <w:bidi w:val="0"/>
        <w:spacing w:lineRule="auto" w:line="273"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pStyle w:val="TextBody"/>
        <w:bidi w:val="0"/>
        <w:spacing w:lineRule="auto" w:line="273" w:before="0" w:after="0"/>
        <w:ind w:left="720" w:right="0" w:hanging="0"/>
        <w:jc w:val="both"/>
        <w:rPr/>
      </w:pPr>
      <w:r>
        <w:rPr/>
        <w:t>​</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 is based upon quoted prices in active markets for identical assets or liabilities.</w:t>
            </w:r>
          </w:p>
        </w:tc>
      </w:tr>
    </w:tbl>
    <w:p>
      <w:pPr>
        <w:pStyle w:val="TextBody"/>
        <w:bidi w:val="0"/>
        <w:spacing w:lineRule="auto" w:line="273"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bl>
    <w:p>
      <w:pPr>
        <w:pStyle w:val="TextBody"/>
        <w:bidi w:val="0"/>
        <w:spacing w:lineRule="auto" w:line="273"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73" w:before="0" w:after="0"/>
        <w:ind w:left="0" w:right="0" w:hanging="0"/>
        <w:jc w:val="both"/>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0"/>
        <w:ind w:left="244"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Certain individual tenants in the Company’s portfolio of properties accounted for more than 10% of lease income from the Company’s income properties during the nine months ended September 30, 2024 and 2023.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2024 and 2023, Walgreens accounted for 11% of lease income revenue.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2024, 12%, 12%, and 11% of the Company’s real estate portfolio, based on square footage, was located in the states of New Jersey, Michigan, and Ohio, respectively. As of December 31, 2023, 13%, 11%, and 11% of the Company’s real estate portfolio, based on square footage, was located in the states of Texas, New Jersey, and Michigan, respectively.</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Certain items in the prior period’s consolidated balance sheet and consolidated statement of operations have been reclassified to conform to the presentation for the three and nine months ended September 30, 2024. Specifically, tax, insurance, and capital expenditure reserve accounts related to the Company’s commercial loans and investments were previously included within prepaid rent and deferred revenue and are now included within accounts payable, accrued expenses, and other liabilities on the accompanying consolidated balance sheets. There was no impact to retained earnings as a result of the reclassification.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RECENTLY ISSUED ACCOUNTING STANDARDS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Segment Reporting</w:t>
      </w:r>
      <w:r>
        <w:rPr>
          <w:rFonts w:ascii="Times New Roman;Times;serif" w:hAnsi="Times New Roman;Times;serif"/>
          <w:sz w:val="20"/>
        </w:rPr>
        <w:t>. In November 2023, the FASB issued ASU 2023-07 which enhances segment disclosure requirements for entities required to report segment information in accordance with FASB ASC 280, Segment Reporting. The amendments in this update are effective for annual reporting periods beginning after December 15,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In December 2023, the FASB issued ASU 2023-09 which enhances income tax disclosure requirements in accordance with FASB ASC 740, Income Taxes. The amendments in this update are effective for annual reporting periods beginning after December 15, 2023.</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left"/>
        <w:rPr>
          <w:rFonts w:ascii="Times New Roman;Times;serif" w:hAnsi="Times New Roman;Times;serif"/>
          <w:b/>
          <w:sz w:val="20"/>
        </w:rPr>
      </w:pPr>
      <w:bookmarkStart w:id="840" w:name="Tc_8KK2EbV7pEW1lvNly1Hy9Q_6_11"/>
      <w:bookmarkStart w:id="841" w:name="Tc_PWulf2W0l0KV50iv6-Vk-g_6_8"/>
      <w:bookmarkStart w:id="842" w:name="Tc_A7-JbebCjE2gESQb1E8enA_6_5"/>
      <w:bookmarkStart w:id="843" w:name="Tc_WBZXCB1snEWT2Auzhdjcog_6_2"/>
      <w:bookmarkStart w:id="844" w:name="Tc_TztmrlAvSEuu83jI3B7Tdw_6_0"/>
      <w:bookmarkStart w:id="845" w:name="Tc_TbDXnq23D02RVLBdU8SuZA_5_0"/>
      <w:bookmarkStart w:id="846" w:name="Tc_Lv4l-sGDFkywlXj5Jq-x4Q_4_11"/>
      <w:bookmarkStart w:id="847" w:name="Tc_ndXnTXRbvEq96Izq6XUxew_4_8"/>
      <w:bookmarkStart w:id="848" w:name="Tc_uPxwbH4HxEyeZ0b-H7oHcg_4_5"/>
      <w:bookmarkStart w:id="849" w:name="Tc_fUrXZiiBAUG55V6Lh3B5nQ_4_2"/>
      <w:bookmarkStart w:id="850" w:name="Tc_TCUD6c8F1U26CvB8_0_N1A_4_0"/>
      <w:bookmarkStart w:id="851" w:name="Tc_0qt3FGBO7UOyJoXh7pfTqA_3_0"/>
      <w:bookmarkStart w:id="852" w:name="Tc_JFfF9le1KkiqsVClNTTQEg_2_11"/>
      <w:bookmarkStart w:id="853" w:name="Tc_9w03KJebVUekDpGUMeX2gw_2_8"/>
      <w:bookmarkStart w:id="854" w:name="Tc_fqF30MRDM0inEwtOm3bfhQ_2_5"/>
      <w:bookmarkStart w:id="855" w:name="Tc_-lnlxu7E8E6KfqawXeyPZg_2_2"/>
      <w:bookmarkStart w:id="856" w:name="Tc_9hWme8D_dkaD6CKScoKAJQ_1_8"/>
      <w:bookmarkStart w:id="857" w:name="Tc_uz_8slXsnUySCigv-MHVOA_1_2"/>
      <w:bookmarkStart w:id="858" w:name="_de9262ed_b167_4eb1_9b06_d638c261c237"/>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rFonts w:ascii="Times New Roman;Times;serif" w:hAnsi="Times New Roman;Times;serif"/>
          <w:b/>
          <w:sz w:val="20"/>
        </w:rPr>
        <w:t>NOTE 3. PROPERTY PORTFOLIO</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the Company’s property portfolio consisted of 133 properties, including three properties classified as commercial loans and investments, with total square footage of 3.6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leasing revenue are as follows (in thousands):</w:t>
      </w:r>
    </w:p>
    <w:p>
      <w:pPr>
        <w:pStyle w:val="TextBody"/>
        <w:bidi w:val="0"/>
        <w:spacing w:before="0" w:after="0"/>
        <w:ind w:left="0" w:right="0" w:firstLine="360"/>
        <w:jc w:val="both"/>
        <w:rPr/>
      </w:pPr>
      <w:r>
        <w:rPr/>
        <w:t>​</w:t>
      </w:r>
    </w:p>
    <w:tbl>
      <w:tblPr>
        <w:tblW w:w="9926" w:type="dxa"/>
        <w:jc w:val="left"/>
        <w:tblInd w:w="0" w:type="dxa"/>
        <w:tblLayout w:type="fixed"/>
        <w:tblCellMar>
          <w:top w:w="0" w:type="dxa"/>
          <w:left w:w="0" w:type="dxa"/>
          <w:bottom w:w="0" w:type="dxa"/>
          <w:right w:w="0" w:type="dxa"/>
        </w:tblCellMar>
      </w:tblPr>
      <w:tblGrid>
        <w:gridCol w:w="2146"/>
        <w:gridCol w:w="109"/>
        <w:gridCol w:w="420"/>
        <w:gridCol w:w="1350"/>
        <w:gridCol w:w="111"/>
        <w:gridCol w:w="420"/>
        <w:gridCol w:w="1350"/>
        <w:gridCol w:w="326"/>
        <w:gridCol w:w="420"/>
        <w:gridCol w:w="1350"/>
        <w:gridCol w:w="109"/>
        <w:gridCol w:w="385"/>
        <w:gridCol w:w="1430"/>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62710" cy="175260"/>
                      <wp:effectExtent l="0" t="0" r="0" b="0"/>
                      <wp:wrapNone/>
                      <wp:docPr id="132" name="Frame132"/>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66700" cy="175260"/>
                      <wp:effectExtent l="0" t="0" r="0" b="0"/>
                      <wp:wrapNone/>
                      <wp:docPr id="134" name="Frame134"/>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857250" cy="175260"/>
                      <wp:effectExtent l="0" t="0" r="0" b="0"/>
                      <wp:wrapNone/>
                      <wp:docPr id="135" name="Frame135"/>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0485" cy="175260"/>
                      <wp:effectExtent l="0" t="0" r="0" b="0"/>
                      <wp:wrapNone/>
                      <wp:docPr id="136" name="Frame136"/>
                      <a:graphic xmlns:a="http://schemas.openxmlformats.org/drawingml/2006/main">
                        <a:graphicData uri="http://schemas.microsoft.com/office/word/2010/wordprocessingShape">
                          <wps:wsp>
                            <wps:cNvSpPr txBox="1"/>
                            <wps:spPr>
                              <a:xfrm>
                                <a:off x="0" y="0"/>
                                <a:ext cx="7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66700" cy="175260"/>
                      <wp:effectExtent l="0" t="0" r="0" b="0"/>
                      <wp:wrapNone/>
                      <wp:docPr id="137" name="Frame13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57250" cy="175260"/>
                      <wp:effectExtent l="0" t="0" r="0" b="0"/>
                      <wp:wrapNone/>
                      <wp:docPr id="138" name="Frame138"/>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6700" cy="175260"/>
                      <wp:effectExtent l="0" t="0" r="0" b="0"/>
                      <wp:wrapNone/>
                      <wp:docPr id="140" name="Frame14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857250" cy="175260"/>
                      <wp:effectExtent l="0" t="0" r="0" b="0"/>
                      <wp:wrapNone/>
                      <wp:docPr id="141" name="Frame141"/>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44475" cy="175260"/>
                      <wp:effectExtent l="0" t="0" r="0" b="0"/>
                      <wp:wrapNone/>
                      <wp:docPr id="143" name="Frame143"/>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08050" cy="175260"/>
                      <wp:effectExtent l="0" t="0" r="0" b="0"/>
                      <wp:wrapNone/>
                      <wp:docPr id="144" name="Frame144"/>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3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1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11"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326"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11"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pPr>
            <w:r>
              <w:rPr/>
              <w:t>​</w:t>
            </w:r>
          </w:p>
        </w:tc>
        <w:tc>
          <w:tcPr>
            <w:tcW w:w="1430" w:type="dxa"/>
            <w:tcBorders/>
            <w:shd w:fill="CCEEFF" w:val="clear"/>
            <w:vAlign w:val="center"/>
          </w:tcPr>
          <w:p>
            <w:pPr>
              <w:pStyle w:val="TableContents"/>
              <w:bidi w:val="0"/>
              <w:spacing w:before="0" w:after="0"/>
              <w:ind w:left="0" w:right="0" w:hanging="0"/>
              <w:jc w:val="righ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Payments</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10,051</w:t>
            </w:r>
          </w:p>
        </w:tc>
        <w:tc>
          <w:tcPr>
            <w:tcW w:w="111"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10,049</w: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29,815</w:t>
            </w:r>
          </w:p>
        </w:tc>
        <w:tc>
          <w:tcPr>
            <w:tcW w:w="109" w:type="dxa"/>
            <w:tcBorders/>
            <w:vAlign w:val="center"/>
          </w:tcPr>
          <w:p>
            <w:pPr>
              <w:pStyle w:val="TableContents"/>
              <w:bidi w:val="0"/>
              <w:spacing w:before="0" w:after="0"/>
              <w:ind w:left="0" w:right="0" w:hanging="0"/>
              <w:jc w:val="left"/>
              <w:rPr/>
            </w:pPr>
            <w:r>
              <w:rPr/>
              <w:t>​</w:t>
            </w:r>
          </w:p>
        </w:tc>
        <w:tc>
          <w:tcPr>
            <w:tcW w:w="3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30,187</w:t>
            </w:r>
          </w:p>
        </w:tc>
      </w:tr>
      <w:tr>
        <w:trPr/>
        <w:tc>
          <w:tcPr>
            <w:tcW w:w="2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1,667</w:t>
            </w:r>
          </w:p>
        </w:tc>
        <w:tc>
          <w:tcPr>
            <w:tcW w:w="111"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w:t>
            </w:r>
          </w:p>
        </w:tc>
        <w:tc>
          <w:tcPr>
            <w:tcW w:w="32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4,697</w:t>
            </w:r>
          </w:p>
        </w:tc>
        <w:tc>
          <w:tcPr>
            <w:tcW w:w="109" w:type="dxa"/>
            <w:tcBorders/>
            <w:shd w:fill="CCEEFF" w:val="clear"/>
            <w:vAlign w:val="center"/>
          </w:tcPr>
          <w:p>
            <w:pPr>
              <w:pStyle w:val="TableContents"/>
              <w:bidi w:val="0"/>
              <w:spacing w:before="0" w:after="0"/>
              <w:ind w:left="0" w:right="0" w:hanging="0"/>
              <w:jc w:val="left"/>
              <w:rPr/>
            </w:pPr>
            <w:r>
              <w:rPr/>
              <w:t>​</w:t>
            </w:r>
          </w:p>
        </w:tc>
        <w:tc>
          <w:tcPr>
            <w:tcW w:w="3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Income</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11,718</w:t>
            </w:r>
          </w:p>
        </w:tc>
        <w:tc>
          <w:tcPr>
            <w:tcW w:w="111"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11,447</w:t>
            </w:r>
          </w:p>
        </w:tc>
        <w:tc>
          <w:tcPr>
            <w:tcW w:w="32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34,512</w:t>
            </w:r>
          </w:p>
        </w:tc>
        <w:tc>
          <w:tcPr>
            <w:tcW w:w="109" w:type="dxa"/>
            <w:tcBorders/>
            <w:vAlign w:val="center"/>
          </w:tcPr>
          <w:p>
            <w:pPr>
              <w:pStyle w:val="TableContents"/>
              <w:bidi w:val="0"/>
              <w:spacing w:before="0" w:after="0"/>
              <w:ind w:left="0" w:right="0" w:hanging="0"/>
              <w:jc w:val="left"/>
              <w:rPr/>
            </w:pPr>
            <w:r>
              <w:rPr/>
              <w:t>​</w:t>
            </w:r>
          </w:p>
        </w:tc>
        <w:tc>
          <w:tcPr>
            <w:tcW w:w="3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33,951</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859" w:name="Tc_Ae1_Kd0CT0WqWsmw1pRh6Q_9_2"/>
      <w:bookmarkStart w:id="860" w:name="Tc_hj6n3eEjQkm-afU-vgqiGg_9_0"/>
      <w:bookmarkStart w:id="861" w:name="Tc_L3hp5Y_5zEGQGjEnoBWc0Q_8_0"/>
      <w:bookmarkStart w:id="862" w:name="Tc_0_UI9HvG80e1pi3RL24Rrw_7_0"/>
      <w:bookmarkStart w:id="863" w:name="Tc_uD8DLQl8lE6KBUgCFg5_5w_6_0"/>
      <w:bookmarkStart w:id="864" w:name="Tc_4pl4qJnxnEWvt7pdJuw4Sg_5_0"/>
      <w:bookmarkStart w:id="865" w:name="Tc_RQ_r1uFXhE6X2wJyCK5kJA_4_0"/>
      <w:bookmarkStart w:id="866" w:name="Tc_ErA5lq_c6E-C-dRzkFEEgw_3_0"/>
      <w:bookmarkStart w:id="867" w:name="Tc_BlCJtw_Iy0qyYaaAeSYviQ_2_2"/>
      <w:bookmarkStart w:id="868" w:name="Tc_3cyL7Noy7UawPhGarwQxRw_2_0"/>
      <w:bookmarkStart w:id="869" w:name="Tc_kaPOMOI5hkq8KXHrssKeIg_1_2"/>
      <w:bookmarkStart w:id="870" w:name="Tc_mE_hQvqSHUqNXq3CDaNRbg_1_0"/>
      <w:bookmarkStart w:id="871" w:name="_8aa4c89b_a7a5_4115_a800_11b844a4fb49"/>
      <w:bookmarkEnd w:id="859"/>
      <w:bookmarkEnd w:id="860"/>
      <w:bookmarkEnd w:id="861"/>
      <w:bookmarkEnd w:id="862"/>
      <w:bookmarkEnd w:id="863"/>
      <w:bookmarkEnd w:id="864"/>
      <w:bookmarkEnd w:id="865"/>
      <w:bookmarkEnd w:id="866"/>
      <w:bookmarkEnd w:id="867"/>
      <w:bookmarkEnd w:id="868"/>
      <w:bookmarkEnd w:id="869"/>
      <w:bookmarkEnd w:id="870"/>
      <w:bookmarkEnd w:id="871"/>
      <w:r>
        <w:rPr>
          <w:rFonts w:ascii="Times New Roman;Times;serif" w:hAnsi="Times New Roman;Times;serif"/>
          <w:i/>
          <w:sz w:val="20"/>
        </w:rPr>
        <w:t>Minimum Future Rental Receipts.</w:t>
      </w:r>
      <w:r>
        <w:rPr>
          <w:rFonts w:ascii="Times New Roman;Times;serif" w:hAnsi="Times New Roman;Times;serif"/>
          <w:sz w:val="20"/>
        </w:rPr>
        <w:t xml:space="preserve"> Minimum future rental receipts under non-cancelable operating leases, excluding percentage rent and other lease payments that are not fixed and determinable, having remaining terms in excess of one year subsequent to September 30, 2024, are summarized as follows (in thousands):   </w:t>
      </w:r>
    </w:p>
    <w:p>
      <w:pPr>
        <w:pStyle w:val="TextBody"/>
        <w:bidi w:val="0"/>
        <w:spacing w:before="0" w:after="0"/>
        <w:ind w:left="0" w:right="0" w:firstLine="360"/>
        <w:jc w:val="both"/>
        <w:rPr/>
      </w:pPr>
      <w:r>
        <w:rPr/>
        <w:t> </w:t>
      </w:r>
    </w:p>
    <w:tbl>
      <w:tblPr>
        <w:tblW w:w="4304" w:type="dxa"/>
        <w:jc w:val="left"/>
        <w:tblInd w:w="0" w:type="dxa"/>
        <w:tblLayout w:type="fixed"/>
        <w:tblCellMar>
          <w:top w:w="0" w:type="dxa"/>
          <w:left w:w="0" w:type="dxa"/>
          <w:bottom w:w="0" w:type="dxa"/>
          <w:right w:w="0" w:type="dxa"/>
        </w:tblCellMar>
      </w:tblPr>
      <w:tblGrid>
        <w:gridCol w:w="2881"/>
        <w:gridCol w:w="326"/>
        <w:gridCol w:w="211"/>
        <w:gridCol w:w="886"/>
      </w:tblGrid>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2610" cy="175260"/>
                      <wp:effectExtent l="0" t="0" r="0" b="0"/>
                      <wp:wrapNone/>
                      <wp:docPr id="145" name="Frame14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9,174</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36,512</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35,968</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32,365</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28,696</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23,708</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 (Cumulative)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77,609</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244,032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2024 Activity. </w:t>
      </w:r>
      <w:r>
        <w:rPr>
          <w:rFonts w:ascii="Times New Roman;Times;serif" w:hAnsi="Times New Roman;Times;serif"/>
          <w:sz w:val="20"/>
        </w:rPr>
        <w:t xml:space="preserve">During the nine months ended September 30, 2024, the Company acquired six properties for a combined purchase price of $53.1 million, or a cost of $53.2 million including capitalized acquisition costs. The properties are located in four different states, leased to three different tenants, and had a weighted average remaining lease term of 21.7 years at the time of acquisition. Of the total acquisition cost, $5.7 million was allocated to land, $15.0 million was allocated to buildings and improvements, $2.0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4.8 years at acquisition. The remaining $31.4 million of acquisition costs is attributable to the three Tampa Properties (defined in Note 4 below), of the acquired properties which were purchased during the three months ended September 30, 2024 through a sale-leaseback transaction that includes a tenant repurchase option. Due to the existence of the tenant repurchase option, and pursuant to FASB ASC Topic 842, </w:t>
      </w:r>
      <w:r>
        <w:rPr>
          <w:rFonts w:ascii="Times New Roman;Times;serif" w:hAnsi="Times New Roman;Times;serif"/>
          <w:i/>
          <w:sz w:val="20"/>
        </w:rPr>
        <w:t>Leases</w:t>
      </w:r>
      <w:r>
        <w:rPr>
          <w:rFonts w:ascii="Times New Roman;Times;serif" w:hAnsi="Times New Roman;Times;serif"/>
          <w:sz w:val="20"/>
        </w:rPr>
        <w:t xml:space="preserve">, GAAP requires that the $31.4 million investment be accounted for as a financing arrangement, and accordingly the related assets and corresponding revenue are included in the Company’s commercial loans and investments in the accompanying consolidated balance sheets and consolidated statement of operations. However, as the Tampa Properties constitute real estate assets for both legal and tax purposes, we include the Tampa Properties in the property portfolio when describing our property portfolio and for purposes of providing statistics related thereto.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sold 10 properties for an aggregate sales price of $55.2 million, generating aggregate gains on sale of $4.3 million. </w:t>
      </w:r>
    </w:p>
    <w:p>
      <w:pPr>
        <w:pStyle w:val="TextBody"/>
        <w:bidi w:val="0"/>
        <w:spacing w:before="0" w:after="0"/>
        <w:ind w:left="36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During the nine months ended September 30, 2023, the Company acquired 12 properties for a combined purchase price of $79.9 million, or a cost of $81.2 million including capitalized acquisition costs. The properties are located in seven different states and had a weighted average remaining lease term of 8.7 years at the time of acquisition. Of the total acquisition cost, $22.1 million was allocated to land, $53.0 million was allocated to buildings and improvements, $8.0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9.6 years at acquisition.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2023, the Company sold 22 properties for an aggregate sales price of $99.6 million, generating aggregate gains on sale of $7.8 million. </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4. COMMERCIAL LOANS AND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2024 Activity. </w:t>
      </w:r>
      <w:r>
        <w:rPr>
          <w:rFonts w:ascii="Times New Roman;Times;serif" w:hAnsi="Times New Roman;Times;serif"/>
          <w:sz w:val="20"/>
        </w:rPr>
        <w:t xml:space="preserve">On January 30, 2024, the Company originated a construction loan secured by the property and improvements to be constructed thereon for six retail outparcels in Lawrenceville, Georgia for $7.2 million. The construction loan matures on January 30, 2026, bears a fixed interest rate of 11.25% and requires interest-only payments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maturity. Funding of the loan will occur as the borrower completes the underlying construction. As of September 30, 2024, the Company has disbursed $6.6 million to the borrower, leaving a remaining commitment of $0.6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31, 2024, the Company sold a $13.6 million A-1 participation interest (the “Loan Participation Sale”) in its $23.4 million Mortgage Note (hereinafter defined) originated in 2023. The senior participation of $13.6 million is entitled to an 8.0% yield on its respective portion of the outstanding principal balance and has priority preference with respect to all principal and interest payments of the Mortgage Note. After adjusting for the Loan Participation Sale, the Company’s remaining investment in the Mortgage Note is $9.7 million. This sale did not achieve sale accounting pursuant to ASC 860, </w:t>
      </w:r>
      <w:r>
        <w:rPr>
          <w:rFonts w:ascii="Times New Roman;Times;serif" w:hAnsi="Times New Roman;Times;serif"/>
          <w:i/>
          <w:sz w:val="20"/>
        </w:rPr>
        <w:t>Transfers and Servicing</w:t>
      </w:r>
      <w:r>
        <w:rPr>
          <w:rFonts w:ascii="Times New Roman;Times;serif" w:hAnsi="Times New Roman;Times;serif"/>
          <w:sz w:val="20"/>
        </w:rPr>
        <w:t>, and accordingly, is treated as a secured borrowing. See Note 12, “Obligation Under Participation Agreement” for further information.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14, 2024, the Company originated a construction loan secured by the property and improvements to be constructed thereon for a 6-acre land development project anchored by Wawa and McDonalds in Mount Carmel, Ohio for $6.1 million. The construction loan matures on September 14, 2025, bears a fixed interest rate of 11.50% and requires interest-only payments prior to maturity. Funding of the loan will occur as the borrower completes the underlying construction. As of September 30, 2024, the Company has disbursed $5.0 million to the borrower, leaving a remaining commitment of $1.1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August 1, 2024, the Company acquired three single-tenant income properties (the “Tampa Properties”) in the greater Tampa Bay, Florida area for a combined purchase price of $31.4 million. The Tampa Properties consist of three restaurants, leased to a subsidiary of Beachside Hospitality Group, located in Bradenton Beach, Florida, Longboat Key, Florida, and Anna Maria, Florida. The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w:t>
      </w:r>
      <w:r>
        <w:rPr>
          <w:rFonts w:ascii="Times New Roman;Times;serif" w:hAnsi="Times New Roman;Times;serif"/>
          <w:i/>
          <w:sz w:val="20"/>
        </w:rPr>
        <w:t>Leases</w:t>
      </w:r>
      <w:r>
        <w:rPr>
          <w:rFonts w:ascii="Times New Roman;Times;serif" w:hAnsi="Times New Roman;Times;serif"/>
          <w:sz w:val="20"/>
        </w:rPr>
        <w:t xml:space="preserve">, the future repurchase rights present in the lease agreements preclude the transaction from being accounted for as a real estate acquisition. Accordingly, for GAAP purposes, the acquisition of the Tampa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 of operations.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18, 2024, the Company originated a construction loan secured by the property and improvements to be constructed thereon for an 11-acre land development project anchored by Publix in Charlotte, North Carolina for $17.8 million. The construction loan matures on September 18, 2025, bears a fixed interest rate of 10.25% that increases by 0.25% each month subject to a maximum rate of 11.0%. Upon satisfaction of certain conditions outlined in the loan agreement, the interest rate will be reduced to 9.50%. The loan requires interest-only payments prior to maturity. Funding of the loan will occur as the borrower completes the underlying construction. As of September 30, 2024, the Company has disbursed $10.0 million to the borrower, leaving a remaining commitment of $7.8 million.</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2023 Activity.</w:t>
      </w:r>
      <w:r>
        <w:rPr>
          <w:rFonts w:ascii="Times New Roman;Times;serif" w:hAnsi="Times New Roman;Times;serif"/>
          <w:sz w:val="20"/>
        </w:rPr>
        <w:t xml:space="preserve"> On July 25, 2023, the Company originated a construction loan secured by the property and improvements to be constructed thereon for a 33-acre Wawa-anchored land development project in Greenwood, Indiana for $7.8 million. The construction loan matures on July 25, 2025, bears a fixed interest rate of 8.50% that increased to 9.25% on July 25, 2024, and requires interest-only payments prior to maturity. Funding of the loan will occur as the borrower completes the underlying construction. As of September 30, 2024, the Company has disbursed $7.1 million to the borrower, leaving a remaining commitment of $0.7 million.</w:t>
      </w:r>
    </w:p>
    <w:p>
      <w:pPr>
        <w:pStyle w:val="TextBody"/>
        <w:bidi w:val="0"/>
        <w:spacing w:lineRule="auto" w:line="256"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30, 2023, the Company originated a construction loan secured by the property and improvements to be constructed thereon for a 5-acre land development project anchored by Wawa and McDonalds in Antioch, Tennessee for $6.8 million with the same borrower as the construction loan secured by the 33-acre Wawa-anchored land development project in Greenwood, Indiana. The construction loan matures on October 30, 2025, bears a fixed interest rate of 11.00% that decreases to 9.50% on October 30, 2024, and requires interest-only payments prior to maturity. Funding of the loan will occur as the borrower completes the underlying construction. As of September 30, 2024, the Company has disbursed $4.7 million to the borrower, leaving a remaining commitment of $2.1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872" w:name="Tc_Qjl5eLcbvEWoO_3NcwfIVQ_6_5"/>
      <w:bookmarkStart w:id="873" w:name="Tc_jZBX6dimgEiSEm4ii47LXA_6_2"/>
      <w:bookmarkStart w:id="874" w:name="Tc_o4nG85yW5Um-k3z9BZaFiQ_6_0"/>
      <w:bookmarkStart w:id="875" w:name="Tc_zKpPugX1pkmRaBiHyJloEg_5_0"/>
      <w:bookmarkStart w:id="876" w:name="Tc_w_USEzk1MU6YeQJxP_lEjg_4_0"/>
      <w:bookmarkStart w:id="877" w:name="Tc_PUqlXYKi00mA2TB8SBeIbQ_3_5"/>
      <w:bookmarkStart w:id="878" w:name="Tc_eYVI620s7UGk0zz24WT1Iw_3_2"/>
      <w:bookmarkStart w:id="879" w:name="Tc_dyTYwxwtLU6Fg4AQrzbyWQ_3_0"/>
      <w:bookmarkStart w:id="880" w:name="Tc_dLWxExcmFkK1bbkyDN-peA_2_5"/>
      <w:bookmarkStart w:id="881" w:name="Tc_qGVdUu7MvUmEGJRSTwufqg_2_2"/>
      <w:bookmarkStart w:id="882" w:name="Tc_Bor677B6D0i9-ZflQZUgyA_1_2"/>
      <w:bookmarkStart w:id="883" w:name="_f1147354_6f40_4d0f_af5b_a56592e8a870"/>
      <w:bookmarkStart w:id="884" w:name="Tc_COtXcv8dTE29ZCdBbM-FgQ_7_12"/>
      <w:bookmarkStart w:id="885" w:name="Tc_p4M8zO-6QkO1ZI8dD6TvdQ_7_0"/>
      <w:bookmarkStart w:id="886" w:name="Tc_hXgvDZJUYUCiqwjiLGXugg_6_0"/>
      <w:bookmarkStart w:id="887" w:name="Tc_hnt6ekijJ06XWCXnS9It1g_5_12"/>
      <w:bookmarkStart w:id="888" w:name="Tc_OUdI8s-OkUC-aD_VQfKs7A_5_9"/>
      <w:bookmarkStart w:id="889" w:name="Tc_SP6PaOQqoEmjI4uPBLf8mw_5_6"/>
      <w:bookmarkStart w:id="890" w:name="Tc_mvqmME75BkSawTzMdNngeg_4_4"/>
      <w:bookmarkStart w:id="891" w:name="Tc_-QFcvl-mBkiQ-NzQPATeFQ_4_2"/>
      <w:bookmarkStart w:id="892" w:name="Tc_d9orHRfnTEO6NGa974BhlA_4_0"/>
      <w:bookmarkStart w:id="893" w:name="Tc_sOgSkmmIWEW3HG1SJF3r-g_3_4"/>
      <w:bookmarkStart w:id="894" w:name="Tc_1lYZ42HFKEmN6n_o4ode-A_3_2"/>
      <w:bookmarkStart w:id="895" w:name="Tc_EDGm7ODmLkGSjD86oTYyRA_3_0"/>
      <w:bookmarkStart w:id="896" w:name="Tc_RKn0gxQjJkWSS4fbpg29kw_2_12"/>
      <w:bookmarkStart w:id="897" w:name="Tc_g1EuKq8K-EuoJycf26SHqw_2_9"/>
      <w:bookmarkStart w:id="898" w:name="Tc_-o-O2b0W4ES-a0gp3ECPnw_2_6"/>
      <w:bookmarkStart w:id="899" w:name="Tc_ToA4LGtQbEemvrY_Atykvw_2_4"/>
      <w:bookmarkStart w:id="900" w:name="Tc_0oHeUydYVE-ZrXE5V4x-Eg_2_2"/>
      <w:bookmarkStart w:id="901" w:name="Tc_nU-VX3sXDEevgeWw-jf4ew_2_0"/>
      <w:bookmarkStart w:id="902" w:name="Tc_JICnviWA00Ct3aJ44Gc4Mw_1_15"/>
      <w:bookmarkStart w:id="903" w:name="Tc_2x6wH_IYQ0Kp4qw3BnctGA_1_12"/>
      <w:bookmarkStart w:id="904" w:name="Tc_-uU508MVFEeN3aupgPI4wg_1_9"/>
      <w:bookmarkStart w:id="905" w:name="Tc_Za9rl7ZCjkWbjm6EIp2HHw_1_6"/>
      <w:bookmarkStart w:id="906" w:name="Tc_Zl_wLP8G6k2NGhr2Wfx24Q_1_4"/>
      <w:bookmarkStart w:id="907" w:name="Tc_CukMSs5gUkuJGZPiEBB5JQ_1_2"/>
      <w:bookmarkStart w:id="908" w:name="Tc_CtbdBC3ubEq7wzK7lhhUNg_1_0"/>
      <w:bookmarkStart w:id="909" w:name="_cc3ff1ad_78de_4316_9946_a82910a4af2d"/>
      <w:bookmarkStart w:id="910" w:name="Tc_k680l8A01Ua3ThGBS2f4Mg_13_12"/>
      <w:bookmarkStart w:id="911" w:name="Tc_-LRCKI57aE-NK2YUEhVWDA_13_0"/>
      <w:bookmarkStart w:id="912" w:name="Tc_VFRrseOPl0aXIAlxYbtmPQ_12_0"/>
      <w:bookmarkStart w:id="913" w:name="Tc_FP1qTjcgp0ioNObUJd94fg_11_12"/>
      <w:bookmarkStart w:id="914" w:name="Tc_VYX6jZAfHkaJrQiKYZVTHg_11_9"/>
      <w:bookmarkStart w:id="915" w:name="Tc_b_9mHwW-8EqdyTKNNmjaaA_11_6"/>
      <w:bookmarkStart w:id="916" w:name="Tc_X0mvboYoikCTmO6NkWfegw_10_4"/>
      <w:bookmarkStart w:id="917" w:name="Tc_vAHuscbfqk292VSg7ZRaqQ_10_2"/>
      <w:bookmarkStart w:id="918" w:name="Tc_IlkggN4rkEawBn4jhIq9ng_10_0"/>
      <w:bookmarkStart w:id="919" w:name="Tc_Eg4ARLmm0Uu64-8FMhijMg_9_4"/>
      <w:bookmarkStart w:id="920" w:name="Tc_e_1kgePH1UiSbPY6iNDMsw_9_2"/>
      <w:bookmarkStart w:id="921" w:name="Tc_pzNWWhc1EkalbdeERAr_Fw_9_0"/>
      <w:bookmarkStart w:id="922" w:name="Tc__imWIYhPFEW3WTcK1IxyeQ_8_4"/>
      <w:bookmarkStart w:id="923" w:name="Tc_J7uklsUtu0yhBEqIKfb0wA_8_2"/>
      <w:bookmarkStart w:id="924" w:name="Tc_eqFt6Ij-3UCZwQdw444QGA_8_0"/>
      <w:bookmarkStart w:id="925" w:name="Tc_W62L4YZwCEGkjJEJ8tVmfQ_7_4"/>
      <w:bookmarkStart w:id="926" w:name="Tc_HshfFvLQekmc3yktvBfS3g_7_2"/>
      <w:bookmarkStart w:id="927" w:name="Tc_5ueAZ9WY8kOqg6MaVygXTQ_7_0"/>
      <w:bookmarkStart w:id="928" w:name="Tc_fVnnLtZRqkmUJdqNVyWoYA_6_4"/>
      <w:bookmarkStart w:id="929" w:name="Tc_r9pMcDYP5kusROI8QfDclQ_6_2"/>
      <w:bookmarkStart w:id="930" w:name="Tc_G-bmS5qnGEeIIZK4b4fMNA_6_0"/>
      <w:bookmarkStart w:id="931" w:name="Tc_THtfQ5QFAkeRh-AkZ0FOIg_5_4"/>
      <w:bookmarkStart w:id="932" w:name="Tc_dEyAtDw0fEWjVcO6qiiSeA_5_2"/>
      <w:bookmarkStart w:id="933" w:name="Tc_coTZY7fphUu1KGgz9xB9eA_5_0"/>
      <w:bookmarkStart w:id="934" w:name="Tc_5ILwqotuI0umKBFsgkfUsw_4_4"/>
      <w:bookmarkStart w:id="935" w:name="Tc_Ij3DCw_M0Umec9Ax1MQH4w_4_2"/>
      <w:bookmarkStart w:id="936" w:name="Tc_t6Rl1ITgPUOH-TWVdv13Jg_4_0"/>
      <w:bookmarkStart w:id="937" w:name="Tc_lSUtOlinL0SXYrMQoQyWwA_3_4"/>
      <w:bookmarkStart w:id="938" w:name="Tc_84wtbrHV8EefdAKoSNLWzw_3_2"/>
      <w:bookmarkStart w:id="939" w:name="Tc_sshyk3-VkE6R75_vOiYT9w_3_0"/>
      <w:bookmarkStart w:id="940" w:name="Tc_QTsQQANnY0OqHnFUi0EJNg_2_12"/>
      <w:bookmarkStart w:id="941" w:name="Tc_6u4P-oGg006aCN3V1tms6g_2_9"/>
      <w:bookmarkStart w:id="942" w:name="Tc_hOSePoNMjUaxY8sMxHsFbg_2_6"/>
      <w:bookmarkStart w:id="943" w:name="Tc_Cs_fY8clMESKTUZT0ExNYQ_2_4"/>
      <w:bookmarkStart w:id="944" w:name="Tc_YYtwFZizOkiDERoZI00ZHw_2_2"/>
      <w:bookmarkStart w:id="945" w:name="Tc_l1mQPUdFxkW5UUvQsNecBw_2_0"/>
      <w:bookmarkStart w:id="946" w:name="Tc_2K_tQPhZQ0mhbcI0YuRW3A_1_15"/>
      <w:bookmarkStart w:id="947" w:name="Tc_n4ZwGwgi0k-sT9Yfbq9CVw_1_12"/>
      <w:bookmarkStart w:id="948" w:name="Tc_st_y7o0ThUmjcTiiLN8cIQ_1_9"/>
      <w:bookmarkStart w:id="949" w:name="Tc_QhIRxOlvYESPwylQfakrtw_1_6"/>
      <w:bookmarkStart w:id="950" w:name="Tc_VyMYXLLwS06H0M7KtK5O6g_1_4"/>
      <w:bookmarkStart w:id="951" w:name="Tc_tdr8ePSnuE2r_m-QB8-HGw_1_2"/>
      <w:bookmarkStart w:id="952" w:name="Tc_aHNgExYpLkSdcF1f8TF_NA_1_0"/>
      <w:bookmarkStart w:id="953" w:name="_397f6bcf_81ed_419d_a4af_0e0cc4c8e1f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sz w:val="20"/>
        </w:rPr>
        <w:t>On November 15, 2023, the Company originated a $24.0 million first mortgage secured by a portfolio of 41 assets and related improvements (the “Mortgage Note”). The Mortgage Note matures on November 15, 2026, has two one-year extension options, bears a fixed interest rate of 8.75% at the time of acquisition, will increase by 0.25% annually during the initial term, and requires interest-only payments prior to maturity. During the nine months ended September 30, 2024, the Company received $1.1 million in principal repayments from the borrower.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commercial loans and investments were comprised of the following at September 30, 2024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295"/>
        <w:gridCol w:w="326"/>
        <w:gridCol w:w="1065"/>
        <w:gridCol w:w="326"/>
        <w:gridCol w:w="954"/>
        <w:gridCol w:w="326"/>
        <w:gridCol w:w="248"/>
        <w:gridCol w:w="877"/>
        <w:gridCol w:w="326"/>
        <w:gridCol w:w="258"/>
        <w:gridCol w:w="794"/>
        <w:gridCol w:w="326"/>
        <w:gridCol w:w="226"/>
        <w:gridCol w:w="695"/>
        <w:gridCol w:w="326"/>
        <w:gridCol w:w="837"/>
      </w:tblGrid>
      <w:tr>
        <w:trPr/>
        <w:tc>
          <w:tcPr>
            <w:tcW w:w="2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76275" cy="175260"/>
                      <wp:effectExtent l="0" t="0" r="0" b="0"/>
                      <wp:wrapNone/>
                      <wp:docPr id="146" name="Frame146"/>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05790" cy="175260"/>
                      <wp:effectExtent l="0" t="0" r="0" b="0"/>
                      <wp:wrapNone/>
                      <wp:docPr id="148" name="Frame14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57480" cy="175260"/>
                      <wp:effectExtent l="0" t="0" r="0" b="0"/>
                      <wp:wrapNone/>
                      <wp:docPr id="150" name="Frame15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56895" cy="175260"/>
                      <wp:effectExtent l="0" t="0" r="0" b="0"/>
                      <wp:wrapNone/>
                      <wp:docPr id="151" name="Frame151"/>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63830" cy="175260"/>
                      <wp:effectExtent l="0" t="0" r="0" b="0"/>
                      <wp:wrapNone/>
                      <wp:docPr id="153" name="Frame15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4190" cy="175260"/>
                      <wp:effectExtent l="0" t="0" r="0" b="0"/>
                      <wp:wrapNone/>
                      <wp:docPr id="154" name="Frame154"/>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43510" cy="175260"/>
                      <wp:effectExtent l="0" t="0" r="0" b="0"/>
                      <wp:wrapNone/>
                      <wp:docPr id="156" name="Frame1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41325" cy="175260"/>
                      <wp:effectExtent l="0" t="0" r="0" b="0"/>
                      <wp:wrapNone/>
                      <wp:docPr id="157" name="Frame157"/>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31495" cy="175260"/>
                      <wp:effectExtent l="0" t="0" r="0" b="0"/>
                      <wp:wrapNone/>
                      <wp:docPr id="159" name="Frame15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7,149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7,133</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9.25%</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4,683</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4,655</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11.00%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22,915</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22,830</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8.75%</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Retail Outparcels – Lawrenceville, GA</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January 2026</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7,200</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6,618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6,558</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11.25%</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Mount Carmel, OH</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June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6,127</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5,023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4,976</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11.50%</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Bradenton Beach, FL</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9,608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9,599</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9,599</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Anna Maria, FL</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16,408</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16,392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16,392</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Sale-Leaseback - Long Boat Key, FL</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August 2024</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7"/>
              </w:rPr>
              <w:t xml:space="preserve">August 2029 </w:t>
            </w:r>
            <w:r>
              <w:rPr>
                <w:rFonts w:ascii="Times New Roman;Times;serif" w:hAnsi="Times New Roman;Times;serif"/>
                <w:sz w:val="13"/>
              </w:rPr>
              <w:t>(1)</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5,408</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5,402</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5,402</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8.30%</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Publix Land Development – Charlotte, NC</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2024</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September 2025</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17,760</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9,967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9,881</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10.25%</w:t>
            </w:r>
          </w:p>
        </w:tc>
      </w:tr>
      <w:tr>
        <w:trPr/>
        <w:tc>
          <w:tcPr>
            <w:tcW w:w="22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101,136</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87,748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87,426</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r>
        <w:trPr/>
        <w:tc>
          <w:tcPr>
            <w:tcW w:w="2295"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9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(877)</w:t>
            </w:r>
          </w:p>
        </w:tc>
        <w:tc>
          <w:tcPr>
            <w:tcW w:w="326"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center"/>
              <w:rPr/>
            </w:pPr>
            <w:r>
              <w:rPr/>
              <w:t>​</w:t>
            </w:r>
          </w:p>
        </w:tc>
      </w:tr>
      <w:tr>
        <w:trPr/>
        <w:tc>
          <w:tcPr>
            <w:tcW w:w="2295"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9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86,549</w:t>
            </w:r>
          </w:p>
        </w:tc>
        <w:tc>
          <w:tcPr>
            <w:tcW w:w="326"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center"/>
              <w:rPr/>
            </w:pPr>
            <w:r>
              <w:rPr/>
              <w:t>​</w:t>
            </w:r>
          </w:p>
        </w:tc>
      </w:tr>
    </w:tbl>
    <w:tbl>
      <w:tblPr>
        <w:tblW w:w="8822" w:type="dxa"/>
        <w:jc w:val="left"/>
        <w:tblInd w:w="0" w:type="dxa"/>
        <w:tblLayout w:type="fixed"/>
        <w:tblCellMar>
          <w:top w:w="0" w:type="dxa"/>
          <w:left w:w="0" w:type="dxa"/>
          <w:bottom w:w="0" w:type="dxa"/>
          <w:right w:w="0" w:type="dxa"/>
        </w:tblCellMar>
      </w:tblPr>
      <w:tblGrid>
        <w:gridCol w:w="271"/>
        <w:gridCol w:w="855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85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maturity date reflects the date the tenant’s repurchase right first becomes exercisable pursuant to the lease agreement.</w:t>
            </w:r>
          </w:p>
        </w:tc>
      </w:tr>
    </w:tbl>
    <w:p>
      <w:pPr>
        <w:pStyle w:val="TextBody"/>
        <w:bidi w:val="0"/>
        <w:spacing w:before="0" w:after="0"/>
        <w:ind w:left="0" w:right="0" w:firstLine="72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commercial loans and investments were comprised of the following at December 31, 2023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2230"/>
        <w:gridCol w:w="326"/>
        <w:gridCol w:w="1085"/>
        <w:gridCol w:w="326"/>
        <w:gridCol w:w="969"/>
        <w:gridCol w:w="326"/>
        <w:gridCol w:w="269"/>
        <w:gridCol w:w="825"/>
        <w:gridCol w:w="326"/>
        <w:gridCol w:w="266"/>
        <w:gridCol w:w="818"/>
        <w:gridCol w:w="326"/>
        <w:gridCol w:w="230"/>
        <w:gridCol w:w="707"/>
        <w:gridCol w:w="326"/>
        <w:gridCol w:w="850"/>
      </w:tblGrid>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88975" cy="175260"/>
                      <wp:effectExtent l="0" t="0" r="0" b="0"/>
                      <wp:wrapNone/>
                      <wp:docPr id="160" name="Frame160"/>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15315" cy="175260"/>
                      <wp:effectExtent l="0" t="0" r="0" b="0"/>
                      <wp:wrapNone/>
                      <wp:docPr id="162" name="Frame162"/>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0815" cy="175260"/>
                      <wp:effectExtent l="0" t="0" r="0" b="0"/>
                      <wp:wrapNone/>
                      <wp:docPr id="164" name="Frame164"/>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23875" cy="175260"/>
                      <wp:effectExtent l="0" t="0" r="0" b="0"/>
                      <wp:wrapNone/>
                      <wp:docPr id="165" name="Frame165"/>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8910" cy="175260"/>
                      <wp:effectExtent l="0" t="0" r="0" b="0"/>
                      <wp:wrapNone/>
                      <wp:docPr id="167" name="Frame16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19430" cy="175260"/>
                      <wp:effectExtent l="0" t="0" r="0" b="0"/>
                      <wp:wrapNone/>
                      <wp:docPr id="168" name="Frame168"/>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46050" cy="175260"/>
                      <wp:effectExtent l="0" t="0" r="0" b="0"/>
                      <wp:wrapNone/>
                      <wp:docPr id="170" name="Frame17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48945" cy="175260"/>
                      <wp:effectExtent l="0" t="0" r="0" b="0"/>
                      <wp:wrapNone/>
                      <wp:docPr id="171" name="Frame171"/>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539750" cy="175260"/>
                      <wp:effectExtent l="0" t="0" r="0" b="0"/>
                      <wp:wrapNone/>
                      <wp:docPr id="173" name="Frame173"/>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Description</w:t>
            </w:r>
          </w:p>
        </w:tc>
        <w:tc>
          <w:tcPr>
            <w:tcW w:w="326" w:type="dxa"/>
            <w:tcBorders/>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Date of Investment</w:t>
            </w:r>
          </w:p>
        </w:tc>
        <w:tc>
          <w:tcPr>
            <w:tcW w:w="32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Maturity Date</w:t>
            </w:r>
          </w:p>
        </w:tc>
        <w:tc>
          <w:tcPr>
            <w:tcW w:w="326" w:type="dxa"/>
            <w:tcBorders/>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Original Face Amount</w:t>
            </w:r>
          </w:p>
        </w:tc>
        <w:tc>
          <w:tcPr>
            <w:tcW w:w="326" w:type="dxa"/>
            <w:tcBorders/>
            <w:vAlign w:val="center"/>
          </w:tcPr>
          <w:p>
            <w:pPr>
              <w:pStyle w:val="TableContents"/>
              <w:bidi w:val="0"/>
              <w:spacing w:before="0" w:after="0"/>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Current Face Amount</w:t>
            </w:r>
          </w:p>
        </w:tc>
        <w:tc>
          <w:tcPr>
            <w:tcW w:w="326" w:type="dxa"/>
            <w:tcBorders/>
            <w:vAlign w:val="center"/>
          </w:tcPr>
          <w:p>
            <w:pPr>
              <w:pStyle w:val="TableContents"/>
              <w:bidi w:val="0"/>
              <w:spacing w:before="0" w:after="0"/>
              <w:ind w:left="0" w:right="0" w:hanging="0"/>
              <w:jc w:val="left"/>
              <w:rPr/>
            </w:pPr>
            <w:r>
              <w:rPr/>
              <w:t>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Carrying Value</w:t>
            </w:r>
          </w:p>
        </w:tc>
        <w:tc>
          <w:tcPr>
            <w:tcW w:w="326" w:type="dxa"/>
            <w:tcBorders/>
            <w:vAlign w:val="center"/>
          </w:tcPr>
          <w:p>
            <w:pPr>
              <w:pStyle w:val="TableContents"/>
              <w:bidi w:val="0"/>
              <w:spacing w:before="0" w:after="0"/>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7"/>
              </w:rPr>
            </w:pPr>
            <w:r>
              <w:rPr>
                <w:rFonts w:ascii="Times New Roman;Times;serif" w:hAnsi="Times New Roman;Times;serif"/>
                <w:b/>
                <w:sz w:val="17"/>
              </w:rPr>
              <w:t>Coupon Rate</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Greenwood, IN</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July 2025</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6,984</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8.50%</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Construction Loan – Wawa Land Development – Antioch, TN</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2023</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October 2025</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6,825</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4,615</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4,568</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11.00%</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Mortgage Note – Portfolio</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2023</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center"/>
              <w:rPr>
                <w:rFonts w:ascii="Times New Roman;Times;serif" w:hAnsi="Times New Roman;Times;serif"/>
                <w:sz w:val="17"/>
              </w:rPr>
            </w:pPr>
            <w:r>
              <w:rPr>
                <w:rFonts w:ascii="Times New Roman;Times;serif" w:hAnsi="Times New Roman;Times;serif"/>
                <w:sz w:val="17"/>
              </w:rPr>
              <w:t>November 2026</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24,000</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23,885</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8.75%</w:t>
            </w:r>
          </w:p>
        </w:tc>
      </w:tr>
      <w:tr>
        <w:trPr/>
        <w:tc>
          <w:tcPr>
            <w:tcW w:w="22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38,625</w:t>
            </w:r>
          </w:p>
        </w:tc>
        <w:tc>
          <w:tcPr>
            <w:tcW w:w="326" w:type="dxa"/>
            <w:tcBorders/>
            <w:vAlign w:val="center"/>
          </w:tcPr>
          <w:p>
            <w:pPr>
              <w:pStyle w:val="TableContents"/>
              <w:bidi w:val="0"/>
              <w:spacing w:before="0" w:after="0"/>
              <w:ind w:left="0" w:right="0" w:hanging="0"/>
              <w:jc w:val="left"/>
              <w:rPr/>
            </w:pPr>
            <w:r>
              <w:rPr/>
              <w:t>​</w:t>
            </w:r>
          </w:p>
        </w:tc>
        <w:tc>
          <w:tcPr>
            <w:tcW w:w="2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35,629</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35,437</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center"/>
              <w:rPr/>
            </w:pPr>
            <w:r>
              <w:rPr/>
              <w:t>​</w:t>
            </w:r>
          </w:p>
        </w:tc>
      </w:tr>
      <w:tr>
        <w:trPr/>
        <w:tc>
          <w:tcPr>
            <w:tcW w:w="2230"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CECL Reserve</w:t>
            </w:r>
          </w:p>
        </w:tc>
        <w:tc>
          <w:tcPr>
            <w:tcW w:w="326" w:type="dxa"/>
            <w:tcBorders/>
            <w:shd w:fill="CCEEFF" w:val="clear"/>
            <w:vAlign w:val="center"/>
          </w:tcPr>
          <w:p>
            <w:pPr>
              <w:pStyle w:val="TableContents"/>
              <w:bidi w:val="0"/>
              <w:spacing w:before="0" w:after="0"/>
              <w:ind w:left="0" w:right="0" w:hanging="0"/>
              <w:jc w:val="left"/>
              <w:rPr/>
            </w:pPr>
            <w:r>
              <w:rPr/>
              <w:t>​</w:t>
            </w:r>
          </w:p>
        </w:tc>
        <w:tc>
          <w:tcPr>
            <w:tcW w:w="10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8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left"/>
              <w:rPr/>
            </w:pPr>
            <w:r>
              <w:rPr/>
              <w:t>​</w:t>
            </w:r>
          </w:p>
        </w:tc>
      </w:tr>
      <w:tr>
        <w:trPr/>
        <w:tc>
          <w:tcPr>
            <w:tcW w:w="2230"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Total Commercial Loans and Investments</w:t>
            </w:r>
          </w:p>
        </w:tc>
        <w:tc>
          <w:tcPr>
            <w:tcW w:w="326"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8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7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35,080</w:t>
            </w:r>
          </w:p>
        </w:tc>
        <w:tc>
          <w:tcPr>
            <w:tcW w:w="326"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The carrying value of the commercial loans and investments consisted of the following at September 30, 2024 and December 31, 2023 (in thousands).</w:t>
      </w:r>
    </w:p>
    <w:p>
      <w:pPr>
        <w:pStyle w:val="TextBody"/>
        <w:bidi w:val="0"/>
        <w:spacing w:before="0" w:after="240"/>
        <w:ind w:left="0" w:right="0" w:firstLine="720"/>
        <w:jc w:val="left"/>
        <w:rPr/>
      </w:pPr>
      <w:r>
        <w:rPr/>
        <w:t>​</w:t>
      </w:r>
    </w:p>
    <w:tbl>
      <w:tblPr>
        <w:tblW w:w="7688" w:type="dxa"/>
        <w:jc w:val="left"/>
        <w:tblInd w:w="0" w:type="dxa"/>
        <w:tblLayout w:type="fixed"/>
        <w:tblCellMar>
          <w:top w:w="0" w:type="dxa"/>
          <w:left w:w="0" w:type="dxa"/>
          <w:bottom w:w="0" w:type="dxa"/>
          <w:right w:w="0" w:type="dxa"/>
        </w:tblCellMar>
      </w:tblPr>
      <w:tblGrid>
        <w:gridCol w:w="3496"/>
        <w:gridCol w:w="326"/>
        <w:gridCol w:w="420"/>
        <w:gridCol w:w="1350"/>
        <w:gridCol w:w="326"/>
        <w:gridCol w:w="375"/>
        <w:gridCol w:w="1395"/>
      </w:tblGrid>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left"/>
              <w:rPr/>
            </w:pPr>
            <w:r>
              <w:rPr/>
              <w:t>​</w:t>
            </w:r>
          </w:p>
        </w:tc>
      </w:tr>
      <w:tr>
        <w:trPr/>
        <w:tc>
          <w:tcPr>
            <w:tcW w:w="34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6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4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1"/>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87,748</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35,629</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13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13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3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w:t>
            </w:r>
          </w:p>
        </w:tc>
        <w:tc>
          <w:tcPr>
            <w:tcW w:w="326"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3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Loans and Investments</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86,549</w:t>
            </w:r>
          </w:p>
        </w:tc>
        <w:tc>
          <w:tcPr>
            <w:tcW w:w="326"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35,080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4" w:name="Tc_Ts5aS0DtPki2pr_KbOQ-Rg_10_12"/>
      <w:bookmarkStart w:id="955" w:name="Tc_SiN61h9naUSRlgzoVHWN7A_10_11"/>
      <w:bookmarkStart w:id="956" w:name="Tc_lLDJ9VsckEWS4Lu6BQyDqQ_10_8"/>
      <w:bookmarkStart w:id="957" w:name="Tc_ageF9BpUckKgMLrhqvXevw_10_6"/>
      <w:bookmarkStart w:id="958" w:name="Tc_GcCy15DMF02oyOnq3M8m7A_10_5"/>
      <w:bookmarkStart w:id="959" w:name="Tc_DaHHPbCEO0WqfKQUGqHWtA_10_2"/>
      <w:bookmarkStart w:id="960" w:name="Tc_Tx5Ycsyr9Eeimebj2T0Jxg_10_0"/>
      <w:bookmarkStart w:id="961" w:name="Tc_45y5ATKOI06ZjsOPDxf61Q_9_12"/>
      <w:bookmarkStart w:id="962" w:name="Tc_FliCJacFE0Cle4052vWx8Q_9_11"/>
      <w:bookmarkStart w:id="963" w:name="Tc_4XuqB-rlmU2visEOBs-Ikg_9_8"/>
      <w:bookmarkStart w:id="964" w:name="Tc_HnLwUlcoN0arMMPNUaiX9w_9_6"/>
      <w:bookmarkStart w:id="965" w:name="Tc_gd9sBvtcB0CRM5XxVltI3g_9_5"/>
      <w:bookmarkStart w:id="966" w:name="Tc_Y_TTB8D8_kiPkxhdfKYbKA_9_2"/>
      <w:bookmarkStart w:id="967" w:name="Tc_b8kYbR1hD0K1c0iLbN-N8w_9_0"/>
      <w:bookmarkStart w:id="968" w:name="Tc_ofZ7Je1JekSabe_meketbQ_8_12"/>
      <w:bookmarkStart w:id="969" w:name="Tc_gE4M_FsgX0e6fOw6rGpclQ_8_11"/>
      <w:bookmarkStart w:id="970" w:name="Tc_-SNRCf4sRkmQdfrZd4Mqng_8_8"/>
      <w:bookmarkStart w:id="971" w:name="Tc_aVKIWnzEdEqFo6wMGq5kNQ_8_6"/>
      <w:bookmarkStart w:id="972" w:name="Tc_P4hFKCcZ5Eq3TwfQBgvM-g_8_5"/>
      <w:bookmarkStart w:id="973" w:name="Tc_iXT_s9Exyk2nhvWYweqZzA_8_2"/>
      <w:bookmarkStart w:id="974" w:name="Tc_lytHUdBTVUG0lSQrvl8iRA_8_0"/>
      <w:bookmarkStart w:id="975" w:name="Tc_T4PxFERx7kiFrZg4KYc_DA_7_0"/>
      <w:bookmarkStart w:id="976" w:name="Tc_T0pCcc8uG0S95glaimyb3w_6_12"/>
      <w:bookmarkStart w:id="977" w:name="Tc_8T9_kIdSNECRHe3c2eLdQg_6_11"/>
      <w:bookmarkStart w:id="978" w:name="Tc_o8tMXQASX0Wj86Wp2-crBg_6_8"/>
      <w:bookmarkStart w:id="979" w:name="Tc_jbHmbIS7ZEuC_uQtYqQ-cA_6_6"/>
      <w:bookmarkStart w:id="980" w:name="Tc_ptnU1gIYUkWmIIUIeoAeIg_6_5"/>
      <w:bookmarkStart w:id="981" w:name="Tc_Lrrff71XSEWhxvy5hVbJoA_6_2"/>
      <w:bookmarkStart w:id="982" w:name="Tc_qUT8mZ5q30GpguaZEyF-yA_6_0"/>
      <w:bookmarkStart w:id="983" w:name="Tc_Lvlu2SfhwU6YIAFnrIP8DQ_5_12"/>
      <w:bookmarkStart w:id="984" w:name="Tc_JpVqiID4tkqUfm_3xoJ77g_5_11"/>
      <w:bookmarkStart w:id="985" w:name="Tc_CXyrGSeiCkm8MaRKo7A9hg_5_8"/>
      <w:bookmarkStart w:id="986" w:name="Tc_Kc1UFX4NwkeUTH61Pp2FHg_5_6"/>
      <w:bookmarkStart w:id="987" w:name="Tc_bdhRUyJZsUaZGNesfxE85A_5_5"/>
      <w:bookmarkStart w:id="988" w:name="Tc_RgIjErmtyEKakCbssjbWSA_5_2"/>
      <w:bookmarkStart w:id="989" w:name="Tc_feU-oeEbPkK3CUcOsK2Qiw_5_0"/>
      <w:bookmarkStart w:id="990" w:name="Tc_Ad4D-y_GmU2BveP1BcOiAg_4_12"/>
      <w:bookmarkStart w:id="991" w:name="Tc_VFKVLLdGmky8NdQO3xzIuQ_4_11"/>
      <w:bookmarkStart w:id="992" w:name="Tc_U1pju6_lCUenG689xRbvqQ_4_8"/>
      <w:bookmarkStart w:id="993" w:name="Tc_05rxL1KIy0S3CHj5zjCk1Q_4_6"/>
      <w:bookmarkStart w:id="994" w:name="Tc_qHGv7SHxWEGoDaTu5pgp8Q_4_5"/>
      <w:bookmarkStart w:id="995" w:name="Tc_hMjc0XQBb0WRFR7-pH6D3A_4_2"/>
      <w:bookmarkStart w:id="996" w:name="Tc_JAK29yR-g0W4c5Ulw_cx3Q_4_0"/>
      <w:bookmarkStart w:id="997" w:name="Tc_4bMtZYxtAk-D1uJZ-zaL9g_3_0"/>
      <w:bookmarkStart w:id="998" w:name="Tc_cgjDSAI52UCRd2hYvHY7GQ_2_11"/>
      <w:bookmarkStart w:id="999" w:name="Tc_AgGJGgvLNkuotnNnNhMCkQ_2_8"/>
      <w:bookmarkStart w:id="1000" w:name="Tc_tLjp4NDgxUuRwPR6fyVJgw_2_5"/>
      <w:bookmarkStart w:id="1001" w:name="Tc_YJOvnPmeqUi5zl1WR8JFeg_2_2"/>
      <w:bookmarkStart w:id="1002" w:name="Tc_toop4ghEw0m85TWSu1vE9w_1_5"/>
      <w:bookmarkStart w:id="1003" w:name="_d2a09599_84f9_4581_9e8b_b5b5a67ed9f7"/>
      <w:bookmarkStart w:id="1004" w:name="Tc_QM5sgiCopku9q0amsHtrgw_7_11"/>
      <w:bookmarkStart w:id="1005" w:name="Tc_SR78A5MgNEC6BKbXNKldcA_7_8"/>
      <w:bookmarkStart w:id="1006" w:name="Tc_78Yog2-RwEGG0UfJB41kzw_7_5"/>
      <w:bookmarkStart w:id="1007" w:name="Tc_kBXplP9KMEylXBhDnFffEg_7_2"/>
      <w:bookmarkStart w:id="1008" w:name="Tc_Wy8rQfYlcUWDKFLQzkllQw_7_0"/>
      <w:bookmarkStart w:id="1009" w:name="Tc_LRpPEDirgU6mYpJ139uEIQ_6_12"/>
      <w:bookmarkStart w:id="1010" w:name="Tc_AxUwlu5prEuftouuSJycYg_6_11"/>
      <w:bookmarkStart w:id="1011" w:name="Tc_07I1-H-FtUq4ifXgTa7P6A_6_9"/>
      <w:bookmarkStart w:id="1012" w:name="Tc_jPN4xtn9KkO14s0TlJNkIg_6_8"/>
      <w:bookmarkStart w:id="1013" w:name="Tc_4TbA7qc7PESSW4FjaZxHvw_6_5"/>
      <w:bookmarkStart w:id="1014" w:name="Tc_sib25pEOTk2DcMeTDC1ubg_6_2"/>
      <w:bookmarkStart w:id="1015" w:name="Tc_DUfaBGOiI0qRquQFwswuLA_6_0"/>
      <w:bookmarkStart w:id="1016" w:name="Tc_iz1unNQJAEaqtIrUy9-dVQ_5_11"/>
      <w:bookmarkStart w:id="1017" w:name="Tc_pwYviVi2W0SFkJWSPGtEPA_5_8"/>
      <w:bookmarkStart w:id="1018" w:name="Tc__c3VO1IHyU2s34-fJwxujg_5_5"/>
      <w:bookmarkStart w:id="1019" w:name="Tc_oowhViUAmEChX4HbQi3cgw_5_2"/>
      <w:bookmarkStart w:id="1020" w:name="Tc_TNrtby8ta0OZchfJ2gTUzg_5_0"/>
      <w:bookmarkStart w:id="1021" w:name="Tc_wSQCRszGYkCARktH4i8MqQ_4_11"/>
      <w:bookmarkStart w:id="1022" w:name="Tc__qKG8NVYy0WNmDkLA-tzAw_4_8"/>
      <w:bookmarkStart w:id="1023" w:name="Tc_BrlVFkm_bUuNHf2VM-WU3Q_4_5"/>
      <w:bookmarkStart w:id="1024" w:name="Tc_ctf6zaORikKAO3XfUvqnBQ_4_2"/>
      <w:bookmarkStart w:id="1025" w:name="Tc_SNzoL8OCPkyml3bOz9hVDQ_4_0"/>
      <w:bookmarkStart w:id="1026" w:name="Tc_Fuxej_r-u0mG2f8invwoiQ_3_11"/>
      <w:bookmarkStart w:id="1027" w:name="Tc_9B9JtXOqe0OpDXbzJ1rIUA_3_8"/>
      <w:bookmarkStart w:id="1028" w:name="Tc_kcF_SoXhlEebaAFCbd2UdQ_3_5"/>
      <w:bookmarkStart w:id="1029" w:name="Tc_gNplk1l-V0yHfHEV819EOA_3_2"/>
      <w:bookmarkStart w:id="1030" w:name="Tc_CQKb6HveB0-1TiynvDFjww_3_0"/>
      <w:bookmarkStart w:id="1031" w:name="Tc_3DwROGZ5qkq7wGHHUWrQOg_2_11"/>
      <w:bookmarkStart w:id="1032" w:name="Tc_Pcr_434ucEavPn13kxFm3w_2_8"/>
      <w:bookmarkStart w:id="1033" w:name="Tc_jdnbT-EW5kKM-eEpiXwRDQ_2_5"/>
      <w:bookmarkStart w:id="1034" w:name="Tc_GNsYIQpLtUKzFZzQqj_FkA_2_2"/>
      <w:bookmarkStart w:id="1035" w:name="Tc_ANHnODF4fkur1ive-EPWUA_1_8"/>
      <w:bookmarkStart w:id="1036" w:name="Tc_cuNhwfHrakGyUey2P8BulQ_1_2"/>
      <w:bookmarkStart w:id="1037" w:name="_05634ae2_d568_437c_a720_3b9b2ba7704b"/>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r>
        <w:rPr>
          <w:rFonts w:ascii="Times New Roman;Times;serif" w:hAnsi="Times New Roman;Times;serif"/>
          <w:b/>
          <w:sz w:val="20"/>
        </w:rPr>
        <w:t>NOTE 5. FAIR VALUE OF FINANCIAL INSTRUMENTS</w:t>
      </w:r>
    </w:p>
    <w:p>
      <w:pPr>
        <w:pStyle w:val="TextBody"/>
        <w:bidi w:val="0"/>
        <w:spacing w:lineRule="auto" w:line="256"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value and estimated fair value of the Company’s financial instruments not carried at fair value on the consolidated balance sheets at September 30, 2024 and December 31,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096"/>
        <w:gridCol w:w="326"/>
        <w:gridCol w:w="274"/>
        <w:gridCol w:w="1017"/>
        <w:gridCol w:w="326"/>
        <w:gridCol w:w="338"/>
        <w:gridCol w:w="1256"/>
        <w:gridCol w:w="326"/>
        <w:gridCol w:w="274"/>
        <w:gridCol w:w="1017"/>
        <w:gridCol w:w="326"/>
        <w:gridCol w:w="312"/>
        <w:gridCol w:w="1317"/>
      </w:tblGrid>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3990" cy="175260"/>
                      <wp:effectExtent l="0" t="0" r="0" b="0"/>
                      <wp:wrapNone/>
                      <wp:docPr id="175" name="Frame17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5795" cy="175260"/>
                      <wp:effectExtent l="0" t="0" r="0" b="0"/>
                      <wp:wrapNone/>
                      <wp:docPr id="176" name="Frame176"/>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4630" cy="175260"/>
                      <wp:effectExtent l="0" t="0" r="0" b="0"/>
                      <wp:wrapNone/>
                      <wp:docPr id="178" name="Frame17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97560" cy="175260"/>
                      <wp:effectExtent l="0" t="0" r="0" b="0"/>
                      <wp:wrapNone/>
                      <wp:docPr id="179" name="Frame179"/>
                      <a:graphic xmlns:a="http://schemas.openxmlformats.org/drawingml/2006/main">
                        <a:graphicData uri="http://schemas.microsoft.com/office/word/2010/wordprocessingShape">
                          <wps:wsp>
                            <wps:cNvSpPr txBox="1"/>
                            <wps:spPr>
                              <a:xfrm>
                                <a:off x="0" y="0"/>
                                <a:ext cx="79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3990" cy="175260"/>
                      <wp:effectExtent l="0" t="0" r="0" b="0"/>
                      <wp:wrapNone/>
                      <wp:docPr id="181" name="Frame18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5795" cy="175260"/>
                      <wp:effectExtent l="0" t="0" r="0" b="0"/>
                      <wp:wrapNone/>
                      <wp:docPr id="182" name="Frame182"/>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8120" cy="175260"/>
                      <wp:effectExtent l="0" t="0" r="0" b="0"/>
                      <wp:wrapNone/>
                      <wp:docPr id="184" name="Frame184"/>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836295" cy="175260"/>
                      <wp:effectExtent l="0" t="0" r="0" b="0"/>
                      <wp:wrapNone/>
                      <wp:docPr id="185" name="Frame185"/>
                      <a:graphic xmlns:a="http://schemas.openxmlformats.org/drawingml/2006/main">
                        <a:graphicData uri="http://schemas.microsoft.com/office/word/2010/wordprocessingShape">
                          <wps:wsp>
                            <wps:cNvSpPr txBox="1"/>
                            <wps:spPr>
                              <a:xfrm>
                                <a:off x="0" y="0"/>
                                <a:ext cx="836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0"/>
              <w:ind w:left="0" w:right="0" w:hanging="0"/>
              <w:jc w:val="left"/>
              <w:rPr/>
            </w:pPr>
            <w:r>
              <w:rPr/>
              <w:t>​</w:t>
            </w:r>
          </w:p>
        </w:tc>
        <w:tc>
          <w:tcPr>
            <w:tcW w:w="32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Estimated Fair Value </w:t>
            </w:r>
          </w:p>
        </w:tc>
        <w:tc>
          <w:tcPr>
            <w:tcW w:w="326" w:type="dxa"/>
            <w:tcBorders/>
            <w:vAlign w:val="center"/>
          </w:tcPr>
          <w:p>
            <w:pPr>
              <w:pStyle w:val="TableContents"/>
              <w:bidi w:val="0"/>
              <w:spacing w:before="0" w:after="0"/>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Carrying Value </w:t>
            </w:r>
          </w:p>
        </w:tc>
        <w:tc>
          <w:tcPr>
            <w:tcW w:w="326" w:type="dxa"/>
            <w:tcBorders/>
            <w:vAlign w:val="center"/>
          </w:tcPr>
          <w:p>
            <w:pPr>
              <w:pStyle w:val="TableContents"/>
              <w:bidi w:val="0"/>
              <w:spacing w:before="0" w:after="0"/>
              <w:ind w:left="0" w:right="0" w:hanging="0"/>
              <w:jc w:val="left"/>
              <w:rPr/>
            </w:pPr>
            <w:r>
              <w:rPr/>
              <w:t>    </w:t>
            </w:r>
          </w:p>
        </w:tc>
        <w:tc>
          <w:tcPr>
            <w:tcW w:w="16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Estimated Fair Value</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Level 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r>
        <w:trPr/>
        <w:tc>
          <w:tcPr>
            <w:tcW w:w="3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Level 1</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25,495</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9,712</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86,549</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35,080</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36,288</w:t>
            </w:r>
          </w:p>
        </w:tc>
      </w:tr>
      <w:tr>
        <w:trPr/>
        <w:tc>
          <w:tcPr>
            <w:tcW w:w="3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 - Level 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13,178</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vAlign w:val="center"/>
          </w:tcPr>
          <w:p>
            <w:pPr>
              <w:pStyle w:val="TableContents"/>
              <w:bidi w:val="0"/>
              <w:spacing w:before="0" w:after="0"/>
              <w:ind w:left="0" w:right="0" w:hanging="0"/>
              <w:jc w:val="right"/>
              <w:rPr/>
            </w:pPr>
            <w:r>
              <w:rPr/>
              <w:t>—</w:t>
            </w:r>
          </w:p>
        </w:tc>
      </w:tr>
      <w:tr>
        <w:trPr/>
        <w:tc>
          <w:tcPr>
            <w:tcW w:w="3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 Level 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278,898</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267,786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7"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258,613</w:t>
            </w:r>
          </w:p>
        </w:tc>
      </w:tr>
    </w:tbl>
    <w:p>
      <w:pPr>
        <w:pStyle w:val="TextBody"/>
        <w:bidi w:val="0"/>
        <w:spacing w:lineRule="auto" w:line="256" w:before="0" w:after="0"/>
        <w:ind w:left="0" w:right="0" w:hanging="0"/>
        <w:jc w:val="both"/>
        <w:rPr/>
      </w:pPr>
      <w:r>
        <w:rPr/>
        <w:t> </w:t>
      </w:r>
    </w:p>
    <w:p>
      <w:pPr>
        <w:pStyle w:val="TextBody"/>
        <w:bidi w:val="0"/>
        <w:spacing w:lineRule="auto" w:line="256" w:before="0" w:after="240"/>
        <w:ind w:left="0" w:right="0" w:hanging="0"/>
        <w:jc w:val="both"/>
        <w:rPr/>
      </w:pPr>
      <w:r>
        <w:rPr/>
        <w:t> </w:t>
      </w:r>
    </w:p>
    <w:p>
      <w:pPr>
        <w:pStyle w:val="TextBody"/>
        <w:bidi w:val="0"/>
        <w:spacing w:lineRule="auto" w:line="256" w:before="240" w:after="240"/>
        <w:ind w:left="0" w:right="0" w:firstLine="360"/>
        <w:jc w:val="both"/>
        <w:rPr>
          <w:rFonts w:ascii="Times New Roman;Times;serif" w:hAnsi="Times New Roman;Times;serif"/>
          <w:sz w:val="20"/>
        </w:rPr>
      </w:pPr>
      <w:r>
        <w:rPr>
          <w:rFonts w:ascii="Times New Roman;Times;serif" w:hAnsi="Times New Roman;Times;serif"/>
          <w:sz w:val="20"/>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pStyle w:val="TextBody"/>
        <w:bidi w:val="0"/>
        <w:spacing w:lineRule="auto" w:line="256" w:before="240" w:after="0"/>
        <w:ind w:left="0" w:right="0" w:firstLine="360"/>
        <w:jc w:val="both"/>
        <w:rPr>
          <w:rFonts w:ascii="Times New Roman;Times;serif" w:hAnsi="Times New Roman;Times;serif"/>
          <w:sz w:val="20"/>
        </w:rPr>
      </w:pPr>
      <w:r>
        <w:rPr>
          <w:rFonts w:ascii="Times New Roman;Times;serif" w:hAnsi="Times New Roman;Times;serif"/>
          <w:sz w:val="20"/>
        </w:rPr>
        <w:t>The following tables present the fair value of assets measured on a recurring basis by level as of September 30, 2024 and December 31, 2023 (in thousands). See Note 14, “Interest Rate Swaps” for further disclosure related to the Company’s interest rate swaps.</w:t>
      </w:r>
    </w:p>
    <w:p>
      <w:pPr>
        <w:pStyle w:val="TextBody"/>
        <w:bidi w:val="0"/>
        <w:spacing w:lineRule="auto" w:line="256"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888"/>
        <w:gridCol w:w="326"/>
        <w:gridCol w:w="230"/>
        <w:gridCol w:w="622"/>
        <w:gridCol w:w="326"/>
        <w:gridCol w:w="823"/>
        <w:gridCol w:w="1351"/>
        <w:gridCol w:w="343"/>
        <w:gridCol w:w="520"/>
        <w:gridCol w:w="1414"/>
        <w:gridCol w:w="343"/>
        <w:gridCol w:w="641"/>
        <w:gridCol w:w="1378"/>
      </w:tblGrid>
      <w:tr>
        <w:trPr/>
        <w:tc>
          <w:tcPr>
            <w:tcW w:w="1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198880" cy="175260"/>
                      <wp:effectExtent l="0" t="0" r="0" b="0"/>
                      <wp:wrapNone/>
                      <wp:docPr id="186" name="Frame186"/>
                      <a:graphic xmlns:a="http://schemas.openxmlformats.org/drawingml/2006/main">
                        <a:graphicData uri="http://schemas.microsoft.com/office/word/2010/wordprocessingShape">
                          <wps:wsp>
                            <wps:cNvSpPr txBox="1"/>
                            <wps:spPr>
                              <a:xfrm>
                                <a:off x="0" y="0"/>
                                <a:ext cx="1198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46050" cy="175260"/>
                      <wp:effectExtent l="0" t="0" r="0" b="0"/>
                      <wp:wrapNone/>
                      <wp:docPr id="188" name="Frame18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94970" cy="175260"/>
                      <wp:effectExtent l="0" t="0" r="0" b="0"/>
                      <wp:wrapNone/>
                      <wp:docPr id="189" name="Frame189"/>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22605" cy="175260"/>
                      <wp:effectExtent l="0" t="0" r="0" b="0"/>
                      <wp:wrapNone/>
                      <wp:docPr id="191" name="Frame191"/>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57885" cy="175260"/>
                      <wp:effectExtent l="0" t="0" r="0" b="0"/>
                      <wp:wrapNone/>
                      <wp:docPr id="192" name="Frame19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7805" cy="175260"/>
                      <wp:effectExtent l="0" t="0" r="0" b="0"/>
                      <wp:wrapNone/>
                      <wp:docPr id="193" name="Frame193"/>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30200" cy="175260"/>
                      <wp:effectExtent l="0" t="0" r="0" b="0"/>
                      <wp:wrapNone/>
                      <wp:docPr id="194" name="Frame194"/>
                      <a:graphic xmlns:a="http://schemas.openxmlformats.org/drawingml/2006/main">
                        <a:graphicData uri="http://schemas.microsoft.com/office/word/2010/wordprocessingShape">
                          <wps:wsp>
                            <wps:cNvSpPr txBox="1"/>
                            <wps:spPr>
                              <a:xfrm>
                                <a:off x="0" y="0"/>
                                <a:ext cx="330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897890" cy="175260"/>
                      <wp:effectExtent l="0" t="0" r="0" b="0"/>
                      <wp:wrapNone/>
                      <wp:docPr id="195" name="Frame195"/>
                      <a:graphic xmlns:a="http://schemas.openxmlformats.org/drawingml/2006/main">
                        <a:graphicData uri="http://schemas.microsoft.com/office/word/2010/wordprocessingShape">
                          <wps:wsp>
                            <wps:cNvSpPr txBox="1"/>
                            <wps:spPr>
                              <a:xfrm>
                                <a:off x="0" y="0"/>
                                <a:ext cx="897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7805" cy="175260"/>
                      <wp:effectExtent l="0" t="0" r="0" b="0"/>
                      <wp:wrapNone/>
                      <wp:docPr id="196" name="Frame19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07035" cy="175260"/>
                      <wp:effectExtent l="0" t="0" r="0" b="0"/>
                      <wp:wrapNone/>
                      <wp:docPr id="197" name="Frame197"/>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875030" cy="175260"/>
                      <wp:effectExtent l="0" t="0" r="0" b="0"/>
                      <wp:wrapNone/>
                      <wp:docPr id="198" name="Frame198"/>
                      <a:graphic xmlns:a="http://schemas.openxmlformats.org/drawingml/2006/main">
                        <a:graphicData uri="http://schemas.microsoft.com/office/word/2010/wordprocessingShape">
                          <wps:wsp>
                            <wps:cNvSpPr txBox="1"/>
                            <wps:spPr>
                              <a:xfrm>
                                <a:off x="0" y="0"/>
                                <a:ext cx="875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at Reporting Date Using</w:t>
            </w:r>
          </w:p>
        </w:tc>
      </w:tr>
      <w:tr>
        <w:trPr/>
        <w:tc>
          <w:tcPr>
            <w:tcW w:w="18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w:t>
            </w:r>
          </w:p>
        </w:tc>
        <w:tc>
          <w:tcPr>
            <w:tcW w:w="326" w:type="dxa"/>
            <w:tcBorders/>
            <w:vAlign w:val="center"/>
          </w:tcPr>
          <w:p>
            <w:pPr>
              <w:pStyle w:val="TableContents"/>
              <w:bidi w:val="0"/>
              <w:spacing w:before="0" w:after="0"/>
              <w:ind w:left="0" w:right="0" w:hanging="0"/>
              <w:jc w:val="left"/>
              <w:rPr/>
            </w:pPr>
            <w:r>
              <w:rPr/>
              <w:t>    </w:t>
            </w:r>
          </w:p>
        </w:tc>
        <w:tc>
          <w:tcPr>
            <w:tcW w:w="2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Quoted Prices in Active Markets for Identical Assets (Level 1)</w:t>
            </w:r>
          </w:p>
        </w:tc>
        <w:tc>
          <w:tcPr>
            <w:tcW w:w="343" w:type="dxa"/>
            <w:tcBorders/>
            <w:vAlign w:val="center"/>
          </w:tcPr>
          <w:p>
            <w:pPr>
              <w:pStyle w:val="TableContents"/>
              <w:bidi w:val="0"/>
              <w:spacing w:before="0" w:after="0"/>
              <w:ind w:left="0" w:right="0" w:hanging="0"/>
              <w:jc w:val="left"/>
              <w:rPr/>
            </w:pPr>
            <w:r>
              <w:rPr/>
              <w:t>    </w:t>
            </w:r>
          </w:p>
        </w:tc>
        <w:tc>
          <w:tcPr>
            <w:tcW w:w="1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Other Observable Inputs (Level 2)</w:t>
            </w:r>
          </w:p>
        </w:tc>
        <w:tc>
          <w:tcPr>
            <w:tcW w:w="343" w:type="dxa"/>
            <w:tcBorders/>
            <w:vAlign w:val="center"/>
          </w:tcPr>
          <w:p>
            <w:pPr>
              <w:pStyle w:val="TableContents"/>
              <w:bidi w:val="0"/>
              <w:spacing w:before="0" w:after="0"/>
              <w:ind w:left="0" w:right="0" w:hanging="0"/>
              <w:jc w:val="left"/>
              <w:rPr/>
            </w:pPr>
            <w:r>
              <w:rPr/>
              <w:t>    </w:t>
            </w:r>
          </w:p>
        </w:tc>
        <w:tc>
          <w:tcPr>
            <w:tcW w:w="2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Significant Unobservable Inputs (Level 3)</w:t>
            </w:r>
          </w:p>
        </w:tc>
      </w:tr>
      <w:tr>
        <w:trPr/>
        <w:tc>
          <w:tcPr>
            <w:tcW w:w="18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414"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1378" w:type="dxa"/>
            <w:tcBorders/>
            <w:shd w:fill="CCEEFF" w:val="clear"/>
            <w:vAlign w:val="center"/>
          </w:tcPr>
          <w:p>
            <w:pPr>
              <w:pStyle w:val="TableContents"/>
              <w:bidi w:val="0"/>
              <w:spacing w:before="0" w:after="0"/>
              <w:ind w:left="0" w:right="0" w:hanging="0"/>
              <w:jc w:val="right"/>
              <w:rPr/>
            </w:pPr>
            <w:r>
              <w:rPr/>
              <w:t>​</w:t>
            </w:r>
          </w:p>
        </w:tc>
      </w:tr>
      <w:tr>
        <w:trPr/>
        <w:tc>
          <w:tcPr>
            <w:tcW w:w="188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c>
          <w:tcPr>
            <w:tcW w:w="343"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vAlign w:val="center"/>
          </w:tcPr>
          <w:p>
            <w:pPr>
              <w:pStyle w:val="TableContents"/>
              <w:bidi w:val="0"/>
              <w:spacing w:before="0" w:after="0"/>
              <w:ind w:left="0" w:right="0" w:hanging="0"/>
              <w:jc w:val="right"/>
              <w:rPr/>
            </w:pPr>
            <w:r>
              <w:rPr/>
              <w:t>—</w:t>
            </w:r>
          </w:p>
        </w:tc>
      </w:tr>
      <w:tr>
        <w:trPr/>
        <w:tc>
          <w:tcPr>
            <w:tcW w:w="188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3,231</w:t>
            </w:r>
          </w:p>
        </w:tc>
        <w:tc>
          <w:tcPr>
            <w:tcW w:w="343"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CCEEFF" w:val="clear"/>
            <w:vAlign w:val="center"/>
          </w:tcPr>
          <w:p>
            <w:pPr>
              <w:pStyle w:val="TableContents"/>
              <w:bidi w:val="0"/>
              <w:spacing w:before="0" w:after="0"/>
              <w:ind w:left="0" w:right="0" w:hanging="0"/>
              <w:jc w:val="right"/>
              <w:rPr/>
            </w:pPr>
            <w:r>
              <w:rPr/>
              <w:t>—</w:t>
            </w:r>
          </w:p>
        </w:tc>
      </w:tr>
      <w:tr>
        <w:trPr/>
        <w:tc>
          <w:tcPr>
            <w:tcW w:w="188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3"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vAlign w:val="center"/>
          </w:tcPr>
          <w:p>
            <w:pPr>
              <w:pStyle w:val="TableContents"/>
              <w:bidi w:val="0"/>
              <w:spacing w:before="0" w:after="0"/>
              <w:ind w:left="0" w:right="0" w:hanging="0"/>
              <w:jc w:val="right"/>
              <w:rPr/>
            </w:pPr>
            <w:r>
              <w:rPr/>
              <w:t>—</w:t>
            </w:r>
          </w:p>
        </w:tc>
      </w:tr>
      <w:tr>
        <w:trPr/>
        <w:tc>
          <w:tcPr>
            <w:tcW w:w="18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1414" w:type="dxa"/>
            <w:tcBorders/>
            <w:shd w:fill="CCEEFF" w:val="clear"/>
            <w:vAlign w:val="center"/>
          </w:tcPr>
          <w:p>
            <w:pPr>
              <w:pStyle w:val="TableContents"/>
              <w:bidi w:val="0"/>
              <w:spacing w:before="0" w:after="0"/>
              <w:ind w:left="0" w:right="0" w:hanging="0"/>
              <w:jc w:val="lef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pPr>
            <w:r>
              <w:rPr/>
              <w:t>​</w:t>
            </w:r>
          </w:p>
        </w:tc>
        <w:tc>
          <w:tcPr>
            <w:tcW w:w="1378" w:type="dxa"/>
            <w:tcBorders/>
            <w:shd w:fill="CCEEFF" w:val="clear"/>
            <w:vAlign w:val="center"/>
          </w:tcPr>
          <w:p>
            <w:pPr>
              <w:pStyle w:val="TableContents"/>
              <w:bidi w:val="0"/>
              <w:spacing w:before="0" w:after="0"/>
              <w:ind w:left="0" w:right="0" w:hanging="0"/>
              <w:jc w:val="left"/>
              <w:rPr/>
            </w:pPr>
            <w:r>
              <w:rPr/>
              <w:t>​</w:t>
            </w:r>
          </w:p>
        </w:tc>
      </w:tr>
      <w:tr>
        <w:trPr/>
        <w:tc>
          <w:tcPr>
            <w:tcW w:w="188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Interest Rate Swap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4,314</w:t>
            </w:r>
          </w:p>
        </w:tc>
        <w:tc>
          <w:tcPr>
            <w:tcW w:w="343"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vAlign w:val="center"/>
          </w:tcPr>
          <w:p>
            <w:pPr>
              <w:pStyle w:val="TableContents"/>
              <w:bidi w:val="0"/>
              <w:spacing w:before="0" w:after="0"/>
              <w:ind w:left="0" w:right="0" w:hanging="0"/>
              <w:jc w:val="right"/>
              <w:rPr/>
            </w:pPr>
            <w:r>
              <w:rPr/>
              <w:t>—</w:t>
            </w:r>
          </w:p>
        </w:tc>
      </w:tr>
      <w:tr>
        <w:trPr/>
        <w:tc>
          <w:tcPr>
            <w:tcW w:w="188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Interest Rate Swap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26"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5,793</w:t>
            </w:r>
          </w:p>
        </w:tc>
        <w:tc>
          <w:tcPr>
            <w:tcW w:w="343"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shd w:fill="CCEEFF" w:val="clear"/>
            <w:vAlign w:val="center"/>
          </w:tcPr>
          <w:p>
            <w:pPr>
              <w:pStyle w:val="TableContents"/>
              <w:bidi w:val="0"/>
              <w:spacing w:before="0" w:after="0"/>
              <w:ind w:left="0" w:right="0" w:hanging="0"/>
              <w:jc w:val="right"/>
              <w:rPr/>
            </w:pPr>
            <w:r>
              <w:rPr/>
              <w:t>—</w:t>
            </w:r>
          </w:p>
        </w:tc>
      </w:tr>
      <w:tr>
        <w:trPr/>
        <w:tc>
          <w:tcPr>
            <w:tcW w:w="188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Interest Rate Swap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1"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43"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8" w:type="dxa"/>
            <w:tcBorders/>
            <w:vAlign w:val="center"/>
          </w:tcPr>
          <w:p>
            <w:pPr>
              <w:pStyle w:val="TableContents"/>
              <w:bidi w:val="0"/>
              <w:spacing w:before="0" w:after="0"/>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 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w:t>
            </w:r>
            <w:r>
              <w:rPr>
                <w:caps w:val="false"/>
                <w:smallCaps w:val="false"/>
              </w:rPr>
              <w:t xml:space="preserve"> </w:t>
            </w:r>
            <w:r>
              <w:rPr>
                <w:rFonts w:ascii="Times New Roman;Times;serif" w:hAnsi="Times New Roman;Times;serif"/>
                <w:b w:val="false"/>
                <w:i w:val="false"/>
                <w:caps w:val="false"/>
                <w:smallCaps w:val="false"/>
                <w:sz w:val="16"/>
              </w:rPr>
              <w:t>applicable spread on the $100.0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 The $3.2</w:t>
            </w:r>
            <w:r>
              <w:rPr>
                <w:caps w:val="false"/>
                <w:smallCaps w:val="false"/>
              </w:rPr>
              <w:t xml:space="preserve"> </w:t>
            </w:r>
            <w:r>
              <w:rPr>
                <w:rFonts w:ascii="Times New Roman;Times;serif" w:hAnsi="Times New Roman;Times;serif"/>
                <w:b w:val="false"/>
                <w:i w:val="false"/>
                <w:caps w:val="false"/>
                <w:smallCaps w:val="false"/>
                <w:sz w:val="16"/>
              </w:rPr>
              <w:t>million fair value includes $2.9</w:t>
            </w:r>
            <w:r>
              <w:rPr>
                <w:caps w:val="false"/>
                <w:smallCaps w:val="false"/>
              </w:rPr>
              <w:t xml:space="preserve"> </w:t>
            </w:r>
            <w:r>
              <w:rPr>
                <w:rFonts w:ascii="Times New Roman;Times;serif" w:hAnsi="Times New Roman;Times;serif"/>
                <w:b w:val="false"/>
                <w:i w:val="false"/>
                <w:caps w:val="false"/>
                <w:smallCaps w:val="false"/>
                <w:sz w:val="16"/>
              </w:rPr>
              <w:t>million attributable to an $80.0</w:t>
            </w:r>
            <w:r>
              <w:rPr>
                <w:caps w:val="false"/>
                <w:smallCaps w:val="false"/>
              </w:rPr>
              <w:t xml:space="preserve"> </w:t>
            </w:r>
            <w:r>
              <w:rPr>
                <w:rFonts w:ascii="Times New Roman;Times;serif" w:hAnsi="Times New Roman;Times;serif"/>
                <w:b w:val="false"/>
                <w:i w:val="false"/>
                <w:caps w:val="false"/>
                <w:smallCaps w:val="false"/>
                <w:sz w:val="16"/>
              </w:rPr>
              <w:t>million forward starting swap effective November 29, 2024 as seen in Note 14, “Interest Rate Swaps”.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utilized an interest rate swap to fix SOFR 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w:t>
            </w:r>
            <w:r>
              <w:rPr>
                <w:caps w:val="false"/>
                <w:smallCaps w:val="false"/>
              </w:rPr>
              <w:t xml:space="preserve"> </w:t>
            </w:r>
            <w:r>
              <w:rPr>
                <w:rFonts w:ascii="Times New Roman;Times;serif" w:hAnsi="Times New Roman;Times;serif"/>
                <w:b w:val="false"/>
                <w:i w:val="false"/>
                <w:caps w:val="false"/>
                <w:smallCaps w:val="false"/>
                <w:sz w:val="16"/>
              </w:rPr>
              <w:t>the applicable spread on $50.0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swaps.</w:t>
            </w:r>
            <w:r>
              <w:rPr>
                <w:caps w:val="false"/>
                <w:smallCaps w:val="false"/>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8" w:name="Tc_jOd7W9SReUeVg-O6Lv4_uA_9_8"/>
      <w:bookmarkStart w:id="1039" w:name="Tc_pV-cQsgQZkKsoGtSVcRCjg_9_5"/>
      <w:bookmarkStart w:id="1040" w:name="Tc_uTHPIsR7LkuShtdTAPcxZA_9_2"/>
      <w:bookmarkStart w:id="1041" w:name="Tc_-Sp9vpu-VUKJKiQcwZJ89Q_9_0"/>
      <w:bookmarkStart w:id="1042" w:name="Tc_HkS4PLMEtEi64x4n__C7Kg_8_0"/>
      <w:bookmarkStart w:id="1043" w:name="Tc_0bDQ4oFItUyTGyVaugL-CQ_7_0"/>
      <w:bookmarkStart w:id="1044" w:name="Tc_jZhT7yl1FkqykY-39FhgTw_6_0"/>
      <w:bookmarkStart w:id="1045" w:name="Tc_bs1jDKuw7Uuosdwi4tGuBw_5_0"/>
      <w:bookmarkStart w:id="1046" w:name="Tc_sdXceqdXlkORDuJ_2c-XeQ_4_0"/>
      <w:bookmarkStart w:id="1047" w:name="Tc_eMiBU8x1ykaZEWnfBhTZqA_3_0"/>
      <w:bookmarkStart w:id="1048" w:name="Tc_9spOJaijiEGyjGpcAe1qjQ_2_8"/>
      <w:bookmarkStart w:id="1049" w:name="Tc_t7tSSrw3jk-rNEoHu6uihg_2_5"/>
      <w:bookmarkStart w:id="1050" w:name="Tc_P_48Wg2XFkqjJDLZFZc7cQ_2_2"/>
      <w:bookmarkStart w:id="1051" w:name="Tc_9IjMhjUa2E-SNIZiCmpmfQ_2_0"/>
      <w:bookmarkStart w:id="1052" w:name="Tc_5rj2TL5my0GsQ3H-za0SKg_1_8"/>
      <w:bookmarkStart w:id="1053" w:name="Tc_Iq6yhsqZzEyCc2NVR6ZVKA_1_5"/>
      <w:bookmarkStart w:id="1054" w:name="Tc_9uvwG5DI5UiKcrZXc2NrBA_1_2"/>
      <w:bookmarkStart w:id="1055" w:name="Tc_dHl2DSJxzUmM_I6UQbsaDw_1_0"/>
      <w:bookmarkStart w:id="1056" w:name="_17e6c836_3b17_4013_b10f_717c0dd87205"/>
      <w:bookmarkStart w:id="1057" w:name="Tc_qBJ8dxPOKkiiFTZ4cq2hjw_5_11"/>
      <w:bookmarkStart w:id="1058" w:name="Tc_IYz6Dbx_QkGV_EuvHhb0ig_5_8"/>
      <w:bookmarkStart w:id="1059" w:name="Tc_kh-a41O46UGZK_1cveGdfQ_5_5"/>
      <w:bookmarkStart w:id="1060" w:name="Tc_X54H2z6fP0m1YP69tWm2CA_5_2"/>
      <w:bookmarkStart w:id="1061" w:name="Tc_6n7_BLzMl0OJtwXv__qeKg_5_0"/>
      <w:bookmarkStart w:id="1062" w:name="Tc_-rSVWf6Ct0iQgQ5z4oxlqw_4_0"/>
      <w:bookmarkStart w:id="1063" w:name="Tc_UHQoVgWwNU-tCd2h75dbiA_3_11"/>
      <w:bookmarkStart w:id="1064" w:name="Tc_vRSrzwkv6UKbJZyLPo8kdA_3_8"/>
      <w:bookmarkStart w:id="1065" w:name="Tc_7jEh50f1N0iqF_7qYc3WKA_3_5"/>
      <w:bookmarkStart w:id="1066" w:name="Tc_eNdS8KDMRUSGs81HoauZyA_3_2"/>
      <w:bookmarkStart w:id="1067" w:name="Tc_A2I2wMNKy0Ko_pRCPZzudA_3_0"/>
      <w:bookmarkStart w:id="1068" w:name="Tc_zpP4qRCrNEyonKgCGAflQw_2_11"/>
      <w:bookmarkStart w:id="1069" w:name="Tc_ZTFudRA_6EGrNg9gEhM3kw_2_8"/>
      <w:bookmarkStart w:id="1070" w:name="Tc_ZwdNnPoMHEGuZTvqHEZs5Q_2_5"/>
      <w:bookmarkStart w:id="1071" w:name="Tc_POTPUueNx0-MGTn_mzIUEA_2_2"/>
      <w:bookmarkStart w:id="1072" w:name="Tc_DsaQb2u4MUSvyqq3peedQw_1_8"/>
      <w:bookmarkStart w:id="1073" w:name="Tc_wM5l9Ru-4UGy4vIY_Q6eKA_1_2"/>
      <w:bookmarkStart w:id="1074" w:name="_1fd82911_41be_4a19_903e_b5fea5ca3c4e"/>
      <w:bookmarkStart w:id="1075" w:name="Tc_WwKUdkNPtkyhMqkFZWO_jA_15_5"/>
      <w:bookmarkStart w:id="1076" w:name="Tc_b-Wy48nXGUuRoix87IHLkA_15_2"/>
      <w:bookmarkStart w:id="1077" w:name="Tc_lB3JcZ-QjkmxKvOKZUpafg_15_0"/>
      <w:bookmarkStart w:id="1078" w:name="Tc_eUoQFVaPh0Kh1hgppjhsFg_14_0"/>
      <w:bookmarkStart w:id="1079" w:name="Tc_GX3WUdYDPEGs3f0es1KfNQ_13_0"/>
      <w:bookmarkStart w:id="1080" w:name="Tc_mj9sAslCDkWQ-AqxmUHtaw_12_0"/>
      <w:bookmarkStart w:id="1081" w:name="Tc_7h-2UC0_AUG-hLgMi6Zvdw_11_0"/>
      <w:bookmarkStart w:id="1082" w:name="Tc_M_7tuqu39UKGdz5-mOgmaQ_10_0"/>
      <w:bookmarkStart w:id="1083" w:name="Tc__H9OGi17hU-ZuJFEbLqSRg_9_0"/>
      <w:bookmarkStart w:id="1084" w:name="Tc_6vbyzEf0PE-Fx2w_9T4eLw_8_0"/>
      <w:bookmarkStart w:id="1085" w:name="Tc_qJL6C8b9cUG1mdsLN00vzA_7_0"/>
      <w:bookmarkStart w:id="1086" w:name="Tc_kXMzT9QuMEu_MQx3Z4wg_Q_6_0"/>
      <w:bookmarkStart w:id="1087" w:name="Tc_xcYyGvvW4Eeq8crGgMk9PA_5_0"/>
      <w:bookmarkStart w:id="1088" w:name="Tc_ugRd2X0pakSuc6dQ8LLkYw_4_5"/>
      <w:bookmarkStart w:id="1089" w:name="Tc_r0m-u3n_tEmnh6Auaq5Myw_4_2"/>
      <w:bookmarkStart w:id="1090" w:name="Tc_m31duBIdgkau5G33v3lLBA_4_0"/>
      <w:bookmarkStart w:id="1091" w:name="Tc_-pCMLkvqv0Ovct6rHph9_A_3_0"/>
      <w:bookmarkStart w:id="1092" w:name="Tc_RmhHYSFfj0uoOqG_MlNT_Q_2_5"/>
      <w:bookmarkStart w:id="1093" w:name="Tc_curC6aE2KEKIxpDBrMeb4A_2_2"/>
      <w:bookmarkStart w:id="1094" w:name="Tc_dvdIxdhSsEyCJJjzvUuwcg_1_2"/>
      <w:bookmarkStart w:id="1095" w:name="_5e6ec2aa_8662_461b_8886_8ad6e2defde2"/>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Pr>
          <w:rFonts w:ascii="Times New Roman;Times;serif" w:hAnsi="Times New Roman;Times;serif"/>
          <w:b/>
          <w:sz w:val="20"/>
        </w:rPr>
        <w:t>NOTE 6. INTANGIBLE ASSETS AND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Intangible assets and liabilities consist of the value of above-market and below-market leases, the value of in-place leases, and the value of leasing costs, based in each case on their fair values. Intangible assets and liabilities consisted of the following as of September 30, 2024 and December 31, 2023 (in thousands):</w:t>
      </w:r>
    </w:p>
    <w:p>
      <w:pPr>
        <w:pStyle w:val="TextBody"/>
        <w:bidi w:val="0"/>
        <w:spacing w:before="0" w:after="0"/>
        <w:ind w:left="0" w:right="0" w:firstLine="360"/>
        <w:jc w:val="both"/>
        <w:rPr/>
      </w:pPr>
      <w:r>
        <w:rPr/>
        <w:t>​</w:t>
      </w:r>
    </w:p>
    <w:tbl>
      <w:tblPr>
        <w:tblW w:w="7464" w:type="dxa"/>
        <w:jc w:val="left"/>
        <w:tblInd w:w="0" w:type="dxa"/>
        <w:tblLayout w:type="fixed"/>
        <w:tblCellMar>
          <w:top w:w="0" w:type="dxa"/>
          <w:left w:w="0" w:type="dxa"/>
          <w:bottom w:w="0" w:type="dxa"/>
          <w:right w:w="0" w:type="dxa"/>
        </w:tblCellMar>
      </w:tblPr>
      <w:tblGrid>
        <w:gridCol w:w="3706"/>
        <w:gridCol w:w="109"/>
        <w:gridCol w:w="393"/>
        <w:gridCol w:w="1377"/>
        <w:gridCol w:w="109"/>
        <w:gridCol w:w="375"/>
        <w:gridCol w:w="1395"/>
      </w:tblGrid>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9215" cy="175260"/>
                      <wp:effectExtent l="0" t="0" r="0" b="0"/>
                      <wp:wrapNone/>
                      <wp:docPr id="199" name="Frame1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49555" cy="175260"/>
                      <wp:effectExtent l="0" t="0" r="0" b="0"/>
                      <wp:wrapNone/>
                      <wp:docPr id="200" name="Frame200"/>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74395" cy="175260"/>
                      <wp:effectExtent l="0" t="0" r="0" b="0"/>
                      <wp:wrapNone/>
                      <wp:docPr id="201" name="Frame201"/>
                      <a:graphic xmlns:a="http://schemas.openxmlformats.org/drawingml/2006/main">
                        <a:graphicData uri="http://schemas.microsoft.com/office/word/2010/wordprocessingShape">
                          <wps:wsp>
                            <wps:cNvSpPr txBox="1"/>
                            <wps:spPr>
                              <a:xfrm>
                                <a:off x="0" y="0"/>
                                <a:ext cx="874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38125" cy="175260"/>
                      <wp:effectExtent l="0" t="0" r="0" b="0"/>
                      <wp:wrapNone/>
                      <wp:docPr id="203" name="Frame20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85825" cy="175260"/>
                      <wp:effectExtent l="0" t="0" r="0" b="0"/>
                      <wp:wrapNone/>
                      <wp:docPr id="204" name="Frame204"/>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of </w:t>
            </w:r>
          </w:p>
        </w:tc>
      </w:tr>
      <w:tr>
        <w:trPr/>
        <w:tc>
          <w:tcPr>
            <w:tcW w:w="37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pPr>
            <w:r>
              <w:rPr/>
              <w:t>​</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In-Place Leases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44,988</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Above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Intangible Leasing Costs</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17,532</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18,865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13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64,613</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13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70,074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(20,782)</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Assets—Net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40,574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49,292</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Value of Below Market In-Place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w:t>
            </w:r>
          </w:p>
        </w:tc>
        <w:tc>
          <w:tcPr>
            <w:tcW w:w="10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1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(6,312)</w:t>
            </w:r>
          </w:p>
        </w:tc>
        <w:tc>
          <w:tcPr>
            <w:tcW w:w="109"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13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(6,770)</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 Intangible Lease Liabilities—Net</w:t>
            </w:r>
          </w:p>
        </w:tc>
        <w:tc>
          <w:tcPr>
            <w:tcW w:w="109"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(4,358)</w:t>
            </w:r>
          </w:p>
        </w:tc>
        <w:tc>
          <w:tcPr>
            <w:tcW w:w="109"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and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36,216</w:t>
            </w:r>
          </w:p>
        </w:tc>
        <w:tc>
          <w:tcPr>
            <w:tcW w:w="109" w:type="dxa"/>
            <w:tcBorders/>
            <w:shd w:fill="CCEEFF" w:val="cle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44,385</w:t>
            </w:r>
          </w:p>
        </w:tc>
      </w:tr>
    </w:tbl>
    <w:p>
      <w:pPr>
        <w:pStyle w:val="TextBody"/>
        <w:bidi w:val="0"/>
        <w:spacing w:before="0" w:after="0"/>
        <w:ind w:left="0" w:right="0" w:hanging="0"/>
        <w:jc w:val="left"/>
        <w:rPr/>
      </w:pPr>
      <w:r>
        <w:rPr/>
        <w:t>​</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The following table reflects the net amortization of intangible assets and liabilities during the three and nine months ended September 30, 2024 and 2023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85"/>
        <w:gridCol w:w="109"/>
        <w:gridCol w:w="433"/>
        <w:gridCol w:w="1174"/>
        <w:gridCol w:w="117"/>
        <w:gridCol w:w="433"/>
        <w:gridCol w:w="1174"/>
        <w:gridCol w:w="109"/>
        <w:gridCol w:w="433"/>
        <w:gridCol w:w="1174"/>
        <w:gridCol w:w="109"/>
        <w:gridCol w:w="392"/>
        <w:gridCol w:w="1263"/>
      </w:tblGrid>
      <w:tr>
        <w:trPr/>
        <w:tc>
          <w:tcPr>
            <w:tcW w:w="3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215" cy="175260"/>
                      <wp:effectExtent l="0" t="0" r="0" b="0"/>
                      <wp:wrapNone/>
                      <wp:docPr id="205" name="Frame2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74955" cy="175260"/>
                      <wp:effectExtent l="0" t="0" r="0" b="0"/>
                      <wp:wrapNone/>
                      <wp:docPr id="206" name="Frame206"/>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745490" cy="175260"/>
                      <wp:effectExtent l="0" t="0" r="0" b="0"/>
                      <wp:wrapNone/>
                      <wp:docPr id="207" name="Frame207"/>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4295" cy="175260"/>
                      <wp:effectExtent l="0" t="0" r="0" b="0"/>
                      <wp:wrapNone/>
                      <wp:docPr id="208" name="Frame208"/>
                      <a:graphic xmlns:a="http://schemas.openxmlformats.org/drawingml/2006/main">
                        <a:graphicData uri="http://schemas.microsoft.com/office/word/2010/wordprocessingShape">
                          <wps:wsp>
                            <wps:cNvSpPr txBox="1"/>
                            <wps:spPr>
                              <a:xfrm>
                                <a:off x="0" y="0"/>
                                <a:ext cx="74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74955" cy="175260"/>
                      <wp:effectExtent l="0" t="0" r="0" b="0"/>
                      <wp:wrapNone/>
                      <wp:docPr id="209" name="Frame209"/>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45490" cy="175260"/>
                      <wp:effectExtent l="0" t="0" r="0" b="0"/>
                      <wp:wrapNone/>
                      <wp:docPr id="210" name="Frame210"/>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74955" cy="175260"/>
                      <wp:effectExtent l="0" t="0" r="0" b="0"/>
                      <wp:wrapNone/>
                      <wp:docPr id="212" name="Frame212"/>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45490" cy="175260"/>
                      <wp:effectExtent l="0" t="0" r="0" b="0"/>
                      <wp:wrapNone/>
                      <wp:docPr id="213" name="Frame213"/>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215" cy="175260"/>
                      <wp:effectExtent l="0" t="0" r="0" b="0"/>
                      <wp:wrapNone/>
                      <wp:docPr id="214" name="Frame2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8920" cy="175260"/>
                      <wp:effectExtent l="0" t="0" r="0" b="0"/>
                      <wp:wrapNone/>
                      <wp:docPr id="215" name="Frame21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02005" cy="175260"/>
                      <wp:effectExtent l="0" t="0" r="0" b="0"/>
                      <wp:wrapNone/>
                      <wp:docPr id="216" name="Frame216"/>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3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37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2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17" w:type="dxa"/>
            <w:tcBorders/>
            <w:vAlign w:val="center"/>
          </w:tcPr>
          <w:p>
            <w:pPr>
              <w:pStyle w:val="TableContents"/>
              <w:bidi w:val="0"/>
              <w:spacing w:before="0" w:after="0"/>
              <w:ind w:left="0" w:right="0" w:hanging="0"/>
              <w:jc w:val="center"/>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Expense </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2,077</w:t>
            </w:r>
          </w:p>
        </w:tc>
        <w:tc>
          <w:tcPr>
            <w:tcW w:w="117"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6,361</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6,721</w:t>
            </w:r>
          </w:p>
        </w:tc>
      </w:tr>
      <w:tr>
        <w:trPr/>
        <w:tc>
          <w:tcPr>
            <w:tcW w:w="3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to Properties Revenue</w:t>
            </w:r>
          </w:p>
        </w:tc>
        <w:tc>
          <w:tcPr>
            <w:tcW w:w="109"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117"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0"/>
              <w:ind w:left="0" w:right="0" w:hanging="0"/>
              <w:jc w:val="left"/>
              <w:rPr/>
            </w:pPr>
            <w:r>
              <w:rPr/>
              <w:t>​</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109"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3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Amortization of Intangible Assets and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c>
          <w:tcPr>
            <w:tcW w:w="117"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2,108</w:t>
            </w:r>
          </w:p>
        </w:tc>
        <w:tc>
          <w:tcPr>
            <w:tcW w:w="109" w:type="dxa"/>
            <w:tcBorders/>
            <w:shd w:fill="CCEEFF" w:val="clear"/>
            <w:vAlign w:val="center"/>
          </w:tcPr>
          <w:p>
            <w:pPr>
              <w:pStyle w:val="TableContents"/>
              <w:bidi w:val="0"/>
              <w:spacing w:before="0" w:after="0"/>
              <w:ind w:left="0" w:right="0" w:hanging="0"/>
              <w:jc w:val="left"/>
              <w:rPr/>
            </w:pPr>
            <w:r>
              <w:rPr/>
              <w:t>​</w:t>
            </w:r>
          </w:p>
        </w:tc>
        <w:tc>
          <w:tcPr>
            <w:tcW w:w="4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c>
          <w:tcPr>
            <w:tcW w:w="109" w:type="dxa"/>
            <w:tcBorders/>
            <w:shd w:fill="CCEEFF" w:val="clear"/>
            <w:vAlign w:val="center"/>
          </w:tcPr>
          <w:p>
            <w:pPr>
              <w:pStyle w:val="TableContents"/>
              <w:bidi w:val="0"/>
              <w:spacing w:before="0" w:after="0"/>
              <w:ind w:left="0" w:right="0" w:hanging="0"/>
              <w:jc w:val="left"/>
              <w:rPr/>
            </w:pPr>
            <w:r>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6,422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future amortization expense (income) related to net intangible assets and liabilities is as follows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377"/>
        <w:gridCol w:w="109"/>
        <w:gridCol w:w="451"/>
        <w:gridCol w:w="1447"/>
        <w:gridCol w:w="109"/>
        <w:gridCol w:w="606"/>
        <w:gridCol w:w="1815"/>
        <w:gridCol w:w="109"/>
        <w:gridCol w:w="674"/>
        <w:gridCol w:w="2508"/>
      </w:tblGrid>
      <w:tr>
        <w:trPr/>
        <w:tc>
          <w:tcPr>
            <w:tcW w:w="23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18845" cy="175260"/>
                      <wp:effectExtent l="0" t="0" r="0" b="0"/>
                      <wp:wrapNone/>
                      <wp:docPr id="217" name="Frame217"/>
                      <a:graphic xmlns:a="http://schemas.openxmlformats.org/drawingml/2006/main">
                        <a:graphicData uri="http://schemas.microsoft.com/office/word/2010/wordprocessingShape">
                          <wps:wsp>
                            <wps:cNvSpPr txBox="1"/>
                            <wps:spPr>
                              <a:xfrm>
                                <a:off x="0" y="0"/>
                                <a:ext cx="918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215" cy="175260"/>
                      <wp:effectExtent l="0" t="0" r="0" b="0"/>
                      <wp:wrapNone/>
                      <wp:docPr id="218" name="Frame2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152525" cy="175260"/>
                      <wp:effectExtent l="0" t="0" r="0" b="0"/>
                      <wp:wrapNone/>
                      <wp:docPr id="219" name="Frame219"/>
                      <a:graphic xmlns:a="http://schemas.openxmlformats.org/drawingml/2006/main">
                        <a:graphicData uri="http://schemas.microsoft.com/office/word/2010/wordprocessingShape">
                          <wps:wsp>
                            <wps:cNvSpPr txBox="1"/>
                            <wps:spPr>
                              <a:xfrm>
                                <a:off x="0" y="0"/>
                                <a:ext cx="115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9215" cy="175260"/>
                      <wp:effectExtent l="0" t="0" r="0" b="0"/>
                      <wp:wrapNone/>
                      <wp:docPr id="220" name="Frame2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92580" cy="175260"/>
                      <wp:effectExtent l="0" t="0" r="0" b="0"/>
                      <wp:wrapNone/>
                      <wp:docPr id="221" name="Frame221"/>
                      <a:graphic xmlns:a="http://schemas.openxmlformats.org/drawingml/2006/main">
                        <a:graphicData uri="http://schemas.microsoft.com/office/word/2010/wordprocessingShape">
                          <wps:wsp>
                            <wps:cNvSpPr txBox="1"/>
                            <wps:spPr>
                              <a:xfrm>
                                <a:off x="0" y="0"/>
                                <a:ext cx="159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8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Amortization Expense</w:t>
            </w:r>
          </w:p>
        </w:tc>
        <w:tc>
          <w:tcPr>
            <w:tcW w:w="109" w:type="dxa"/>
            <w:tcBorders/>
            <w:vAlign w:val="center"/>
          </w:tcPr>
          <w:p>
            <w:pPr>
              <w:pStyle w:val="TableContents"/>
              <w:bidi w:val="0"/>
              <w:spacing w:before="0" w:after="0"/>
              <w:ind w:left="0" w:right="0" w:hanging="0"/>
              <w:jc w:val="left"/>
              <w:rPr/>
            </w:pPr>
            <w:r>
              <w:rPr/>
              <w:t>​</w:t>
            </w:r>
          </w:p>
        </w:tc>
        <w:tc>
          <w:tcPr>
            <w:tcW w:w="24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Future Accretion to Property Revenue </w:t>
            </w:r>
          </w:p>
        </w:tc>
        <w:tc>
          <w:tcPr>
            <w:tcW w:w="109" w:type="dxa"/>
            <w:tcBorders/>
            <w:vAlign w:val="center"/>
          </w:tcPr>
          <w:p>
            <w:pPr>
              <w:pStyle w:val="TableContents"/>
              <w:bidi w:val="0"/>
              <w:spacing w:before="0" w:after="0"/>
              <w:ind w:left="0" w:right="0" w:hanging="0"/>
              <w:jc w:val="left"/>
              <w:rPr/>
            </w:pPr>
            <w:r>
              <w:rPr/>
              <w:t>​</w:t>
            </w:r>
          </w:p>
        </w:tc>
        <w:tc>
          <w:tcPr>
            <w:tcW w:w="3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Future Amortization of Intangible Assets and Liabilities </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7,529</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6,971</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7,188</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5,876</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5,277</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14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4,875</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shd w:fill="CCEEFF" w:val="clear"/>
            <w:vAlign w:val="center"/>
          </w:tcPr>
          <w:p>
            <w:pPr>
              <w:pStyle w:val="TableContents"/>
              <w:bidi w:val="0"/>
              <w:spacing w:before="0" w:after="0"/>
              <w:ind w:left="0" w:right="0" w:hanging="0"/>
              <w:jc w:val="left"/>
              <w:rPr/>
            </w:pPr>
            <w:r>
              <w:rPr/>
              <w:t>​</w:t>
            </w:r>
          </w:p>
        </w:tc>
        <w:tc>
          <w:tcPr>
            <w:tcW w:w="18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4,376</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14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3,827</w:t>
            </w:r>
          </w:p>
        </w:tc>
        <w:tc>
          <w:tcPr>
            <w:tcW w:w="109" w:type="dxa"/>
            <w:tcBorders/>
            <w:vAlign w:val="center"/>
          </w:tcPr>
          <w:p>
            <w:pPr>
              <w:pStyle w:val="TableContents"/>
              <w:bidi w:val="0"/>
              <w:spacing w:before="0" w:after="0"/>
              <w:ind w:left="0" w:right="0" w:hanging="0"/>
              <w:jc w:val="left"/>
              <w:rPr/>
            </w:pPr>
            <w:r>
              <w:rPr/>
              <w:t>​</w:t>
            </w:r>
          </w:p>
        </w:tc>
        <w:tc>
          <w:tcPr>
            <w:tcW w:w="606" w:type="dxa"/>
            <w:tcBorders/>
            <w:vAlign w:val="center"/>
          </w:tcPr>
          <w:p>
            <w:pPr>
              <w:pStyle w:val="TableContents"/>
              <w:bidi w:val="0"/>
              <w:spacing w:before="0" w:after="0"/>
              <w:ind w:left="0" w:right="0" w:hanging="0"/>
              <w:jc w:val="left"/>
              <w:rPr/>
            </w:pPr>
            <w:r>
              <w:rPr/>
              <w:t>​</w:t>
            </w:r>
          </w:p>
        </w:tc>
        <w:tc>
          <w:tcPr>
            <w:tcW w:w="1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109"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w:t>
            </w:r>
          </w:p>
        </w:tc>
      </w:tr>
      <w:tr>
        <w:trPr/>
        <w:tc>
          <w:tcPr>
            <w:tcW w:w="2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4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w:t>
            </w:r>
          </w:p>
        </w:tc>
        <w:tc>
          <w:tcPr>
            <w:tcW w:w="109" w:type="dxa"/>
            <w:tcBorders/>
            <w:shd w:fill="CCEEFF" w:val="clear"/>
            <w:vAlign w:val="center"/>
          </w:tcPr>
          <w:p>
            <w:pPr>
              <w:pStyle w:val="TableContents"/>
              <w:bidi w:val="0"/>
              <w:spacing w:before="0" w:after="0"/>
              <w:ind w:left="0" w:right="0" w:hanging="0"/>
              <w:jc w:val="left"/>
              <w:rPr/>
            </w:pPr>
            <w:r>
              <w:rPr/>
              <w:t>​</w:t>
            </w:r>
          </w:p>
        </w:tc>
        <w:tc>
          <w:tcPr>
            <w:tcW w:w="6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09" w:type="dxa"/>
            <w:tcBorders/>
            <w:shd w:fill="CCEEFF" w:val="cle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7,569</w:t>
            </w:r>
          </w:p>
        </w:tc>
      </w:tr>
      <w:tr>
        <w:trPr/>
        <w:tc>
          <w:tcPr>
            <w:tcW w:w="23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4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39,343</w:t>
            </w:r>
          </w:p>
        </w:tc>
        <w:tc>
          <w:tcPr>
            <w:tcW w:w="109" w:type="dxa"/>
            <w:tcBorders/>
            <w:vAlign w:val="center"/>
          </w:tcPr>
          <w:p>
            <w:pPr>
              <w:pStyle w:val="TableContents"/>
              <w:bidi w:val="0"/>
              <w:spacing w:before="0" w:after="0"/>
              <w:ind w:left="0" w:right="0" w:hanging="0"/>
              <w:jc w:val="left"/>
              <w:rPr/>
            </w:pPr>
            <w:r>
              <w:rPr/>
              <w:t>​</w:t>
            </w:r>
          </w:p>
        </w:tc>
        <w:tc>
          <w:tcPr>
            <w:tcW w:w="6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109" w:type="dxa"/>
            <w:tcBorders/>
            <w:vAlign w:val="center"/>
          </w:tcPr>
          <w:p>
            <w:pPr>
              <w:pStyle w:val="TableContents"/>
              <w:bidi w:val="0"/>
              <w:spacing w:before="0" w:after="0"/>
              <w:ind w:left="0" w:right="0" w:hanging="0"/>
              <w:jc w:val="left"/>
              <w:rPr/>
            </w:pPr>
            <w:r>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0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36,216</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2024, the weighted average amortization period of both the total intangible assets and liabilities was 8.7 years.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PROVISION FOR IMPAIRMENT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Income Properties</w:t>
      </w:r>
      <w:r>
        <w:rPr>
          <w:rFonts w:ascii="Times New Roman;Times;serif" w:hAnsi="Times New Roman;Times;serif"/>
          <w:sz w:val="20"/>
        </w:rPr>
        <w:t>. 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recorded a $0.6 million impairment charge representing the provision for losses related to three assets within the Company’s income properties segment, which are classified as held for sale. The impairment charge of $0.6 million is equal to the estimated sales prices for these three assets pursuant to a letter of intent for sale executed during the nine months ended September 30, 2024, less the book value of the assets as of September 30, 2024, less estimated costs to sell.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and nine months ended September 30, 2023, the Company recorded a $2.9 million impairment charge representing the provision for losses related to seven assets within our income properties segment. The seven assets were leased to one tenant that filed for bankruptcy during the three months ended March 31, 2023. The seven leases underlying the assets were rejected as a part of the bankruptcy proceedings during August 2023. The Company had executed letters of intent to sell the assets. The impairment charge of $2.9 million is equal to the estimated sales prices for the assets (as set forth in the executed letters of intent), less the book value of the assets as of September 30, 2023, less estimated costs to sell.</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Commercial Loans and Investments</w:t>
      </w:r>
      <w:r>
        <w:rPr>
          <w:rFonts w:ascii="Times New Roman;Times;serif" w:hAnsi="Times New Roman;Times;serif"/>
          <w:sz w:val="20"/>
        </w:rPr>
        <w:t>. The Company evaluates the collectability of its commercial loans and investments on a quarterly basis or whenever events or changes in circumstances indicate that the carrying amount of an asset may not be recoverable. The Company accounts for provisions for expected credit losses in accordance with ASC Topic 326, Measurement of Credit Losses on Financial Instruments. Changes in the Company’s allowance for credit losses are presented within change in provision for impairment in the accompanying consolidated statements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recorded a charge of $0.5 million representing the provision for credit losses related to our commercial loans and investments. The charge of $0.5 million was driven by the initial estimated CECL allowance based on our investment activity during the nine months ended September 30, 2024.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such charges during the nine months ended September 30, 2023.</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6" w:name="Tc_cD1Xmy95sEOfdC66whyixw_10_5"/>
      <w:bookmarkStart w:id="1097" w:name="Tc_WA-VN5vDK0aHx8tW7zt7sA_10_2"/>
      <w:bookmarkStart w:id="1098" w:name="Tc_KyDwRkWSXki09-udcPjxcw_10_0"/>
      <w:bookmarkStart w:id="1099" w:name="Tc_LZox3TTp6USczfv3QgkQHA_9_0"/>
      <w:bookmarkStart w:id="1100" w:name="Tc_mdcq1LabY0u-WcsZXBghDQ_8_0"/>
      <w:bookmarkStart w:id="1101" w:name="Tc_kw99XzSYRUawtmNTfjb_dQ_7_0"/>
      <w:bookmarkStart w:id="1102" w:name="Tc_VBoDb14BJE6-e8zn5U5dXQ_6_0"/>
      <w:bookmarkStart w:id="1103" w:name="Tc_UbaN1f_yikej7p_J2aaPiw_5_3"/>
      <w:bookmarkStart w:id="1104" w:name="Tc_ye4HtWiF5UeFfAIqOW_FQA_5_0"/>
      <w:bookmarkStart w:id="1105" w:name="Tc_e4mTw_-JU0aTJXkJ9Xe_6g_4_0"/>
      <w:bookmarkStart w:id="1106" w:name="Tc_zwIq7WSAjUOoeGS0N5MMbw_3_5"/>
      <w:bookmarkStart w:id="1107" w:name="Tc_KG5fUMkas0KjiWR9FL73zg_3_2"/>
      <w:bookmarkStart w:id="1108" w:name="Tc_zlmEvHPIIE6UEO3QssLRSw_3_0"/>
      <w:bookmarkStart w:id="1109" w:name="Tc_e9-wRXW8HEmlwBvHvx9ZqA_2_5"/>
      <w:bookmarkStart w:id="1110" w:name="Tc_lJuB5DaI7E6DH28ID0ua2A_2_2"/>
      <w:bookmarkStart w:id="1111" w:name="Tc_1rUkqAiNMU6JgEMcPp1-nA_1_2"/>
      <w:bookmarkStart w:id="1112" w:name="_370ff305_a04d_43fc_835a_77b2e2ff6266"/>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r>
        <w:rPr>
          <w:rFonts w:ascii="Times New Roman;Times;serif" w:hAnsi="Times New Roman;Times;serif"/>
          <w:b/>
          <w:sz w:val="20"/>
        </w:rPr>
        <w:t>NOTE 8. OTHER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assets consisted of the following (in thousands):</w:t>
      </w:r>
    </w:p>
    <w:p>
      <w:pPr>
        <w:pStyle w:val="TextBody"/>
        <w:bidi w:val="0"/>
        <w:spacing w:before="0" w:after="0"/>
        <w:ind w:left="0" w:right="0" w:firstLine="360"/>
        <w:jc w:val="both"/>
        <w:rPr/>
      </w:pPr>
      <w:r>
        <w:rPr/>
        <w:t>​</w:t>
      </w:r>
    </w:p>
    <w:tbl>
      <w:tblPr>
        <w:tblW w:w="8214" w:type="dxa"/>
        <w:jc w:val="left"/>
        <w:tblInd w:w="0" w:type="dxa"/>
        <w:tblLayout w:type="fixed"/>
        <w:tblCellMar>
          <w:top w:w="0" w:type="dxa"/>
          <w:left w:w="0" w:type="dxa"/>
          <w:bottom w:w="0" w:type="dxa"/>
          <w:right w:w="0" w:type="dxa"/>
        </w:tblCellMar>
      </w:tblPr>
      <w:tblGrid>
        <w:gridCol w:w="4801"/>
        <w:gridCol w:w="109"/>
        <w:gridCol w:w="394"/>
        <w:gridCol w:w="1211"/>
        <w:gridCol w:w="109"/>
        <w:gridCol w:w="344"/>
        <w:gridCol w:w="1246"/>
      </w:tblGrid>
      <w:tr>
        <w:trPr/>
        <w:tc>
          <w:tcPr>
            <w:tcW w:w="4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048635" cy="175260"/>
                      <wp:effectExtent l="0" t="0" r="0" b="0"/>
                      <wp:wrapNone/>
                      <wp:docPr id="222" name="Frame222"/>
                      <a:graphic xmlns:a="http://schemas.openxmlformats.org/drawingml/2006/main">
                        <a:graphicData uri="http://schemas.microsoft.com/office/word/2010/wordprocessingShape">
                          <wps:wsp>
                            <wps:cNvSpPr txBox="1"/>
                            <wps:spPr>
                              <a:xfrm>
                                <a:off x="0" y="0"/>
                                <a:ext cx="304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50190" cy="175260"/>
                      <wp:effectExtent l="0" t="0" r="0" b="0"/>
                      <wp:wrapNone/>
                      <wp:docPr id="224" name="Frame224"/>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68985" cy="175260"/>
                      <wp:effectExtent l="0" t="0" r="0" b="0"/>
                      <wp:wrapNone/>
                      <wp:docPr id="225" name="Frame225"/>
                      <a:graphic xmlns:a="http://schemas.openxmlformats.org/drawingml/2006/main">
                        <a:graphicData uri="http://schemas.microsoft.com/office/word/2010/wordprocessingShape">
                          <wps:wsp>
                            <wps:cNvSpPr txBox="1"/>
                            <wps:spPr>
                              <a:xfrm>
                                <a:off x="0" y="0"/>
                                <a:ext cx="76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8440" cy="175260"/>
                      <wp:effectExtent l="0" t="0" r="0" b="0"/>
                      <wp:wrapNone/>
                      <wp:docPr id="227" name="Frame227"/>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91210" cy="175260"/>
                      <wp:effectExtent l="0" t="0" r="0" b="0"/>
                      <wp:wrapNone/>
                      <wp:docPr id="228" name="Frame22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48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30, 2024</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2023</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Tenant Receivables—Net of Allowance for Doubtful Accounts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950</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809</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Prepaid Insurance </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Deposits on 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Deposits, and Other</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1,757</w:t>
            </w:r>
          </w:p>
        </w:tc>
      </w:tr>
      <w:tr>
        <w:trPr/>
        <w:tc>
          <w:tcPr>
            <w:tcW w:w="48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Financing Costs—Net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2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887</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1,190</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2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6,277</w:t>
            </w:r>
          </w:p>
        </w:tc>
        <w:tc>
          <w:tcPr>
            <w:tcW w:w="109"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10,957</w:t>
            </w:r>
          </w:p>
        </w:tc>
      </w:tr>
      <w:tr>
        <w:trPr/>
        <w:tc>
          <w:tcPr>
            <w:tcW w:w="48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Operating Leases - Right-of-Use Asset </w:t>
            </w:r>
            <w:r>
              <w:rPr>
                <w:rFonts w:ascii="Times New Roman;Times;serif" w:hAnsi="Times New Roman;Times;serif"/>
                <w:sz w:val="14"/>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1,249</w:t>
            </w:r>
          </w:p>
        </w:tc>
        <w:tc>
          <w:tcPr>
            <w:tcW w:w="109"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1,434</w:t>
            </w:r>
          </w:p>
        </w:tc>
      </w:tr>
      <w:tr>
        <w:trPr/>
        <w:tc>
          <w:tcPr>
            <w:tcW w:w="48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Assets</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10,951</w:t>
            </w:r>
          </w:p>
        </w:tc>
        <w:tc>
          <w:tcPr>
            <w:tcW w:w="109"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17,045</w:t>
            </w:r>
          </w:p>
        </w:tc>
      </w:tr>
    </w:tbl>
    <w:tbl>
      <w:tblPr>
        <w:tblW w:w="10052" w:type="dxa"/>
        <w:jc w:val="left"/>
        <w:tblInd w:w="0" w:type="dxa"/>
        <w:tblLayout w:type="fixed"/>
        <w:tblCellMar>
          <w:top w:w="0" w:type="dxa"/>
          <w:left w:w="0" w:type="dxa"/>
          <w:bottom w:w="0" w:type="dxa"/>
          <w:right w:w="0" w:type="dxa"/>
        </w:tblCellMar>
      </w:tblPr>
      <w:tblGrid>
        <w:gridCol w:w="271"/>
        <w:gridCol w:w="9781"/>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7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a $0.2</w:t>
            </w:r>
            <w:r>
              <w:rPr>
                <w:caps w:val="false"/>
                <w:smallCaps w:val="false"/>
              </w:rPr>
              <w:t xml:space="preserve"> </w:t>
            </w:r>
            <w:r>
              <w:rPr>
                <w:rFonts w:ascii="Times New Roman;Times;serif" w:hAnsi="Times New Roman;Times;serif"/>
                <w:b w:val="false"/>
                <w:i w:val="false"/>
                <w:caps w:val="false"/>
                <w:smallCaps w:val="false"/>
                <w:sz w:val="16"/>
              </w:rPr>
              <w:t>million and $0.4</w:t>
            </w:r>
            <w:r>
              <w:rPr>
                <w:caps w:val="false"/>
                <w:smallCaps w:val="false"/>
              </w:rPr>
              <w:t xml:space="preserve"> </w:t>
            </w:r>
            <w:r>
              <w:rPr>
                <w:rFonts w:ascii="Times New Roman;Times;serif" w:hAnsi="Times New Roman;Times;serif"/>
                <w:b w:val="false"/>
                <w:i w:val="false"/>
                <w:caps w:val="false"/>
                <w:smallCaps w:val="false"/>
                <w:sz w:val="16"/>
              </w:rPr>
              <w:t>million allowance for doubtful accounts as of September 30, 2024 and December 31, 2023, respectively.</w:t>
            </w:r>
          </w:p>
        </w:tc>
      </w:tr>
    </w:tbl>
    <w:tbl>
      <w:tblPr>
        <w:tblW w:w="9977" w:type="dxa"/>
        <w:jc w:val="left"/>
        <w:tblInd w:w="0" w:type="dxa"/>
        <w:tblLayout w:type="fixed"/>
        <w:tblCellMar>
          <w:top w:w="0" w:type="dxa"/>
          <w:left w:w="0" w:type="dxa"/>
          <w:bottom w:w="0" w:type="dxa"/>
          <w:right w:w="0" w:type="dxa"/>
        </w:tblCellMar>
      </w:tblPr>
      <w:tblGrid>
        <w:gridCol w:w="271"/>
        <w:gridCol w:w="970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7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right-of-use asset balance as of September 30, 2024.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13" w:name="Tc_IGEksC8c_Uulnaz3gqzmRg_11_2"/>
      <w:bookmarkStart w:id="1114" w:name="Tc_a-N_XLUmbUucEpalelyGug_11_0"/>
      <w:bookmarkStart w:id="1115" w:name="Tc_KeAbos28aUa-5woFyABdgg_10_0"/>
      <w:bookmarkStart w:id="1116" w:name="Tc_wiGHeQfBg0eMfJ_3uHTZDw_9_2"/>
      <w:bookmarkStart w:id="1117" w:name="Tc_tJmJQTmeM0KGGLtgXsdRiQ_9_0"/>
      <w:bookmarkStart w:id="1118" w:name="Tc_1xmC3UY7C0SRTIq0AMMKMg_8_0"/>
      <w:bookmarkStart w:id="1119" w:name="Tc_Ldrq2Mdk-0ubfx3UYstOtA_7_0"/>
      <w:bookmarkStart w:id="1120" w:name="Tc_OHB85Lt_X0iiW-q--V1NWQ_6_0"/>
      <w:bookmarkStart w:id="1121" w:name="Tc_uzvBhlbFPEy7tW5HYbDGhg_5_0"/>
      <w:bookmarkStart w:id="1122" w:name="Tc_dRl0RE--6Uy8FADd_uWZTQ_4_0"/>
      <w:bookmarkStart w:id="1123" w:name="Tc_EkM9w13PG0eouJeHxMpjVw_3_0"/>
      <w:bookmarkStart w:id="1124" w:name="Tc_7-ybr5-bJ0iBTV6Nr1x_Eg_2_2"/>
      <w:bookmarkStart w:id="1125" w:name="Tc_-g2OHppDOU68dibHeJ9VWQ_2_0"/>
      <w:bookmarkStart w:id="1126" w:name="Tc_q0TvfDpdDU-BvZVToNtXLQ_1_0"/>
      <w:bookmarkStart w:id="1127" w:name="_11dce88e_b412_4def_b957_34a9b82f070e"/>
      <w:bookmarkStart w:id="1128" w:name="Tc_bPYdLXJu60W_LGt0-NcNQg_6_13"/>
      <w:bookmarkStart w:id="1129" w:name="Tc_-9ihu5ks4UeW1V09XFxD2w_6_10"/>
      <w:bookmarkStart w:id="1130" w:name="Tc_SD2xh5jcpUOPtyPbbtFB5Q_6_7"/>
      <w:bookmarkStart w:id="1131" w:name="Tc_DXZaD8NV6Ueet3_UW0OYZg_6_4"/>
      <w:bookmarkStart w:id="1132" w:name="Tc_LlWUcaLhmU2DkhVHSmaqkw_6_0"/>
      <w:bookmarkStart w:id="1133" w:name="Tc_ZN8mai5RvUW6WAkHD886Vw_5_0"/>
      <w:bookmarkStart w:id="1134" w:name="Tc_2XTKy-H3WkSbWCDXT2rhoA_4_11"/>
      <w:bookmarkStart w:id="1135" w:name="Tc_1ybWgs9E_kmQPmHMcrfu3A_4_8"/>
      <w:bookmarkStart w:id="1136" w:name="Tc_yaPNlgYmNkm3lqfc1Cc7Dg_4_5"/>
      <w:bookmarkStart w:id="1137" w:name="Tc_bcJrAA7_aUWyRd4p2tUoOA_4_2"/>
      <w:bookmarkStart w:id="1138" w:name="Tc_LfAk7Tuh_0eiOAGgtXwcgA_4_0"/>
      <w:bookmarkStart w:id="1139" w:name="Tc_LDPeVZqGqEO1aM-HQop0lg_2_11"/>
      <w:bookmarkStart w:id="1140" w:name="Tc_Vn-miWDxrUuKIfy_mpOlzw_2_8"/>
      <w:bookmarkStart w:id="1141" w:name="Tc__Eaw4qapKU67HP3lGdPm4Q_2_5"/>
      <w:bookmarkStart w:id="1142" w:name="Tc_gCgIQGe3cUeFFKo_gAhrjg_2_2"/>
      <w:bookmarkStart w:id="1143" w:name="Tc_iR0PJNTMN0aICEx7v79K4Q_1_8"/>
      <w:bookmarkStart w:id="1144" w:name="Tc_zbe_ZTO6T02m3JEZw5tQnA_1_2"/>
      <w:bookmarkStart w:id="1145" w:name="_fdfe900e_7b39_471a_ae66_fb7b6b0d54ec"/>
      <w:bookmarkStart w:id="1146" w:name="_895381d2_b6c4_4200_bf6a_9f37dbff8aa6_3"/>
      <w:bookmarkStart w:id="1147" w:name="_895381d2_b6c4_4200_bf6a_9f37dbff8aa6_2"/>
      <w:bookmarkStart w:id="1148" w:name="_895381d2_b6c4_4200_bf6a_9f37dbff8aa6"/>
      <w:bookmarkStart w:id="1149" w:name="_a9a923d1_25b1_4ea4_afa6_91e575908244_3"/>
      <w:bookmarkStart w:id="1150" w:name="_a9a923d1_25b1_4ea4_afa6_91e575908244_2"/>
      <w:bookmarkStart w:id="1151" w:name="_a9a923d1_25b1_4ea4_afa6_91e575908244"/>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Times New Roman;Times;serif" w:hAnsi="Times New Roman;Times;serif"/>
          <w:b/>
          <w:sz w:val="20"/>
        </w:rPr>
        <w:t>NOTE 9. OPERATING LAND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the lessee under operating land leases for certain of its properties. FASB ASC Topic 842, </w:t>
      </w:r>
      <w:r>
        <w:rPr>
          <w:rFonts w:ascii="Times New Roman;Times;serif" w:hAnsi="Times New Roman;Times;serif"/>
          <w:i/>
          <w:sz w:val="20"/>
        </w:rPr>
        <w:t>Leases</w:t>
      </w:r>
      <w:r>
        <w:rPr>
          <w:rFonts w:ascii="Times New Roman;Times;serif" w:hAnsi="Times New Roman;Times;serif"/>
          <w:sz w:val="20"/>
        </w:rPr>
        <w:t xml:space="preserve">, requires a lessee to recognize right-of-use assets and lease liabilities that arise from leases, whether qualifying as an operating or finance lease. As of September 30, 2024 and December 31, 2023, the Company’s right-of-use assets totaled $1.2 million and $1.4 million, respectively, and the corresponding lease liabilities totaled $1.3 million and $1.5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right-of-use assets for operating land leases is recognized on a straight-line basis over the term of the lease and is included within real estate expenses in the consolidated statements of operations. Amortization totaled less than $0.1 million during each of the three months ended September 30, 2024 and 2023. Amortization totaled $0.1 million and $0.2 million during the nine months ended September 30, 2024 and 2023,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operating land leases, under which the Company is the lessee, for the three and nine months ended September 30, 2024 and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548"/>
        <w:gridCol w:w="109"/>
        <w:gridCol w:w="584"/>
        <w:gridCol w:w="1001"/>
        <w:gridCol w:w="324"/>
        <w:gridCol w:w="584"/>
        <w:gridCol w:w="1001"/>
        <w:gridCol w:w="271"/>
        <w:gridCol w:w="529"/>
        <w:gridCol w:w="1056"/>
        <w:gridCol w:w="294"/>
        <w:gridCol w:w="529"/>
        <w:gridCol w:w="1056"/>
        <w:gridCol w:w="319"/>
      </w:tblGrid>
      <w:tr>
        <w:trPr/>
        <w:tc>
          <w:tcPr>
            <w:tcW w:w="2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617980" cy="175260"/>
                      <wp:effectExtent l="0" t="0" r="0" b="0"/>
                      <wp:wrapNone/>
                      <wp:docPr id="229" name="Frame229"/>
                      <a:graphic xmlns:a="http://schemas.openxmlformats.org/drawingml/2006/main">
                        <a:graphicData uri="http://schemas.microsoft.com/office/word/2010/wordprocessingShape">
                          <wps:wsp>
                            <wps:cNvSpPr txBox="1"/>
                            <wps:spPr>
                              <a:xfrm>
                                <a:off x="0" y="0"/>
                                <a:ext cx="1617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9215" cy="175260"/>
                      <wp:effectExtent l="0" t="0" r="0" b="0"/>
                      <wp:wrapNone/>
                      <wp:docPr id="230" name="Frame2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70840" cy="175260"/>
                      <wp:effectExtent l="0" t="0" r="0" b="0"/>
                      <wp:wrapNone/>
                      <wp:docPr id="231" name="Frame231"/>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35635" cy="175260"/>
                      <wp:effectExtent l="0" t="0" r="0" b="0"/>
                      <wp:wrapNone/>
                      <wp:docPr id="232" name="Frame232"/>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5740" cy="175260"/>
                      <wp:effectExtent l="0" t="0" r="0" b="0"/>
                      <wp:wrapNone/>
                      <wp:docPr id="233" name="Frame23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70840" cy="175260"/>
                      <wp:effectExtent l="0" t="0" r="0" b="0"/>
                      <wp:wrapNone/>
                      <wp:docPr id="234" name="Frame234"/>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35635" cy="175260"/>
                      <wp:effectExtent l="0" t="0" r="0" b="0"/>
                      <wp:wrapNone/>
                      <wp:docPr id="235" name="Frame235"/>
                      <a:graphic xmlns:a="http://schemas.openxmlformats.org/drawingml/2006/main">
                        <a:graphicData uri="http://schemas.microsoft.com/office/word/2010/wordprocessingShape">
                          <wps:wsp>
                            <wps:cNvSpPr txBox="1"/>
                            <wps:spPr>
                              <a:xfrm>
                                <a:off x="0" y="0"/>
                                <a:ext cx="63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72085" cy="175260"/>
                      <wp:effectExtent l="0" t="0" r="0" b="0"/>
                      <wp:wrapNone/>
                      <wp:docPr id="236" name="Frame236"/>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335915" cy="175260"/>
                      <wp:effectExtent l="0" t="0" r="0" b="0"/>
                      <wp:wrapNone/>
                      <wp:docPr id="237" name="Frame237"/>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70560" cy="175260"/>
                      <wp:effectExtent l="0" t="0" r="0" b="0"/>
                      <wp:wrapNone/>
                      <wp:docPr id="238" name="Frame238"/>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6690" cy="175260"/>
                      <wp:effectExtent l="0" t="0" r="0" b="0"/>
                      <wp:wrapNone/>
                      <wp:docPr id="239" name="Frame239"/>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35915" cy="175260"/>
                      <wp:effectExtent l="0" t="0" r="0" b="0"/>
                      <wp:wrapNone/>
                      <wp:docPr id="240" name="Frame24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70560" cy="175260"/>
                      <wp:effectExtent l="0" t="0" r="0" b="0"/>
                      <wp:wrapNone/>
                      <wp:docPr id="241" name="Frame241"/>
                      <a:graphic xmlns:a="http://schemas.openxmlformats.org/drawingml/2006/main">
                        <a:graphicData uri="http://schemas.microsoft.com/office/word/2010/wordprocessingShape">
                          <wps:wsp>
                            <wps:cNvSpPr txBox="1"/>
                            <wps:spPr>
                              <a:xfrm>
                                <a:off x="0" y="0"/>
                                <a:ext cx="67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2565" cy="175260"/>
                      <wp:effectExtent l="0" t="0" r="0" b="0"/>
                      <wp:wrapNone/>
                      <wp:docPr id="242" name="Frame242"/>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271" w:type="dxa"/>
            <w:tcBorders/>
            <w:vAlign w:val="center"/>
          </w:tcPr>
          <w:p>
            <w:pPr>
              <w:pStyle w:val="TableContents"/>
              <w:bidi w:val="0"/>
              <w:spacing w:before="0" w:after="0"/>
              <w:ind w:left="0" w:right="0" w:hanging="0"/>
              <w:jc w:val="left"/>
              <w:rPr/>
            </w:pPr>
            <w:r>
              <w:rPr/>
              <w:t>​</w:t>
            </w:r>
          </w:p>
        </w:tc>
        <w:tc>
          <w:tcPr>
            <w:tcW w:w="34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319" w:type="dxa"/>
            <w:tcBorders/>
            <w:vAlign w:val="center"/>
          </w:tcPr>
          <w:p>
            <w:pPr>
              <w:pStyle w:val="TableContents"/>
              <w:bidi w:val="0"/>
              <w:spacing w:before="0" w:after="0"/>
              <w:ind w:left="0" w:right="0" w:hanging="0"/>
              <w:jc w:val="left"/>
              <w:rPr/>
            </w:pPr>
            <w:r>
              <w:rPr/>
              <w:t>​</w:t>
            </w:r>
          </w:p>
        </w:tc>
      </w:tr>
      <w:tr>
        <w:trPr/>
        <w:tc>
          <w:tcPr>
            <w:tcW w:w="2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4" w:type="dxa"/>
            <w:tcBorders/>
            <w:vAlign w:val="center"/>
          </w:tcPr>
          <w:p>
            <w:pPr>
              <w:pStyle w:val="TableContents"/>
              <w:bidi w:val="0"/>
              <w:spacing w:before="0" w:after="0"/>
              <w:ind w:left="0" w:right="0" w:hanging="0"/>
              <w:jc w:val="righ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271" w:type="dxa"/>
            <w:tcBorders/>
            <w:vAlign w:val="center"/>
          </w:tcPr>
          <w:p>
            <w:pPr>
              <w:pStyle w:val="TableContents"/>
              <w:bidi w:val="0"/>
              <w:spacing w:before="0" w:after="0"/>
              <w:ind w:left="0" w:right="0" w:hanging="0"/>
              <w:jc w:val="lef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294" w:type="dxa"/>
            <w:tcBorders/>
            <w:vAlign w:val="center"/>
          </w:tcPr>
          <w:p>
            <w:pPr>
              <w:pStyle w:val="TableContents"/>
              <w:bidi w:val="0"/>
              <w:spacing w:before="0" w:after="0"/>
              <w:ind w:left="0" w:right="0" w:hanging="0"/>
              <w:jc w:val="right"/>
              <w:rPr/>
            </w:pPr>
            <w:r>
              <w:rPr/>
              <w:t>​</w:t>
            </w:r>
          </w:p>
        </w:tc>
        <w:tc>
          <w:tcPr>
            <w:tcW w:w="15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319" w:type="dxa"/>
            <w:tcBorders/>
            <w:vAlign w:val="center"/>
          </w:tcPr>
          <w:p>
            <w:pPr>
              <w:pStyle w:val="TableContents"/>
              <w:bidi w:val="0"/>
              <w:spacing w:before="0" w:after="0"/>
              <w:ind w:left="0" w:right="0" w:hanging="0"/>
              <w:jc w:val="left"/>
              <w:rPr/>
            </w:pPr>
            <w:r>
              <w:rPr/>
              <w:t>​</w:t>
            </w:r>
          </w:p>
        </w:tc>
      </w:tr>
      <w:tr>
        <w:trPr/>
        <w:tc>
          <w:tcPr>
            <w:tcW w:w="2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2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Outflows</w:t>
            </w:r>
          </w:p>
        </w:tc>
        <w:tc>
          <w:tcPr>
            <w:tcW w:w="109"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4" w:type="dxa"/>
            <w:tcBorders/>
            <w:shd w:fill="CCEEFF" w:val="clear"/>
            <w:vAlign w:val="center"/>
          </w:tcPr>
          <w:p>
            <w:pPr>
              <w:pStyle w:val="TableContents"/>
              <w:bidi w:val="0"/>
              <w:spacing w:before="0" w:after="0"/>
              <w:ind w:left="0" w:right="0" w:hanging="0"/>
              <w:jc w:val="right"/>
              <w:rPr/>
            </w:pPr>
            <w:r>
              <w:rPr/>
              <w:t>​</w:t>
            </w:r>
          </w:p>
        </w:tc>
        <w:tc>
          <w:tcPr>
            <w:tcW w:w="5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271"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294" w:type="dxa"/>
            <w:tcBorders/>
            <w:shd w:fill="CCEEFF" w:val="clear"/>
            <w:vAlign w:val="center"/>
          </w:tcPr>
          <w:p>
            <w:pPr>
              <w:pStyle w:val="TableContents"/>
              <w:bidi w:val="0"/>
              <w:spacing w:before="0" w:after="0"/>
              <w:ind w:left="0" w:right="0" w:hanging="0"/>
              <w:jc w:val="right"/>
              <w:rPr/>
            </w:pPr>
            <w:r>
              <w:rPr/>
              <w:t>​</w:t>
            </w:r>
          </w:p>
        </w:tc>
        <w:tc>
          <w:tcPr>
            <w:tcW w:w="5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25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4" w:type="dxa"/>
            <w:tcBorders/>
            <w:vAlign w:val="center"/>
          </w:tcPr>
          <w:p>
            <w:pPr>
              <w:pStyle w:val="TableContents"/>
              <w:bidi w:val="0"/>
              <w:spacing w:before="0" w:after="0"/>
              <w:ind w:left="0" w:right="0" w:hanging="0"/>
              <w:jc w:val="right"/>
              <w:rPr/>
            </w:pPr>
            <w:r>
              <w:rPr/>
              <w:t>​</w:t>
            </w:r>
          </w:p>
        </w:tc>
        <w:tc>
          <w:tcPr>
            <w:tcW w:w="584" w:type="dxa"/>
            <w:tcBorders/>
            <w:vAlign w:val="center"/>
          </w:tcPr>
          <w:p>
            <w:pPr>
              <w:pStyle w:val="TableContents"/>
              <w:bidi w:val="0"/>
              <w:spacing w:before="0" w:after="0"/>
              <w:ind w:left="0" w:right="0" w:hanging="0"/>
              <w:jc w:val="left"/>
              <w:rPr/>
            </w:pPr>
            <w:r>
              <w:rPr/>
              <w:t>​</w:t>
            </w:r>
          </w:p>
        </w:tc>
        <w:tc>
          <w:tcPr>
            <w:tcW w:w="10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271"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294" w:type="dxa"/>
            <w:tcBorders/>
            <w:vAlign w:val="center"/>
          </w:tcPr>
          <w:p>
            <w:pPr>
              <w:pStyle w:val="TableContents"/>
              <w:bidi w:val="0"/>
              <w:spacing w:before="0" w:after="0"/>
              <w:ind w:left="0" w:right="0" w:hanging="0"/>
              <w:jc w:val="right"/>
              <w:rPr/>
            </w:pPr>
            <w:r>
              <w:rPr/>
              <w:t>​</w:t>
            </w:r>
          </w:p>
        </w:tc>
        <w:tc>
          <w:tcPr>
            <w:tcW w:w="529" w:type="dxa"/>
            <w:tcBorders/>
            <w:vAlign w:val="center"/>
          </w:tcPr>
          <w:p>
            <w:pPr>
              <w:pStyle w:val="TableContents"/>
              <w:bidi w:val="0"/>
              <w:spacing w:before="0" w:after="0"/>
              <w:ind w:left="0" w:right="0" w:hanging="0"/>
              <w:jc w:val="left"/>
              <w:rPr/>
            </w:pPr>
            <w:r>
              <w:rPr/>
              <w:t>​</w:t>
            </w:r>
          </w:p>
        </w:tc>
        <w:tc>
          <w:tcPr>
            <w:tcW w:w="10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9" w:type="dxa"/>
            <w:tcBorders/>
            <w:vAlign w:val="center"/>
          </w:tcPr>
          <w:p>
            <w:pPr>
              <w:pStyle w:val="TableContents"/>
              <w:bidi w:val="0"/>
              <w:spacing w:before="0" w:after="0"/>
              <w:ind w:left="0" w:right="0" w:hanging="0"/>
              <w:jc w:val="left"/>
              <w:rPr/>
            </w:pPr>
            <w:r>
              <w:rPr/>
              <w:t>​</w:t>
            </w:r>
          </w:p>
        </w:tc>
      </w:tr>
      <w:tr>
        <w:trPr/>
        <w:tc>
          <w:tcPr>
            <w:tcW w:w="25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left"/>
              <w:rPr/>
            </w:pPr>
            <w:r>
              <w:rPr/>
              <w:t>​</w:t>
            </w:r>
          </w:p>
        </w:tc>
        <w:tc>
          <w:tcPr>
            <w:tcW w:w="10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0"/>
              <w:ind w:left="0" w:right="0" w:hanging="0"/>
              <w:jc w:val="left"/>
              <w:rPr/>
            </w:pPr>
            <w:r>
              <w:rPr/>
              <w:t>​</w:t>
            </w:r>
          </w:p>
        </w:tc>
        <w:tc>
          <w:tcPr>
            <w:tcW w:w="10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Minimum future lease payments under non-cancelable operating land leases, having remaining terms in excess of one year subsequent to September 30, 2024, are summarized as follows (in thousands):   </w:t>
      </w:r>
    </w:p>
    <w:p>
      <w:pPr>
        <w:pStyle w:val="TextBody"/>
        <w:bidi w:val="0"/>
        <w:spacing w:before="0" w:after="0"/>
        <w:ind w:left="0" w:right="0" w:firstLine="360"/>
        <w:jc w:val="both"/>
        <w:rPr>
          <w:shd w:fill="FFFF00" w:val="clear"/>
        </w:rPr>
      </w:pPr>
      <w:r>
        <w:rPr>
          <w:shd w:fill="FFFF00" w:val="clear"/>
        </w:rPr>
        <w:t>​</w:t>
      </w:r>
    </w:p>
    <w:tbl>
      <w:tblPr>
        <w:tblW w:w="3427" w:type="dxa"/>
        <w:jc w:val="left"/>
        <w:tblInd w:w="0" w:type="dxa"/>
        <w:tblLayout w:type="fixed"/>
        <w:tblCellMar>
          <w:top w:w="0" w:type="dxa"/>
          <w:left w:w="0" w:type="dxa"/>
          <w:bottom w:w="0" w:type="dxa"/>
          <w:right w:w="0" w:type="dxa"/>
        </w:tblCellMar>
      </w:tblPr>
      <w:tblGrid>
        <w:gridCol w:w="2431"/>
        <w:gridCol w:w="109"/>
        <w:gridCol w:w="211"/>
        <w:gridCol w:w="67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543685" cy="175260"/>
                      <wp:effectExtent l="0" t="0" r="0" b="0"/>
                      <wp:wrapNone/>
                      <wp:docPr id="243" name="Frame243"/>
                      <a:graphic xmlns:a="http://schemas.openxmlformats.org/drawingml/2006/main">
                        <a:graphicData uri="http://schemas.microsoft.com/office/word/2010/wordprocessingShape">
                          <wps:wsp>
                            <wps:cNvSpPr txBox="1"/>
                            <wps:spPr>
                              <a:xfrm>
                                <a:off x="0" y="0"/>
                                <a:ext cx="154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429260" cy="175260"/>
                      <wp:effectExtent l="0" t="0" r="0" b="0"/>
                      <wp:wrapNone/>
                      <wp:docPr id="246" name="Frame2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w:t>
            </w:r>
          </w:p>
        </w:tc>
      </w:tr>
      <w:tr>
        <w:trPr/>
        <w:tc>
          <w:tcPr>
            <w:tcW w:w="2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2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 –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1,278</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1152" w:name="Tc_AEvI9B23GU2D5mdSZMYS-A_10_5"/>
      <w:bookmarkStart w:id="1153" w:name="Tc_IPKYlHVTSEufnOs7LpOq-w_10_2"/>
      <w:bookmarkStart w:id="1154" w:name="Tc_SW7LyAke70SeDAe-bUEJBA_10_0"/>
      <w:bookmarkStart w:id="1155" w:name="Tc_Ozdka9S0Okaa8I3CF11OgQ_9_0"/>
      <w:bookmarkStart w:id="1156" w:name="Tc_9IQsC_2JyUq_4-U-uagduA_8_5"/>
      <w:bookmarkStart w:id="1157" w:name="Tc_9TeiB--OwEiIq377EudhPg_8_2"/>
      <w:bookmarkStart w:id="1158" w:name="Tc_IGhIGPOb9Eq2O86tDt3zWA_8_0"/>
      <w:bookmarkStart w:id="1159" w:name="Tc_YcTdgIPv3UytdIoz03X6kQ_7_0"/>
      <w:bookmarkStart w:id="1160" w:name="Tc_sjOHTnsFtUK18aeXxs5X8g_6_0"/>
      <w:bookmarkStart w:id="1161" w:name="Tc_UwOv1fcT_kmvrp0ocI6vUw_5_0"/>
      <w:bookmarkStart w:id="1162" w:name="Tc_4NZg5aDyL0mcR2PPDzUcVQ_4_0"/>
      <w:bookmarkStart w:id="1163" w:name="Tc_4xlxaHX31ky1bPHDnfdyOA_3_5"/>
      <w:bookmarkStart w:id="1164" w:name="Tc_zoG658nF80qzrMHAJ2VjlA_3_2"/>
      <w:bookmarkStart w:id="1165" w:name="Tc_luwUScvyrUevF4RF8kVK9Q_3_0"/>
      <w:bookmarkStart w:id="1166" w:name="Tc_qz6QFr1t3E2NBlO-t6s04w_2_5"/>
      <w:bookmarkStart w:id="1167" w:name="Tc_WCzFmZNiKkKmEXtRnCyQVA_2_2"/>
      <w:bookmarkStart w:id="1168" w:name="Tc_6000DE67qEq3gDc_VpuxDA_1_2"/>
      <w:bookmarkStart w:id="1169" w:name="_b310b152_b0cf_421a_bc06_35bab80b82da"/>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b/>
          <w:sz w:val="20"/>
        </w:rPr>
        <w:t>NOTE 10. ASSETS HELD FOR SALE</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Assets held for sale consisted of the following (in thousands):</w:t>
      </w:r>
    </w:p>
    <w:tbl>
      <w:tblPr>
        <w:tblW w:w="7104" w:type="dxa"/>
        <w:jc w:val="left"/>
        <w:tblInd w:w="0" w:type="dxa"/>
        <w:tblLayout w:type="fixed"/>
        <w:tblCellMar>
          <w:top w:w="0" w:type="dxa"/>
          <w:left w:w="0" w:type="dxa"/>
          <w:bottom w:w="0" w:type="dxa"/>
          <w:right w:w="0" w:type="dxa"/>
        </w:tblCellMar>
      </w:tblPr>
      <w:tblGrid>
        <w:gridCol w:w="3346"/>
        <w:gridCol w:w="109"/>
        <w:gridCol w:w="443"/>
        <w:gridCol w:w="1327"/>
        <w:gridCol w:w="109"/>
        <w:gridCol w:w="420"/>
        <w:gridCol w:w="1350"/>
      </w:tblGrid>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81305" cy="175260"/>
                      <wp:effectExtent l="0" t="0" r="0" b="0"/>
                      <wp:wrapNone/>
                      <wp:docPr id="248" name="Frame248"/>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842645" cy="175260"/>
                      <wp:effectExtent l="0" t="0" r="0" b="0"/>
                      <wp:wrapNone/>
                      <wp:docPr id="249" name="Frame249"/>
                      <a:graphic xmlns:a="http://schemas.openxmlformats.org/drawingml/2006/main">
                        <a:graphicData uri="http://schemas.microsoft.com/office/word/2010/wordprocessingShape">
                          <wps:wsp>
                            <wps:cNvSpPr txBox="1"/>
                            <wps:spPr>
                              <a:xfrm>
                                <a:off x="0" y="0"/>
                                <a:ext cx="842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6700" cy="175260"/>
                      <wp:effectExtent l="0" t="0" r="0" b="0"/>
                      <wp:wrapNone/>
                      <wp:docPr id="251" name="Frame251"/>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57250" cy="175260"/>
                      <wp:effectExtent l="0" t="0" r="0" b="0"/>
                      <wp:wrapNone/>
                      <wp:docPr id="252" name="Frame252"/>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w:t>
            </w:r>
          </w:p>
        </w:tc>
      </w:tr>
      <w:tr>
        <w:trPr/>
        <w:tc>
          <w:tcPr>
            <w:tcW w:w="3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pPr>
            <w:r>
              <w:rPr/>
              <w:t>​</w:t>
            </w:r>
          </w:p>
        </w:tc>
        <w:tc>
          <w:tcPr>
            <w:tcW w:w="1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pPr>
            <w:r>
              <w:rPr/>
              <w:t>​</w:t>
            </w:r>
          </w:p>
        </w:tc>
        <w:tc>
          <w:tcPr>
            <w:tcW w:w="13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Prior to Provision for Impairment</w:t>
            </w:r>
          </w:p>
        </w:tc>
        <w:tc>
          <w:tcPr>
            <w:tcW w:w="109" w:type="dxa"/>
            <w:tcBorders/>
            <w:vAlign w:val="center"/>
          </w:tcPr>
          <w:p>
            <w:pPr>
              <w:pStyle w:val="TableContents"/>
              <w:bidi w:val="0"/>
              <w:spacing w:before="0" w:after="0"/>
              <w:ind w:left="0" w:right="0" w:hanging="0"/>
              <w:jc w:val="left"/>
              <w:rPr/>
            </w:pPr>
            <w:r>
              <w:rPr/>
              <w:t>​</w:t>
            </w:r>
          </w:p>
        </w:tc>
        <w:tc>
          <w:tcPr>
            <w:tcW w:w="4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w:t>
            </w:r>
          </w:p>
        </w:tc>
        <w:tc>
          <w:tcPr>
            <w:tcW w:w="109"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7,274</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(3,453)</w:t>
            </w:r>
          </w:p>
        </w:tc>
        <w:tc>
          <w:tcPr>
            <w:tcW w:w="109" w:type="dxa"/>
            <w:tcBorders/>
            <w:shd w:fill="CCEEFF" w:val="clear"/>
            <w:vAlign w:val="center"/>
          </w:tcPr>
          <w:p>
            <w:pPr>
              <w:pStyle w:val="TableContents"/>
              <w:bidi w:val="0"/>
              <w:spacing w:before="0" w:after="0"/>
              <w:ind w:left="0" w:right="0" w:hanging="0"/>
              <w:jc w:val="righ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Held for Sale</w:t>
            </w:r>
          </w:p>
        </w:tc>
        <w:tc>
          <w:tcPr>
            <w:tcW w:w="109" w:type="dxa"/>
            <w:tcBorders/>
            <w:vAlign w:val="center"/>
          </w:tcPr>
          <w:p>
            <w:pPr>
              <w:pStyle w:val="TableContents"/>
              <w:bidi w:val="0"/>
              <w:spacing w:before="0" w:after="0"/>
              <w:ind w:left="0" w:right="0" w:hanging="0"/>
              <w:jc w:val="left"/>
              <w:rPr/>
            </w:pPr>
            <w:r>
              <w:rPr/>
              <w:t>​</w:t>
            </w:r>
          </w:p>
        </w:tc>
        <w:tc>
          <w:tcPr>
            <w:tcW w:w="44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4,100</w:t>
            </w:r>
          </w:p>
        </w:tc>
        <w:tc>
          <w:tcPr>
            <w:tcW w:w="109" w:type="dxa"/>
            <w:tcBorders/>
            <w:vAlign w:val="center"/>
          </w:tcPr>
          <w:p>
            <w:pPr>
              <w:pStyle w:val="TableContents"/>
              <w:bidi w:val="0"/>
              <w:spacing w:before="0" w:after="0"/>
              <w:ind w:left="0" w:right="0" w:hanging="0"/>
              <w:jc w:val="righ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4,410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70" w:name="Tc_0o9PcshpKEqUD3S7BPDLTA_10_5"/>
      <w:bookmarkStart w:id="1171" w:name="Tc_XyCBDEVgdUiXpEahZlRvcA_10_2"/>
      <w:bookmarkStart w:id="1172" w:name="Tc_Wj2ORBx-lk-t4RN9Xx2XVQ_10_0"/>
      <w:bookmarkStart w:id="1173" w:name="Tc_uR4-dejXc0mElrRvMkk1VQ_9_0"/>
      <w:bookmarkStart w:id="1174" w:name="Tc_fcIsA08Kqkmf3XeHntjhyw_8_0"/>
      <w:bookmarkStart w:id="1175" w:name="Tc_BCdiXn3cHkSuFdrIWK59Rw_7_0"/>
      <w:bookmarkStart w:id="1176" w:name="Tc_40nBGNbUQUGTrpZGN3JnfA_5_0"/>
      <w:bookmarkStart w:id="1177" w:name="Tc_K3tPG5sm6EG_4Ayv990_Ww_4_0"/>
      <w:bookmarkStart w:id="1178" w:name="Tc_eMi-AzVDG0ubyz5mYp1Jew_3_5"/>
      <w:bookmarkStart w:id="1179" w:name="Tc_rzu_H8p5yUynaHBDLl99zA_3_2"/>
      <w:bookmarkStart w:id="1180" w:name="Tc_jY38qUYou0mURBX9QSFLlA_3_0"/>
      <w:bookmarkStart w:id="1181" w:name="Tc_wF47DKpsOECQIgnQ68txOQ_2_5"/>
      <w:bookmarkStart w:id="1182" w:name="Tc_1y7BQLj4LkqqqfEUwZJNFg_2_2"/>
      <w:bookmarkStart w:id="1183" w:name="Tc_ED9stqeOW02g6UztB9h0zQ_1_2"/>
      <w:bookmarkStart w:id="1184" w:name="_bd2245f6_a4c6_45f7_a7c0_b8e96619703f"/>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r>
        <w:rPr>
          <w:rFonts w:ascii="Times New Roman;Times;serif" w:hAnsi="Times New Roman;Times;serif"/>
          <w:b/>
          <w:sz w:val="20"/>
        </w:rPr>
        <w:t>NOTE 11. ACCOUNTS PAYABLE, ACCRUED EXPENSES, AND OTHER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payable, accrued expenses, and other liabilities consisted of the following (in thousands):</w:t>
      </w:r>
    </w:p>
    <w:p>
      <w:pPr>
        <w:pStyle w:val="TextBody"/>
        <w:bidi w:val="0"/>
        <w:spacing w:before="0" w:after="0"/>
        <w:ind w:left="0" w:right="0" w:firstLine="360"/>
        <w:jc w:val="both"/>
        <w:rPr/>
      </w:pPr>
      <w:r>
        <w:rPr/>
        <w:t>​</w:t>
      </w:r>
    </w:p>
    <w:tbl>
      <w:tblPr>
        <w:tblW w:w="9159" w:type="dxa"/>
        <w:jc w:val="left"/>
        <w:tblInd w:w="0" w:type="dxa"/>
        <w:tblLayout w:type="fixed"/>
        <w:tblCellMar>
          <w:top w:w="0" w:type="dxa"/>
          <w:left w:w="0" w:type="dxa"/>
          <w:bottom w:w="0" w:type="dxa"/>
          <w:right w:w="0" w:type="dxa"/>
        </w:tblCellMar>
      </w:tblPr>
      <w:tblGrid>
        <w:gridCol w:w="5401"/>
        <w:gridCol w:w="109"/>
        <w:gridCol w:w="477"/>
        <w:gridCol w:w="1293"/>
        <w:gridCol w:w="109"/>
        <w:gridCol w:w="420"/>
        <w:gridCol w:w="1350"/>
      </w:tblGrid>
      <w:tr>
        <w:trPr/>
        <w:tc>
          <w:tcPr>
            <w:tcW w:w="5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429635" cy="175260"/>
                      <wp:effectExtent l="0" t="0" r="0" b="0"/>
                      <wp:wrapNone/>
                      <wp:docPr id="253" name="Frame253"/>
                      <a:graphic xmlns:a="http://schemas.openxmlformats.org/drawingml/2006/main">
                        <a:graphicData uri="http://schemas.microsoft.com/office/word/2010/wordprocessingShape">
                          <wps:wsp>
                            <wps:cNvSpPr txBox="1"/>
                            <wps:spPr>
                              <a:xfrm>
                                <a:off x="0" y="0"/>
                                <a:ext cx="342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4"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02895" cy="175260"/>
                      <wp:effectExtent l="0" t="0" r="0" b="0"/>
                      <wp:wrapNone/>
                      <wp:docPr id="255" name="Frame255"/>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821055" cy="175260"/>
                      <wp:effectExtent l="0" t="0" r="0" b="0"/>
                      <wp:wrapNone/>
                      <wp:docPr id="256" name="Frame256"/>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7"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66700" cy="175260"/>
                      <wp:effectExtent l="0" t="0" r="0" b="0"/>
                      <wp:wrapNone/>
                      <wp:docPr id="258" name="Frame25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57250" cy="175260"/>
                      <wp:effectExtent l="0" t="0" r="0" b="0"/>
                      <wp:wrapNone/>
                      <wp:docPr id="259" name="Frame25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5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Tenant Security Deposits</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CTO</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5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Reserves</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540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Leases - Liability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r>
      <w:tr>
        <w:trPr/>
        <w:tc>
          <w:tcPr>
            <w:tcW w:w="5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4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5,736</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See Note 9, “Operating Land Leases” for further disclosure related to the Company’s operating lease liability balance as of September 30, 2024.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OBLIGATION UNDER PARTICIPATION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discussed in Note 2, “Summary of Significant Accounting Policies,” the Company follows the guidance in FASB Topic ASC 860, </w:t>
      </w:r>
      <w:r>
        <w:rPr>
          <w:rFonts w:ascii="Times New Roman;Times;serif" w:hAnsi="Times New Roman;Times;serif"/>
          <w:i/>
          <w:sz w:val="20"/>
        </w:rPr>
        <w:t>Transfers and Servicing</w:t>
      </w:r>
      <w:r>
        <w:rPr>
          <w:rFonts w:ascii="Times New Roman;Times;serif" w:hAnsi="Times New Roman;Times;serif"/>
          <w:sz w:val="20"/>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As of September 30, 2024, the Company’s obligation under participation agreement had a carrying value of $13.2 million, and the carrying value of the loan that is associated with this obligation under participation agreement was $13.1 million, net of a CECL reserve of $0.1 million. The interest rate on the obligation under participation agreement was 8.0% as of September 30, 2024. As of December 31, 2023, there were no such obligations under participation agreements.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85" w:name="Tc_CyAtNWGETUuy1IqgWlHLeg_5_2"/>
      <w:bookmarkStart w:id="1186" w:name="Tc_Y0N-l2OAPUmP9U67v_DkBA_5_0"/>
      <w:bookmarkStart w:id="1187" w:name="Tc_jSOLFMrumkuqb7ZUnwc22w_4_9"/>
      <w:bookmarkStart w:id="1188" w:name="Tc_MHvJwPI-akCWMmxZ8MBc2A_4_5"/>
      <w:bookmarkStart w:id="1189" w:name="Tc_ELJrvL_QjE-bHRMOq41v2Q_4_0"/>
      <w:bookmarkStart w:id="1190" w:name="Tc_ycXerOTULUy3L948ZEyiGA_3_9"/>
      <w:bookmarkStart w:id="1191" w:name="Tc_bQ_GwQURbE2o9-O-HOgOiQ_3_5"/>
      <w:bookmarkStart w:id="1192" w:name="Tc__xInZ05RlEKEHApmDWsMfA_3_0"/>
      <w:bookmarkStart w:id="1193" w:name="Tc_-HaqCp5w7kS-CcmBml997A_2_9"/>
      <w:bookmarkStart w:id="1194" w:name="Tc_-PQTheFAjEi85JWO77t2ZA_2_5"/>
      <w:bookmarkStart w:id="1195" w:name="Tc_SoQFMi_E1UGZAw38nINueQ_2_2"/>
      <w:bookmarkStart w:id="1196" w:name="Tc_FmDC2VAvTEKBG0cquL5ANQ_2_0"/>
      <w:bookmarkStart w:id="1197" w:name="Tc_Af92LmODYEGkFQr9Q90jAw_1_9"/>
      <w:bookmarkStart w:id="1198" w:name="Tc_fdWeH1-HLEKk6J2ppTwasg_1_7"/>
      <w:bookmarkStart w:id="1199" w:name="Tc_UL68P7rYGEOYqq1NbsPk6Q_1_5"/>
      <w:bookmarkStart w:id="1200" w:name="Tc_1TqLEIYKbkuvPrmZ9qpdYg_1_2"/>
      <w:bookmarkStart w:id="1201" w:name="_cf9818a2_5bc2_45b1_8aa6_30dcfe31daf2"/>
      <w:bookmarkStart w:id="1202" w:name="LT_DEBT"/>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ascii="Times New Roman;Times;serif" w:hAnsi="Times New Roman;Times;serif"/>
          <w:b/>
          <w:sz w:val="20"/>
        </w:rPr>
        <w:t>NOTE 13. LONG-TERM DEBT</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September 30, 2024, the Company’s outstanding indebtedness, at face value, was as follows (in thousands):</w:t>
      </w:r>
    </w:p>
    <w:p>
      <w:pPr>
        <w:pStyle w:val="TextBody"/>
        <w:bidi w:val="0"/>
        <w:spacing w:before="0" w:after="0"/>
        <w:ind w:left="0" w:right="0" w:firstLine="490"/>
        <w:jc w:val="both"/>
        <w:rPr/>
      </w:pPr>
      <w:r>
        <w:rPr/>
        <w:t>​</w:t>
      </w:r>
    </w:p>
    <w:tbl>
      <w:tblPr>
        <w:tblW w:w="10205" w:type="dxa"/>
        <w:jc w:val="left"/>
        <w:tblInd w:w="0" w:type="dxa"/>
        <w:tblLayout w:type="fixed"/>
        <w:tblCellMar>
          <w:top w:w="0" w:type="dxa"/>
          <w:left w:w="0" w:type="dxa"/>
          <w:bottom w:w="0" w:type="dxa"/>
          <w:right w:w="0" w:type="dxa"/>
        </w:tblCellMar>
      </w:tblPr>
      <w:tblGrid>
        <w:gridCol w:w="2677"/>
        <w:gridCol w:w="109"/>
        <w:gridCol w:w="297"/>
        <w:gridCol w:w="1103"/>
        <w:gridCol w:w="109"/>
        <w:gridCol w:w="1522"/>
        <w:gridCol w:w="109"/>
        <w:gridCol w:w="2921"/>
        <w:gridCol w:w="109"/>
        <w:gridCol w:w="1249"/>
      </w:tblGrid>
      <w:tr>
        <w:trPr/>
        <w:tc>
          <w:tcPr>
            <w:tcW w:w="2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99895" cy="175260"/>
                      <wp:effectExtent l="0" t="0" r="0" b="0"/>
                      <wp:wrapNone/>
                      <wp:docPr id="260" name="Frame260"/>
                      <a:graphic xmlns:a="http://schemas.openxmlformats.org/drawingml/2006/main">
                        <a:graphicData uri="http://schemas.microsoft.com/office/word/2010/wordprocessingShape">
                          <wps:wsp>
                            <wps:cNvSpPr txBox="1"/>
                            <wps:spPr>
                              <a:xfrm>
                                <a:off x="0" y="0"/>
                                <a:ext cx="169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8595" cy="175260"/>
                      <wp:effectExtent l="0" t="0" r="0" b="0"/>
                      <wp:wrapNone/>
                      <wp:docPr id="262" name="Frame26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00405" cy="175260"/>
                      <wp:effectExtent l="0" t="0" r="0" b="0"/>
                      <wp:wrapNone/>
                      <wp:docPr id="263" name="Frame263"/>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9215" cy="175260"/>
                      <wp:effectExtent l="0" t="0" r="0" b="0"/>
                      <wp:wrapNone/>
                      <wp:docPr id="264" name="Frame2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66470" cy="175260"/>
                      <wp:effectExtent l="0" t="0" r="0" b="0"/>
                      <wp:wrapNone/>
                      <wp:docPr id="265" name="Frame265"/>
                      <a:graphic xmlns:a="http://schemas.openxmlformats.org/drawingml/2006/main">
                        <a:graphicData uri="http://schemas.microsoft.com/office/word/2010/wordprocessingShape">
                          <wps:wsp>
                            <wps:cNvSpPr txBox="1"/>
                            <wps:spPr>
                              <a:xfrm>
                                <a:off x="0" y="0"/>
                                <a:ext cx="966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854835" cy="175260"/>
                      <wp:effectExtent l="0" t="0" r="0" b="0"/>
                      <wp:wrapNone/>
                      <wp:docPr id="267" name="Frame267"/>
                      <a:graphic xmlns:a="http://schemas.openxmlformats.org/drawingml/2006/main">
                        <a:graphicData uri="http://schemas.microsoft.com/office/word/2010/wordprocessingShape">
                          <wps:wsp>
                            <wps:cNvSpPr txBox="1"/>
                            <wps:spPr>
                              <a:xfrm>
                                <a:off x="0" y="0"/>
                                <a:ext cx="185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9215" cy="175260"/>
                      <wp:effectExtent l="0" t="0" r="0" b="0"/>
                      <wp:wrapNone/>
                      <wp:docPr id="268"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93115" cy="175260"/>
                      <wp:effectExtent l="0" t="0" r="0" b="0"/>
                      <wp:wrapNone/>
                      <wp:docPr id="269" name="Frame26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Face Value Debt </w:t>
            </w:r>
          </w:p>
        </w:tc>
        <w:tc>
          <w:tcPr>
            <w:tcW w:w="109" w:type="dxa"/>
            <w:tcBorders/>
            <w:vAlign w:val="center"/>
          </w:tcPr>
          <w:p>
            <w:pPr>
              <w:pStyle w:val="TableContents"/>
              <w:bidi w:val="0"/>
              <w:spacing w:before="0" w:after="0"/>
              <w:ind w:left="0" w:right="0" w:hanging="0"/>
              <w:jc w:val="left"/>
              <w:rPr/>
            </w:pPr>
            <w:r>
              <w:rPr/>
              <w:t>​</w:t>
            </w:r>
          </w:p>
        </w:tc>
        <w:tc>
          <w:tcPr>
            <w:tcW w:w="15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2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 as of September 30, 2024</w:t>
            </w:r>
          </w:p>
        </w:tc>
        <w:tc>
          <w:tcPr>
            <w:tcW w:w="109" w:type="dxa"/>
            <w:tcBorders/>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267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79,500</w:t>
            </w:r>
          </w:p>
        </w:tc>
        <w:tc>
          <w:tcPr>
            <w:tcW w:w="109" w:type="dxa"/>
            <w:tcBorders/>
            <w:shd w:fill="CCEEFF" w:val="clear"/>
            <w:vAlign w:val="center"/>
          </w:tcPr>
          <w:p>
            <w:pPr>
              <w:pStyle w:val="TableContents"/>
              <w:bidi w:val="0"/>
              <w:spacing w:before="0" w:after="0"/>
              <w:ind w:left="0" w:right="0" w:hanging="0"/>
              <w:jc w:val="left"/>
              <w:rPr/>
            </w:pPr>
            <w:r>
              <w:rPr/>
              <w:t>​</w:t>
            </w:r>
          </w:p>
        </w:tc>
        <w:tc>
          <w:tcPr>
            <w:tcW w:w="1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29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5.31%</w:t>
            </w:r>
          </w:p>
        </w:tc>
        <w:tc>
          <w:tcPr>
            <w:tcW w:w="109"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7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2026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1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52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[1.35% - 1.95%]</w:t>
            </w:r>
          </w:p>
        </w:tc>
        <w:tc>
          <w:tcPr>
            <w:tcW w:w="109" w:type="dxa"/>
            <w:tcBorders/>
            <w:vAlign w:val="center"/>
          </w:tcPr>
          <w:p>
            <w:pPr>
              <w:pStyle w:val="TableContents"/>
              <w:bidi w:val="0"/>
              <w:spacing w:before="0" w:after="0"/>
              <w:ind w:left="0" w:right="0" w:hanging="0"/>
              <w:jc w:val="left"/>
              <w:rPr/>
            </w:pPr>
            <w:r>
              <w:rPr/>
              <w:t>​</w:t>
            </w:r>
          </w:p>
        </w:tc>
        <w:tc>
          <w:tcPr>
            <w:tcW w:w="2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3.50%</w:t>
            </w:r>
          </w:p>
        </w:tc>
        <w:tc>
          <w:tcPr>
            <w:tcW w:w="109"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2026</w:t>
            </w:r>
          </w:p>
        </w:tc>
      </w:tr>
      <w:tr>
        <w:trPr/>
        <w:tc>
          <w:tcPr>
            <w:tcW w:w="267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2027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52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+ 0.10%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292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2.58%</w:t>
            </w:r>
          </w:p>
        </w:tc>
        <w:tc>
          <w:tcPr>
            <w:tcW w:w="109"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2027</w:t>
            </w:r>
          </w:p>
        </w:tc>
      </w:tr>
      <w:tr>
        <w:trPr/>
        <w:tc>
          <w:tcPr>
            <w:tcW w:w="26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279,500</w:t>
            </w:r>
          </w:p>
        </w:tc>
        <w:tc>
          <w:tcPr>
            <w:tcW w:w="109" w:type="dxa"/>
            <w:tcBorders/>
            <w:vAlign w:val="center"/>
          </w:tcPr>
          <w:p>
            <w:pPr>
              <w:pStyle w:val="TableContents"/>
              <w:bidi w:val="0"/>
              <w:spacing w:before="0" w:after="0"/>
              <w:ind w:left="0" w:right="0" w:hanging="0"/>
              <w:jc w:val="left"/>
              <w:rPr/>
            </w:pPr>
            <w:r>
              <w:rPr/>
              <w:t>​</w:t>
            </w:r>
          </w:p>
        </w:tc>
        <w:tc>
          <w:tcPr>
            <w:tcW w:w="152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3.68%</w:t>
            </w:r>
          </w:p>
        </w:tc>
        <w:tc>
          <w:tcPr>
            <w:tcW w:w="109"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w:t>
            </w:r>
            <w:r>
              <w:rPr>
                <w:caps w:val="false"/>
                <w:smallCaps w:val="false"/>
              </w:rPr>
              <w:t xml:space="preserve"> </w:t>
            </w:r>
            <w:r>
              <w:rPr>
                <w:rFonts w:ascii="Times New Roman;Times;serif" w:hAnsi="Times New Roman;Times;serif"/>
                <w:b w:val="false"/>
                <w:i w:val="false"/>
                <w:caps w:val="false"/>
                <w:smallCaps w:val="false"/>
                <w:sz w:val="16"/>
              </w:rPr>
              <w:t>million of the outstanding balance on the Credit Facility (hereinafter defined). See Note 14, “Interest Rate Swaps” for further disclosure related to the Company’s interest rate swap.</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6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2026 Term Loan (hereinafter defined) balance. See Note 14, “Interest Rate Swaps” for further disclosure related to the Company’s interest rate swaps.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w:t>
            </w:r>
            <w:r>
              <w:rPr>
                <w:caps w:val="false"/>
                <w:smallCaps w:val="false"/>
              </w:rPr>
              <w:t xml:space="preserve"> </w:t>
            </w:r>
            <w:r>
              <w:rPr>
                <w:rFonts w:ascii="Times New Roman;Times;serif" w:hAnsi="Times New Roman;Times;serif"/>
                <w:b w:val="false"/>
                <w:i w:val="false"/>
                <w:caps w:val="false"/>
                <w:smallCaps w:val="false"/>
                <w:sz w:val="16"/>
              </w:rPr>
              <w:t>and achieve a weighted average fixed interest rate of 1.18%</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the $100</w:t>
            </w:r>
            <w:r>
              <w:rPr>
                <w:caps w:val="false"/>
                <w:smallCaps w:val="false"/>
              </w:rPr>
              <w:t xml:space="preserve"> </w:t>
            </w:r>
            <w:r>
              <w:rPr>
                <w:rFonts w:ascii="Times New Roman;Times;serif" w:hAnsi="Times New Roman;Times;serif"/>
                <w:b w:val="false"/>
                <w:i w:val="false"/>
                <w:caps w:val="false"/>
                <w:smallCaps w:val="false"/>
                <w:sz w:val="16"/>
              </w:rPr>
              <w:t>million 2027 Term Loan (hereinafter defined) balance. See Note 14, “Interest Rate Swaps” for further disclosure related to the Company’s interest rate swaps. On November 29, 2024, certain swaps will expire and be replaced, and as a result the weighted average fixed interest rate will increase from 1.18%</w:t>
            </w:r>
            <w:r>
              <w:rPr>
                <w:caps w:val="false"/>
                <w:smallCaps w:val="false"/>
              </w:rPr>
              <w:t xml:space="preserve"> </w:t>
            </w:r>
            <w:r>
              <w:rPr>
                <w:rFonts w:ascii="Times New Roman;Times;serif" w:hAnsi="Times New Roman;Times;serif"/>
                <w:b w:val="false"/>
                <w:i w:val="false"/>
                <w:caps w:val="false"/>
                <w:smallCaps w:val="false"/>
                <w:sz w:val="16"/>
              </w:rPr>
              <w:t>to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Credit Facility. </w:t>
      </w:r>
      <w:r>
        <w:rPr>
          <w:rFonts w:ascii="Times New Roman;Times;serif" w:hAnsi="Times New Roman;Times;serif"/>
          <w:sz w:val="20"/>
        </w:rPr>
        <w:t>On September 30, 2022, the Company and the Operating Partnership entered into a credit agreement (the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origination of a new senior unsecured revolving credit facility in the amount of $250</w:t>
            </w:r>
            <w:r>
              <w:rPr>
                <w:caps w:val="false"/>
                <w:smallCaps w:val="false"/>
              </w:rPr>
              <w:t xml:space="preserve"> </w:t>
            </w:r>
            <w:r>
              <w:rPr>
                <w:rFonts w:ascii="Times New Roman;Times;serif" w:hAnsi="Times New Roman;Times;serif"/>
                <w:b w:val="false"/>
                <w:i w:val="false"/>
                <w:caps w:val="false"/>
                <w:smallCaps w:val="false"/>
                <w:sz w:val="20"/>
              </w:rPr>
              <w:t>million which matures on January 31, 2027, with the option to extend for one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an accordion option that allows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to request additional revolving loan commitments and additional term loan commitments, provided the aggregate amount of revolving loan commitments and term loan commitments shall not exceed $750</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million;</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amendment of certain financial covenants;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 xml:space="preserve">the addition of a sustainability-linked pricing component pursuant to which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will receive interest rate reductions up to 0.025%</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based on performance against sustainability performance targets.</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2022 Amended and Restated Credit Agreement, the indebtedness outstanding under the Credit Facility accrues at a rate ranging from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125 basis points to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0.10% plus 220 </w:t>
      </w:r>
      <w:r>
        <w:rPr>
          <w:rFonts w:ascii="Times New Roman;Times;serif" w:hAnsi="Times New Roman;Times;serif"/>
          <w:b w:val="false"/>
          <w:i w:val="false"/>
          <w:caps w:val="false"/>
          <w:smallCaps w:val="false"/>
          <w:sz w:val="20"/>
        </w:rPr>
        <w:t>basis points</w:t>
      </w:r>
      <w:r>
        <w:rPr>
          <w:rFonts w:ascii="Times New Roman;Times;serif" w:hAnsi="Times New Roman;Times;serif"/>
          <w:sz w:val="20"/>
        </w:rPr>
        <w:t>,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03" w:name="Tc_OBZnlllKPUWLc133hSp9sw_9_2"/>
      <w:bookmarkStart w:id="1204" w:name="Tc_68VEuYspuk6NlSlJQvGOnQ_9_0"/>
      <w:bookmarkStart w:id="1205" w:name="Tc_JM9WV4mhKUqQjqjHDw8KZQ_8_0"/>
      <w:bookmarkStart w:id="1206" w:name="Tc_Q7zYgzEmeUyJKloM-c7waw_7_0"/>
      <w:bookmarkStart w:id="1207" w:name="Tc_bYsODiOPyUmB99Cmi1BOdQ_6_0"/>
      <w:bookmarkStart w:id="1208" w:name="Tc_YOfiSM7w8Uym1YgsZVCcSQ_5_0"/>
      <w:bookmarkStart w:id="1209" w:name="Tc_fRAk8x8tqEm96KwKcrL0GA_4_0"/>
      <w:bookmarkStart w:id="1210" w:name="Tc_jz7_fMWcr0y9hREqvnPrtg_3_0"/>
      <w:bookmarkStart w:id="1211" w:name="Tc_sMxU37wn1UekZTKKGPuJhg_2_2"/>
      <w:bookmarkStart w:id="1212" w:name="Tc_obBcz_gWUE2fHSvpvukVQQ_2_0"/>
      <w:bookmarkStart w:id="1213" w:name="Tc_zMsR7UERPEClWGsFbhV6eg_1_2"/>
      <w:bookmarkStart w:id="1214" w:name="Tc_gLKoH6vkiUeUmbaqOl1zFw_1_0"/>
      <w:bookmarkStart w:id="1215" w:name="_b4206277_e1fe_40ae_bf59_217b6338544c"/>
      <w:bookmarkStart w:id="1216" w:name="Tc_qcXT6Vhnj0SqqaQGCvucSA_7_12"/>
      <w:bookmarkStart w:id="1217" w:name="Tc__nUabN38CEyLrDwsrnIx2g_7_11"/>
      <w:bookmarkStart w:id="1218" w:name="Tc_EooymlspQ0ORb8qTx9qozQ_7_8"/>
      <w:bookmarkStart w:id="1219" w:name="Tc_UZrAjov_QEaWNpY8SJ_rrA_7_6"/>
      <w:bookmarkStart w:id="1220" w:name="Tc_psAzAwGHe0K2d2oG2EnPeQ_7_5"/>
      <w:bookmarkStart w:id="1221" w:name="Tc_ASdhcFzosEuiVEF_mL89dg_7_2"/>
      <w:bookmarkStart w:id="1222" w:name="Tc_zKkts65dck-U0WZZZj_J7A_7_0"/>
      <w:bookmarkStart w:id="1223" w:name="Tc_kGMilpvU4ESf9RjvbNo_nQ_6_12"/>
      <w:bookmarkStart w:id="1224" w:name="Tc_PuTVLK8UfEC8CZPg3qD8Ag_6_6"/>
      <w:bookmarkStart w:id="1225" w:name="Tc_PR3KhT9jjkqHWpZMutWrog_6_0"/>
      <w:bookmarkStart w:id="1226" w:name="Tc_93dFg9Lagkmag03Wbawi9w_5_12"/>
      <w:bookmarkStart w:id="1227" w:name="Tc_13vQ27mZ0Uq6Cg_rxLOPAg_5_6"/>
      <w:bookmarkStart w:id="1228" w:name="Tc_mfdU5Ifx2EGIG4Bqbpzszg_5_0"/>
      <w:bookmarkStart w:id="1229" w:name="Tc_3QEhktc8qEKz0XLIuRBCww_4_12"/>
      <w:bookmarkStart w:id="1230" w:name="Tc_eKTp9Rz5R0ijWyWaA0kklw_4_6"/>
      <w:bookmarkStart w:id="1231" w:name="Tc_s_FwBPHZqkOxtxxazsQQ7w_4_0"/>
      <w:bookmarkStart w:id="1232" w:name="Tc_uA_sqMAQLUuXWPpMdBYHwg_3_12"/>
      <w:bookmarkStart w:id="1233" w:name="Tc_1mxhp2ir-EOWkcbvOiaKkA_3_11"/>
      <w:bookmarkStart w:id="1234" w:name="Tc_nKK_INypP06pDMfLFsup6g_3_8"/>
      <w:bookmarkStart w:id="1235" w:name="Tc_yDWQHk8MiUqtD65KFVMlOw_3_6"/>
      <w:bookmarkStart w:id="1236" w:name="Tc_y3BAzDsT0Um1J4VVonzToA_3_5"/>
      <w:bookmarkStart w:id="1237" w:name="Tc_aurTMZSWL0e74jhTgsfiSg_3_2"/>
      <w:bookmarkStart w:id="1238" w:name="Tc_ULRY8Pc7Ykq7MaE4hEo0Ww_3_0"/>
      <w:bookmarkStart w:id="1239" w:name="Tc_FsNijfgG8UqGt77S_LJwQQ_2_11"/>
      <w:bookmarkStart w:id="1240" w:name="Tc_OX2k7PpvE029TeXw3mU82Q_2_8"/>
      <w:bookmarkStart w:id="1241" w:name="Tc_oyB9-qjeEUurs8EZm8c64g_2_5"/>
      <w:bookmarkStart w:id="1242" w:name="Tc_Bp9Q71J0e0i-xXNhFmTt1w_2_2"/>
      <w:bookmarkStart w:id="1243" w:name="Tc_Fu8yulgEMkaWPneNTWjo_A_1_8"/>
      <w:bookmarkStart w:id="1244" w:name="Tc_tApJaWqcTkS_XfE1h6maUA_1_2"/>
      <w:bookmarkStart w:id="1245" w:name="_6709eafc_69c2_4a1e_9d81_62dff49d7e25"/>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Pr>
          <w:rFonts w:ascii="Times New Roman;Times;serif" w:hAnsi="Times New Roman;Times;serif"/>
          <w:sz w:val="20"/>
        </w:rPr>
        <w:t>At September 30, 2024, the commitment level under the Credit Facility was $250.0 million and the Company had an outstanding balance of $79.5 million. The available borrowing capacity, subject to borrowing base restrictions, was $53.5 million as of September 30, 2024.</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2026 Term Loan. </w:t>
      </w:r>
      <w:r>
        <w:rPr>
          <w:rFonts w:ascii="Times New Roman;Times;serif" w:hAnsi="Times New Roman;Times;serif"/>
          <w:sz w:val="20"/>
        </w:rPr>
        <w:t xml:space="preserve">On May 21, 2021, the Operating Partnership, the Company and certain subsidiaries of the Company 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2027 Term Loan. </w:t>
      </w:r>
      <w:r>
        <w:rPr>
          <w:rFonts w:ascii="Times New Roman;Times;serif" w:hAnsi="Times New Roman;Times;serif"/>
          <w:sz w:val="20"/>
        </w:rPr>
        <w:t xml:space="preserve">On September 30, 2021, the Operating Partnership, the Company and certain subsidiaries of the 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debt as of September 30, 2024 and December 31, 2023 consisted of the following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53"/>
        <w:gridCol w:w="109"/>
        <w:gridCol w:w="211"/>
        <w:gridCol w:w="781"/>
        <w:gridCol w:w="326"/>
        <w:gridCol w:w="663"/>
        <w:gridCol w:w="1093"/>
        <w:gridCol w:w="146"/>
        <w:gridCol w:w="211"/>
        <w:gridCol w:w="781"/>
        <w:gridCol w:w="326"/>
        <w:gridCol w:w="574"/>
        <w:gridCol w:w="1231"/>
      </w:tblGrid>
      <w:tr>
        <w:trPr/>
        <w:tc>
          <w:tcPr>
            <w:tcW w:w="37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21005" cy="175260"/>
                      <wp:effectExtent l="0" t="0" r="0" b="0"/>
                      <wp:wrapNone/>
                      <wp:docPr id="274" name="Frame274"/>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4055" cy="175260"/>
                      <wp:effectExtent l="0" t="0" r="0" b="0"/>
                      <wp:wrapNone/>
                      <wp:docPr id="275" name="Frame275"/>
                      <a:graphic xmlns:a="http://schemas.openxmlformats.org/drawingml/2006/main">
                        <a:graphicData uri="http://schemas.microsoft.com/office/word/2010/wordprocessingShape">
                          <wps:wsp>
                            <wps:cNvSpPr txBox="1"/>
                            <wps:spPr>
                              <a:xfrm>
                                <a:off x="0" y="0"/>
                                <a:ext cx="694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2710" cy="175260"/>
                      <wp:effectExtent l="0" t="0" r="0" b="0"/>
                      <wp:wrapNone/>
                      <wp:docPr id="276" name="Frame2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95935" cy="175260"/>
                      <wp:effectExtent l="0" t="0" r="0" b="0"/>
                      <wp:wrapNone/>
                      <wp:docPr id="278" name="Frame2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64490" cy="175260"/>
                      <wp:effectExtent l="0" t="0" r="0" b="0"/>
                      <wp:wrapNone/>
                      <wp:docPr id="280" name="Frame28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81685" cy="175260"/>
                      <wp:effectExtent l="0" t="0" r="0" b="0"/>
                      <wp:wrapNone/>
                      <wp:docPr id="281" name="Frame281"/>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46" w:type="dxa"/>
            <w:tcBorders/>
            <w:vAlign w:val="center"/>
          </w:tcPr>
          <w:p>
            <w:pPr>
              <w:pStyle w:val="TableContents"/>
              <w:bidi w:val="0"/>
              <w:spacing w:before="0" w:after="0"/>
              <w:ind w:left="0" w:right="0" w:hanging="0"/>
              <w:jc w:val="left"/>
              <w:rPr/>
            </w:pPr>
            <w:r>
              <w:rPr/>
              <w:t>​</w:t>
            </w:r>
          </w:p>
        </w:tc>
        <w:tc>
          <w:tcPr>
            <w:tcW w:w="31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75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1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c>
          <w:tcPr>
            <w:tcW w:w="326" w:type="dxa"/>
            <w:tcBorders/>
            <w:vAlign w:val="center"/>
          </w:tcPr>
          <w:p>
            <w:pPr>
              <w:pStyle w:val="TableContents"/>
              <w:bidi w:val="0"/>
              <w:spacing w:before="0" w:after="0"/>
              <w:ind w:left="0" w:right="0" w:hanging="0"/>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Due Within One Year</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76,500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left"/>
              <w:rPr/>
            </w:pPr>
            <w:r>
              <w:rPr/>
              <w:t>​</w:t>
            </w:r>
          </w:p>
        </w:tc>
        <w:tc>
          <w:tcPr>
            <w:tcW w:w="10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left"/>
              <w:rPr/>
            </w:pPr>
            <w:r>
              <w:rPr/>
              <w:t>​</w:t>
            </w:r>
          </w:p>
        </w:tc>
        <w:tc>
          <w:tcPr>
            <w:tcW w:w="109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7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26"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278,898</w:t>
            </w:r>
          </w:p>
        </w:tc>
        <w:tc>
          <w:tcPr>
            <w:tcW w:w="326" w:type="dxa"/>
            <w:tcBorders/>
            <w:shd w:fill="CCEEFF" w:val="clear"/>
            <w:vAlign w:val="center"/>
          </w:tcPr>
          <w:p>
            <w:pPr>
              <w:pStyle w:val="TableContents"/>
              <w:bidi w:val="0"/>
              <w:spacing w:before="0" w:after="0"/>
              <w:ind w:left="0" w:right="0" w:hanging="0"/>
              <w:jc w:val="left"/>
              <w:rPr/>
            </w:pPr>
            <w:r>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275,677</w:t>
            </w:r>
          </w:p>
        </w:tc>
        <w:tc>
          <w:tcPr>
            <w:tcW w:w="326" w:type="dxa"/>
            <w:tcBorders/>
            <w:shd w:fill="CCEEFF" w:val="clear"/>
            <w:vAlign w:val="center"/>
          </w:tcPr>
          <w:p>
            <w:pPr>
              <w:pStyle w:val="TableContents"/>
              <w:bidi w:val="0"/>
              <w:spacing w:before="0" w:after="0"/>
              <w:ind w:left="0" w:right="0" w:hanging="0"/>
              <w:jc w:val="left"/>
              <w:rPr/>
            </w:pPr>
            <w:r>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432"/>
        <w:jc w:val="left"/>
        <w:rPr>
          <w:rFonts w:ascii="Times New Roman;Times;serif" w:hAnsi="Times New Roman;Times;serif"/>
          <w:sz w:val="20"/>
        </w:rPr>
      </w:pPr>
      <w:r>
        <w:rPr>
          <w:rFonts w:ascii="Times New Roman;Times;serif" w:hAnsi="Times New Roman;Times;serif"/>
          <w:sz w:val="20"/>
        </w:rPr>
        <w:t>Payments applicable to reduction of principal amounts as of September 30, 2024 will be required as follows (in thousands):</w:t>
      </w:r>
    </w:p>
    <w:p>
      <w:pPr>
        <w:pStyle w:val="TextBody"/>
        <w:bidi w:val="0"/>
        <w:spacing w:before="0" w:after="0"/>
        <w:ind w:left="0" w:right="0" w:firstLine="360"/>
        <w:jc w:val="both"/>
        <w:rPr/>
      </w:pPr>
      <w:r>
        <w:rPr/>
        <w:t>​</w:t>
      </w:r>
    </w:p>
    <w:tbl>
      <w:tblPr>
        <w:tblW w:w="4207" w:type="dxa"/>
        <w:jc w:val="left"/>
        <w:tblInd w:w="0" w:type="dxa"/>
        <w:tblLayout w:type="fixed"/>
        <w:tblCellMar>
          <w:top w:w="0" w:type="dxa"/>
          <w:left w:w="0" w:type="dxa"/>
          <w:bottom w:w="0" w:type="dxa"/>
          <w:right w:w="0" w:type="dxa"/>
        </w:tblCellMar>
      </w:tblPr>
      <w:tblGrid>
        <w:gridCol w:w="3001"/>
        <w:gridCol w:w="109"/>
        <w:gridCol w:w="211"/>
        <w:gridCol w:w="886"/>
      </w:tblGrid>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62610" cy="175260"/>
                      <wp:effectExtent l="0" t="0" r="0" b="0"/>
                      <wp:wrapNone/>
                      <wp:docPr id="284" name="Frame28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 Face Value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279,500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46" w:name="Tc_ipTqhCXcLk6bbRWTcjqaSw_8_11"/>
      <w:bookmarkStart w:id="1247" w:name="Tc_CfQuyufHr0SzQIi_7I2gLg_8_8"/>
      <w:bookmarkStart w:id="1248" w:name="Tc_6-ULRcfNM0OMAZEwSDnB7A_8_5"/>
      <w:bookmarkStart w:id="1249" w:name="Tc_quQV1wZsGkigsVW47JN2Pg_8_2"/>
      <w:bookmarkStart w:id="1250" w:name="Tc_DwskjU4kjU2mKE1vmkQ4yQ_8_0"/>
      <w:bookmarkStart w:id="1251" w:name="Tc_AckudlcDsE6JrmfZyt8XJQ_6_11"/>
      <w:bookmarkStart w:id="1252" w:name="Tc_kd8o67wCG0qNgnaCtuLHFw_6_8"/>
      <w:bookmarkStart w:id="1253" w:name="Tc_E5FpnIPvg0aIsqw5_rzTpQ_6_5"/>
      <w:bookmarkStart w:id="1254" w:name="Tc_OJkyMzyh8k-vtFYdjucT5g_6_2"/>
      <w:bookmarkStart w:id="1255" w:name="Tc_3VXcawG_BEyq6GxIXT3NUw_6_0"/>
      <w:bookmarkStart w:id="1256" w:name="Tc_JFgHoIRTk0eyQbhpPriDew_5_0"/>
      <w:bookmarkStart w:id="1257" w:name="Tc_TDEVTH65zkCgcEgFWr2O-w_4_12"/>
      <w:bookmarkStart w:id="1258" w:name="Tc_tCMm_HpOyk6LC4y1BV_eNQ_4_6"/>
      <w:bookmarkStart w:id="1259" w:name="Tc_00Si9A8iLE2d5h_yDuYByQ_4_0"/>
      <w:bookmarkStart w:id="1260" w:name="Tc_d8noLoEV5UyJQat0xsQgKg_3_11"/>
      <w:bookmarkStart w:id="1261" w:name="Tc_VaqVQJHTCEmQbGOw4Kt6YA_3_8"/>
      <w:bookmarkStart w:id="1262" w:name="Tc_i10as7tQnEi7MiHwhpLDRQ_3_5"/>
      <w:bookmarkStart w:id="1263" w:name="Tc_TYPwvtXXh022UPKlwfljQQ_3_2"/>
      <w:bookmarkStart w:id="1264" w:name="Tc_KBphw8aKxES2CUqBP0lsyw_3_0"/>
      <w:bookmarkStart w:id="1265" w:name="Tc_Yv4ai85zdUyP29O2PI6jBA_2_11"/>
      <w:bookmarkStart w:id="1266" w:name="Tc_L7oR4wWYK0Op6ko4pnT8jA_2_8"/>
      <w:bookmarkStart w:id="1267" w:name="Tc_mjDt96ScG0StgYo217LeMQ_2_5"/>
      <w:bookmarkStart w:id="1268" w:name="Tc_wYAYZeRwQUKh-bLtdUpq9w_2_2"/>
      <w:bookmarkStart w:id="1269" w:name="Tc_Fw0uRYv0ykyXwhLQtbXXDw_1_8"/>
      <w:bookmarkStart w:id="1270" w:name="Tc_TKPHzH8NVEiJBYiBJ1KgAA_1_2"/>
      <w:bookmarkStart w:id="1271" w:name="_a76e5768_ef1a_4639_bce5_a48a9ece102b"/>
      <w:bookmarkStart w:id="1272" w:name="Tc_tz91qqLX70WycoTEeIaDGw_4_2"/>
      <w:bookmarkStart w:id="1273" w:name="Tc_iGCsEApdC0uD4YI4Io1EZQ_4_0"/>
      <w:bookmarkStart w:id="1274" w:name="Tc_zLF5iqKY_Ui9eS5SFGQQwQ_3_0"/>
      <w:bookmarkStart w:id="1275" w:name="Tc_xYU1TbfLdkOpDYBi4HY64g_2_2"/>
      <w:bookmarkStart w:id="1276" w:name="Tc_fdvTeOh5TEe7q089pJq3_Q_2_0"/>
      <w:bookmarkStart w:id="1277" w:name="Tc_RSW6qJ8ZFUqtogPmHVT4Bg_1_2"/>
      <w:bookmarkStart w:id="1278" w:name="_2aa53051_1d01_47c0_904e_4c7337dd095a"/>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Pr>
          <w:rFonts w:ascii="Times New Roman;Times;serif" w:hAnsi="Times New Roman;Times;serif"/>
          <w:sz w:val="20"/>
        </w:rPr>
        <w:t>The carrying value of long-term debt as of September 30, 2024 consisted of the following (in thousands):</w:t>
      </w:r>
    </w:p>
    <w:p>
      <w:pPr>
        <w:pStyle w:val="TextBody"/>
        <w:bidi w:val="0"/>
        <w:spacing w:before="0" w:after="0"/>
        <w:ind w:left="0" w:right="0" w:firstLine="360"/>
        <w:jc w:val="both"/>
        <w:rPr/>
      </w:pPr>
      <w:r>
        <w:rPr/>
        <w:t>​</w:t>
      </w:r>
    </w:p>
    <w:tbl>
      <w:tblPr>
        <w:tblW w:w="5452" w:type="dxa"/>
        <w:jc w:val="left"/>
        <w:tblInd w:w="0" w:type="dxa"/>
        <w:tblLayout w:type="fixed"/>
        <w:tblCellMar>
          <w:top w:w="0" w:type="dxa"/>
          <w:left w:w="0" w:type="dxa"/>
          <w:bottom w:w="0" w:type="dxa"/>
          <w:right w:w="0" w:type="dxa"/>
        </w:tblCellMar>
      </w:tblPr>
      <w:tblGrid>
        <w:gridCol w:w="4246"/>
        <w:gridCol w:w="109"/>
        <w:gridCol w:w="211"/>
        <w:gridCol w:w="886"/>
      </w:tblGrid>
      <w:tr>
        <w:trPr/>
        <w:tc>
          <w:tcPr>
            <w:tcW w:w="4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62610" cy="175260"/>
                      <wp:effectExtent l="0" t="0" r="0" b="0"/>
                      <wp:wrapNone/>
                      <wp:docPr id="287" name="Frame28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Total </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Face Amount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279,500</w:t>
            </w:r>
          </w:p>
        </w:tc>
      </w:tr>
      <w:tr>
        <w:trPr/>
        <w:tc>
          <w:tcPr>
            <w:tcW w:w="4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4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278,898</w:t>
            </w:r>
          </w:p>
        </w:tc>
      </w:tr>
    </w:tbl>
    <w:p>
      <w:pPr>
        <w:pStyle w:val="TextBody"/>
        <w:bidi w:val="0"/>
        <w:spacing w:before="0" w:after="120"/>
        <w:ind w:left="0" w:right="0" w:firstLine="360"/>
        <w:jc w:val="both"/>
        <w:rPr/>
      </w:pPr>
      <w:r>
        <w:rPr/>
        <w:t>​</w:t>
      </w:r>
    </w:p>
    <w:p>
      <w:pPr>
        <w:pStyle w:val="TextBody"/>
        <w:bidi w:val="0"/>
        <w:spacing w:before="0" w:after="12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$0.6 million of financing costs, net of accumulated amortization included in the table above, as of September 30, 2024, the Company also had financing costs, net of accumulated amortization related to the Credit Facility of $0.9 million which is included in other assets on the consolidated balance sheets. These costs are amortized on a straight-line basis over the term of the Credit Facility and are included in interest expense in the consolidated statements of operations.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reflects a summary of interest expense incurred and paid during the three and nine months ended September 30, 2024 and 2023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478"/>
        <w:gridCol w:w="109"/>
        <w:gridCol w:w="420"/>
        <w:gridCol w:w="1139"/>
        <w:gridCol w:w="116"/>
        <w:gridCol w:w="420"/>
        <w:gridCol w:w="1139"/>
        <w:gridCol w:w="109"/>
        <w:gridCol w:w="420"/>
        <w:gridCol w:w="1139"/>
        <w:gridCol w:w="109"/>
        <w:gridCol w:w="381"/>
        <w:gridCol w:w="1226"/>
      </w:tblGrid>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66700" cy="175260"/>
                      <wp:effectExtent l="0" t="0" r="0" b="0"/>
                      <wp:wrapNone/>
                      <wp:docPr id="289" name="Frame289"/>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723265" cy="175260"/>
                      <wp:effectExtent l="0" t="0" r="0" b="0"/>
                      <wp:wrapNone/>
                      <wp:docPr id="290" name="Frame290"/>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3660" cy="175260"/>
                      <wp:effectExtent l="0" t="0" r="0" b="0"/>
                      <wp:wrapNone/>
                      <wp:docPr id="291" name="Frame291"/>
                      <a:graphic xmlns:a="http://schemas.openxmlformats.org/drawingml/2006/main">
                        <a:graphicData uri="http://schemas.microsoft.com/office/word/2010/wordprocessingShape">
                          <wps:wsp>
                            <wps:cNvSpPr txBox="1"/>
                            <wps:spPr>
                              <a:xfrm>
                                <a:off x="0" y="0"/>
                                <a:ext cx="7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66700" cy="175260"/>
                      <wp:effectExtent l="0" t="0" r="0" b="0"/>
                      <wp:wrapNone/>
                      <wp:docPr id="292" name="Frame29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3265" cy="175260"/>
                      <wp:effectExtent l="0" t="0" r="0" b="0"/>
                      <wp:wrapNone/>
                      <wp:docPr id="293" name="Frame293"/>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9215" cy="175260"/>
                      <wp:effectExtent l="0" t="0" r="0" b="0"/>
                      <wp:wrapNone/>
                      <wp:docPr id="294" name="Frame2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66700" cy="175260"/>
                      <wp:effectExtent l="0" t="0" r="0" b="0"/>
                      <wp:wrapNone/>
                      <wp:docPr id="295" name="Frame295"/>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3265" cy="175260"/>
                      <wp:effectExtent l="0" t="0" r="0" b="0"/>
                      <wp:wrapNone/>
                      <wp:docPr id="296" name="Frame296"/>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1935" cy="175260"/>
                      <wp:effectExtent l="0" t="0" r="0" b="0"/>
                      <wp:wrapNone/>
                      <wp:docPr id="298" name="Frame298"/>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78510" cy="175260"/>
                      <wp:effectExtent l="0" t="0" r="0" b="0"/>
                      <wp:wrapNone/>
                      <wp:docPr id="299" name="Frame299"/>
                      <a:graphic xmlns:a="http://schemas.openxmlformats.org/drawingml/2006/main">
                        <a:graphicData uri="http://schemas.microsoft.com/office/word/2010/wordprocessingShape">
                          <wps:wsp>
                            <wps:cNvSpPr txBox="1"/>
                            <wps:spPr>
                              <a:xfrm>
                                <a:off x="0" y="0"/>
                                <a:ext cx="77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2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47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16"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left"/>
              <w:rPr/>
            </w:pPr>
            <w:r>
              <w:rPr/>
              <w:t>​</w:t>
            </w:r>
          </w:p>
        </w:tc>
        <w:tc>
          <w:tcPr>
            <w:tcW w:w="1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6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2,264</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from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11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1226" w:type="dxa"/>
            <w:tcBorders/>
            <w:vAlign w:val="center"/>
          </w:tcPr>
          <w:p>
            <w:pPr>
              <w:pStyle w:val="TableContents"/>
              <w:bidi w:val="0"/>
              <w:spacing w:before="0" w:after="0"/>
              <w:ind w:left="0" w:right="0" w:hanging="0"/>
              <w:jc w:val="right"/>
              <w:rPr/>
            </w:pPr>
            <w:r>
              <w:rPr/>
              <w:t>—</w:t>
            </w:r>
          </w:p>
        </w:tc>
      </w:tr>
      <w:tr>
        <w:trPr/>
        <w:tc>
          <w:tcPr>
            <w:tcW w:w="34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3,167</w:t>
            </w:r>
          </w:p>
        </w:tc>
        <w:tc>
          <w:tcPr>
            <w:tcW w:w="11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8,933</w:t>
            </w:r>
          </w:p>
        </w:tc>
        <w:tc>
          <w:tcPr>
            <w:tcW w:w="109" w:type="dxa"/>
            <w:tcBorders/>
            <w:vAlign w:val="center"/>
          </w:tcPr>
          <w:p>
            <w:pPr>
              <w:pStyle w:val="TableContents"/>
              <w:bidi w:val="0"/>
              <w:spacing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7,494</w:t>
            </w:r>
          </w:p>
        </w:tc>
      </w:tr>
      <w:tr>
        <w:trPr/>
        <w:tc>
          <w:tcPr>
            <w:tcW w:w="347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11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1226" w:type="dxa"/>
            <w:tcBorders/>
            <w:shd w:fill="CCEEFF" w:val="clear"/>
            <w:vAlign w:val="center"/>
          </w:tcPr>
          <w:p>
            <w:pPr>
              <w:pStyle w:val="TableContents"/>
              <w:bidi w:val="0"/>
              <w:spacing w:before="0" w:after="0"/>
              <w:ind w:left="0" w:right="0" w:hanging="0"/>
              <w:jc w:val="left"/>
              <w:rPr/>
            </w:pPr>
            <w:r>
              <w:rPr/>
              <w:t>​</w:t>
            </w:r>
          </w:p>
        </w:tc>
      </w:tr>
      <w:tr>
        <w:trPr/>
        <w:tc>
          <w:tcPr>
            <w:tcW w:w="34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Paid</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116"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w:t>
            </w:r>
          </w:p>
        </w:tc>
        <w:tc>
          <w:tcPr>
            <w:tcW w:w="109" w:type="dxa"/>
            <w:tcBorders/>
            <w:vAlign w:val="center"/>
          </w:tcPr>
          <w:p>
            <w:pPr>
              <w:pStyle w:val="TableContents"/>
              <w:bidi w:val="0"/>
              <w:spacing w:before="0" w:after="0"/>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8,996</w:t>
            </w:r>
          </w:p>
        </w:tc>
        <w:tc>
          <w:tcPr>
            <w:tcW w:w="109" w:type="dxa"/>
            <w:tcBorders/>
            <w:vAlign w:val="center"/>
          </w:tcPr>
          <w:p>
            <w:pPr>
              <w:pStyle w:val="TableContents"/>
              <w:bidi w:val="0"/>
              <w:spacing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6,924</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was in compliance with all of its debt covenants as of September 30, 2024.</w:t>
      </w:r>
    </w:p>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120"/>
        <w:ind w:left="0" w:right="0" w:hanging="0"/>
        <w:jc w:val="left"/>
        <w:rPr>
          <w:rFonts w:ascii="Times New Roman;Times;serif" w:hAnsi="Times New Roman;Times;serif"/>
          <w:b/>
          <w:sz w:val="20"/>
        </w:rPr>
      </w:pPr>
      <w:bookmarkStart w:id="1279" w:name="Tc_cXeP_OKw70-S0b1qeie2vQ_6_11"/>
      <w:bookmarkStart w:id="1280" w:name="Tc_H423aqnNJEWHI9SVwhTXWw_6_8"/>
      <w:bookmarkStart w:id="1281" w:name="Tc_Q9Gdo8cHAUudE4gFTs6arw_6_6"/>
      <w:bookmarkStart w:id="1282" w:name="Tc_dv0_HreZq0OuvabpyeJwTA_6_4"/>
      <w:bookmarkStart w:id="1283" w:name="Tc_pEduFewf8EW1OK8UcVRIaw_6_2"/>
      <w:bookmarkStart w:id="1284" w:name="Tc_FLG3vR4cF0G13y5-FWtQTA_6_0"/>
      <w:bookmarkStart w:id="1285" w:name="Tc_sHUHJqq-akyScKJ0-t0z2A_5_11"/>
      <w:bookmarkStart w:id="1286" w:name="Tc_D7P9M2eLUkOL7IKktf5NqQ_5_8"/>
      <w:bookmarkStart w:id="1287" w:name="Tc_lP4mIfui9ESY1Zh0eiucjg_5_6"/>
      <w:bookmarkStart w:id="1288" w:name="Tc_eaWO5rx9vkGVQI2g-uKqgg_5_4"/>
      <w:bookmarkStart w:id="1289" w:name="Tc_BrtA4Q--JUibpbBOCIc2xg_5_2"/>
      <w:bookmarkStart w:id="1290" w:name="Tc_zLi4AeSOOEe4hqytadaOtA_5_0"/>
      <w:bookmarkStart w:id="1291" w:name="Tc_kq83aC6GI0-q2ItkUfRehw_4_11"/>
      <w:bookmarkStart w:id="1292" w:name="Tc_ty6lJRcAbUCNPrTlygh6Kg_4_8"/>
      <w:bookmarkStart w:id="1293" w:name="Tc_sXMPB75VpEqOftIq5eZIRQ_4_6"/>
      <w:bookmarkStart w:id="1294" w:name="Tc_oQ4lZXe8UEOlkJ08jR73YA_4_4"/>
      <w:bookmarkStart w:id="1295" w:name="Tc_X6zkog4hoU6PiWara9p2QA_4_2"/>
      <w:bookmarkStart w:id="1296" w:name="Tc_-69gX_JpH0GW8I5NbFkyQA_4_0"/>
      <w:bookmarkStart w:id="1297" w:name="Tc_8gPfgPDyD0eB2jMDO5KoMw_3_11"/>
      <w:bookmarkStart w:id="1298" w:name="Tc_4N_rWNznHUyOjy1WYRNc_Q_3_8"/>
      <w:bookmarkStart w:id="1299" w:name="Tc_inM4a2qt9k6mZ7UvZxxZoQ_3_6"/>
      <w:bookmarkStart w:id="1300" w:name="Tc_gvyJ_apf306-ctsLQYSKeg_3_4"/>
      <w:bookmarkStart w:id="1301" w:name="Tc_tAtbAnDnmUK9phCEonefMg_3_2"/>
      <w:bookmarkStart w:id="1302" w:name="Tc_fTIwjnvLMUu1c2RzgpGFSg_3_0"/>
      <w:bookmarkStart w:id="1303" w:name="Tc_yazMPfYVCkCNZNaL08ebXg_2_11"/>
      <w:bookmarkStart w:id="1304" w:name="Tc_VgAlVeAu_UqJPKabnJCb7g_2_8"/>
      <w:bookmarkStart w:id="1305" w:name="Tc_0F0yF_DnBkCwRjFICldTBw_2_6"/>
      <w:bookmarkStart w:id="1306" w:name="Tc_Is_C2IdsNEWJBoKAEd_p1w_2_4"/>
      <w:bookmarkStart w:id="1307" w:name="Tc_ONFZCNLMpkOLD99kjpajsg_2_2"/>
      <w:bookmarkStart w:id="1308" w:name="Tc_kQpNjKvgr0m1tT_Z3LQH_Q_2_0"/>
      <w:bookmarkStart w:id="1309" w:name="Tc_Ha7nbN8WokGjGaeHkFz3_Q_1_11"/>
      <w:bookmarkStart w:id="1310" w:name="Tc_lfy7ypcpWU-1GsfXqY0wEw_1_8"/>
      <w:bookmarkStart w:id="1311" w:name="Tc_aKsWxR2-0U25Kj2ycAFw3g_1_6"/>
      <w:bookmarkStart w:id="1312" w:name="Tc_dMzZvs_xdkK6u0hhWhqeVA_1_4"/>
      <w:bookmarkStart w:id="1313" w:name="Tc_ahZCbiLAREO-f8EKBxLnkw_1_2"/>
      <w:bookmarkStart w:id="1314" w:name="Tc_bt7oEUJBIUy1YUGqDZslrQ_1_0"/>
      <w:bookmarkStart w:id="1315" w:name="_74484431_3b0f_490e_951f_c25d3556ac26"/>
      <w:bookmarkStart w:id="1316" w:name="_09eaf1c3_0225_4fb6_8d5a_25f8db097179_3"/>
      <w:bookmarkStart w:id="1317" w:name="_09eaf1c3_0225_4fb6_8d5a_25f8db097179_2"/>
      <w:bookmarkStart w:id="1318" w:name="_09eaf1c3_0225_4fb6_8d5a_25f8db097179"/>
      <w:bookmarkStart w:id="1319" w:name="_62902eb1_fd48_4707_bde7_fa315518d41b_3"/>
      <w:bookmarkStart w:id="1320" w:name="_62902eb1_fd48_4707_bde7_fa315518d41b_2"/>
      <w:bookmarkStart w:id="1321" w:name="_62902eb1_fd48_4707_bde7_fa315518d41b"/>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r>
        <w:rPr>
          <w:rFonts w:ascii="Times New Roman;Times;serif" w:hAnsi="Times New Roman;Times;serif"/>
          <w:b/>
          <w:sz w:val="20"/>
        </w:rPr>
        <w:t>NOTE 14. INTEREST RATE SWAPS</w:t>
      </w:r>
    </w:p>
    <w:p>
      <w:pPr>
        <w:pStyle w:val="TextBody"/>
        <w:bidi w:val="0"/>
        <w:spacing w:before="120" w:after="0"/>
        <w:ind w:left="0" w:right="0" w:firstLine="432"/>
        <w:jc w:val="both"/>
        <w:rPr>
          <w:rFonts w:ascii="Times New Roman;Times;serif" w:hAnsi="Times New Roman;Times;serif"/>
          <w:sz w:val="20"/>
        </w:rPr>
      </w:pPr>
      <w:r>
        <w:rPr>
          <w:rFonts w:ascii="Times New Roman;Times;serif" w:hAnsi="Times New Roman;Times;serif"/>
          <w:sz w:val="20"/>
        </w:rPr>
        <w:t xml:space="preserve">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2024 and 2023. Accordingly, the changes in fair value on the interest rate swaps have been classified in accumulated other comprehensive income. The fair value of the interest rate swap agreements are included in other assets and accounts payable, accrued expenses and other liabilities, respectively, on the consolidated balance sheets. </w:t>
      </w:r>
    </w:p>
    <w:p>
      <w:pPr>
        <w:pStyle w:val="TextBody"/>
        <w:bidi w:val="0"/>
        <w:spacing w:before="120" w:after="0"/>
        <w:ind w:left="0" w:right="0" w:firstLine="432"/>
        <w:jc w:val="both"/>
        <w:rPr>
          <w:rFonts w:ascii="Times New Roman;Times;serif" w:hAnsi="Times New Roman;Times;serif"/>
          <w:sz w:val="20"/>
        </w:rPr>
      </w:pPr>
      <w:r>
        <w:rPr>
          <w:rFonts w:ascii="Times New Roman;Times;serif" w:hAnsi="Times New Roman;Times;serif"/>
          <w:sz w:val="20"/>
        </w:rPr>
        <w:t>Information related to the Company’s interest rate swap agreements is noted below (in thousands):</w:t>
      </w:r>
    </w:p>
    <w:p>
      <w:pPr>
        <w:pStyle w:val="TextBody"/>
        <w:bidi w:val="0"/>
        <w:spacing w:before="0" w:after="0"/>
        <w:ind w:left="0" w:right="0" w:firstLine="547"/>
        <w:jc w:val="both"/>
        <w:rPr/>
      </w:pPr>
      <w:r>
        <w:rPr/>
        <w:t>​</w:t>
      </w:r>
    </w:p>
    <w:tbl>
      <w:tblPr>
        <w:tblW w:w="9611" w:type="dxa"/>
        <w:jc w:val="left"/>
        <w:tblInd w:w="0" w:type="dxa"/>
        <w:tblLayout w:type="fixed"/>
        <w:tblCellMar>
          <w:top w:w="0" w:type="dxa"/>
          <w:left w:w="0" w:type="dxa"/>
          <w:bottom w:w="0" w:type="dxa"/>
          <w:right w:w="0" w:type="dxa"/>
        </w:tblCellMar>
      </w:tblPr>
      <w:tblGrid>
        <w:gridCol w:w="1516"/>
        <w:gridCol w:w="109"/>
        <w:gridCol w:w="1171"/>
        <w:gridCol w:w="109"/>
        <w:gridCol w:w="1201"/>
        <w:gridCol w:w="109"/>
        <w:gridCol w:w="1381"/>
        <w:gridCol w:w="109"/>
        <w:gridCol w:w="196"/>
        <w:gridCol w:w="691"/>
        <w:gridCol w:w="109"/>
        <w:gridCol w:w="756"/>
        <w:gridCol w:w="2154"/>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962660" cy="175260"/>
                      <wp:effectExtent l="0" t="0" r="0" b="0"/>
                      <wp:wrapNone/>
                      <wp:docPr id="300" name="Frame30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743585" cy="175260"/>
                      <wp:effectExtent l="0" t="0" r="0" b="0"/>
                      <wp:wrapNone/>
                      <wp:docPr id="302" name="Frame30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762635" cy="175260"/>
                      <wp:effectExtent l="0" t="0" r="0" b="0"/>
                      <wp:wrapNone/>
                      <wp:docPr id="304" name="Frame30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76935" cy="175260"/>
                      <wp:effectExtent l="0" t="0" r="0" b="0"/>
                      <wp:wrapNone/>
                      <wp:docPr id="306" name="Frame306"/>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9215" cy="175260"/>
                      <wp:effectExtent l="0" t="0" r="0" b="0"/>
                      <wp:wrapNone/>
                      <wp:docPr id="307"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24460" cy="175260"/>
                      <wp:effectExtent l="0" t="0" r="0" b="0"/>
                      <wp:wrapNone/>
                      <wp:docPr id="308" name="Frame3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80060" cy="175260"/>
                      <wp:effectExtent l="0" t="0" r="0" b="0"/>
                      <wp:wrapNone/>
                      <wp:docPr id="311" name="Frame311"/>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67790" cy="175260"/>
                      <wp:effectExtent l="0" t="0" r="0" b="0"/>
                      <wp:wrapNone/>
                      <wp:docPr id="312" name="Frame312"/>
                      <a:graphic xmlns:a="http://schemas.openxmlformats.org/drawingml/2006/main">
                        <a:graphicData uri="http://schemas.microsoft.com/office/word/2010/wordprocessingShape">
                          <wps:wsp>
                            <wps:cNvSpPr txBox="1"/>
                            <wps:spPr>
                              <a:xfrm>
                                <a:off x="0" y="0"/>
                                <a:ext cx="136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Hedged Item</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Effective Date</w:t>
            </w:r>
          </w:p>
        </w:tc>
        <w:tc>
          <w:tcPr>
            <w:tcW w:w="109"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Maturity Date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Rate</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109" w:type="dxa"/>
            <w:tcBorders/>
            <w:vAlign w:val="center"/>
          </w:tcPr>
          <w:p>
            <w:pPr>
              <w:pStyle w:val="TableContents"/>
              <w:bidi w:val="0"/>
              <w:spacing w:before="0" w:after="0"/>
              <w:ind w:left="0" w:right="0" w:hanging="0"/>
              <w:jc w:val="center"/>
              <w:rPr/>
            </w:pPr>
            <w:r>
              <w:rPr/>
              <w:t>​</w:t>
            </w:r>
          </w:p>
        </w:tc>
        <w:tc>
          <w:tcPr>
            <w:tcW w:w="2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Fair Value as of September 30, 2024</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2026 Term Loan </w:t>
            </w:r>
            <w:r>
              <w:rPr>
                <w:rFonts w:ascii="Times New Roman;Times;serif" w:hAnsi="Times New Roman;Times;serif"/>
                <w:sz w:val="14"/>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5/21/2021</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5/21/2026</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2.05%</w:t>
            </w:r>
            <w:r>
              <w:rPr>
                <w:rFonts w:ascii="Times New Roman;Times;serif" w:hAnsi="Times New Roman;Times;serif"/>
                <w:sz w:val="20"/>
              </w:rPr>
              <w:t xml:space="preserve"> </w:t>
            </w:r>
            <w:r>
              <w:rPr>
                <w:rFonts w:ascii="Times New Roman;Times;serif" w:hAnsi="Times New Roman;Times;serif"/>
                <w:sz w:val="18"/>
              </w:rPr>
              <w:t>+ 0.10%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 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2,404</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9/30/2021</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0.51%+ 0.10%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w:t>
            </w:r>
            <w:r>
              <w:rPr>
                <w:rFonts w:ascii="Times New Roman;Times;serif" w:hAnsi="Times New Roman;Times;serif"/>
                <w:sz w:val="20"/>
              </w:rPr>
              <w:t xml:space="preserve"> </w:t>
            </w:r>
            <w:r>
              <w:rPr>
                <w:rFonts w:ascii="Times New Roman;Times;serif" w:hAnsi="Times New Roman;Times;serif"/>
                <w:sz w:val="18"/>
              </w:rPr>
              <w:t>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9/30/2022</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3.84%+ 0.10%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w:t>
            </w:r>
            <w:r>
              <w:rPr>
                <w:rFonts w:ascii="Times New Roman;Times;serif" w:hAnsi="Times New Roman;Times;serif"/>
                <w:sz w:val="20"/>
              </w:rPr>
              <w:t xml:space="preserve"> </w:t>
            </w:r>
            <w:r>
              <w:rPr>
                <w:rFonts w:ascii="Times New Roman;Times;serif" w:hAnsi="Times New Roman;Times;serif"/>
                <w:sz w:val="18"/>
              </w:rPr>
              <w:t>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r>
      <w:tr>
        <w:trPr/>
        <w:tc>
          <w:tcPr>
            <w:tcW w:w="1516" w:type="dxa"/>
            <w:tcBorders/>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2027 Term Loan </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11/29/2024</w:t>
            </w:r>
          </w:p>
        </w:tc>
        <w:tc>
          <w:tcPr>
            <w:tcW w:w="109"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1/31/2027</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1.61%+ 0.10%</w:t>
            </w:r>
            <w:r>
              <w:rPr>
                <w:rFonts w:ascii="Times New Roman;Times;serif" w:hAnsi="Times New Roman;Times;serif"/>
                <w:sz w:val="20"/>
              </w:rPr>
              <w:t xml:space="preserve"> </w:t>
            </w:r>
            <w:r>
              <w:rPr>
                <w:rFonts w:ascii="Times New Roman;Times;serif" w:hAnsi="Times New Roman;Times;serif"/>
                <w:sz w:val="18"/>
              </w:rPr>
              <w:t>+</w:t>
              <w:br/>
            </w:r>
            <w:r>
              <w:rPr>
                <w:rFonts w:ascii="Times New Roman;Times;serif" w:hAnsi="Times New Roman;Times;serif"/>
                <w:b w:val="false"/>
                <w:i w:val="false"/>
                <w:caps w:val="false"/>
                <w:smallCaps w:val="false"/>
                <w:sz w:val="18"/>
              </w:rPr>
              <w:t>applicable</w:t>
            </w:r>
            <w:r>
              <w:rPr>
                <w:rFonts w:ascii="Times New Roman;Times;serif" w:hAnsi="Times New Roman;Times;serif"/>
                <w:sz w:val="20"/>
              </w:rPr>
              <w:t xml:space="preserve"> </w:t>
            </w:r>
            <w:r>
              <w:rPr>
                <w:rFonts w:ascii="Times New Roman;Times;serif" w:hAnsi="Times New Roman;Times;serif"/>
                <w:sz w:val="18"/>
              </w:rPr>
              <w:t>spread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80,000</w:t>
            </w:r>
          </w:p>
        </w:tc>
        <w:tc>
          <w:tcPr>
            <w:tcW w:w="109" w:type="dxa"/>
            <w:tcBorders/>
            <w:vAlign w:val="center"/>
          </w:tcPr>
          <w:p>
            <w:pPr>
              <w:pStyle w:val="TableContents"/>
              <w:bidi w:val="0"/>
              <w:spacing w:before="0" w:after="0"/>
              <w:ind w:left="0" w:right="0" w:hanging="0"/>
              <w:jc w:val="right"/>
              <w:rPr/>
            </w:pPr>
            <w:r>
              <w:rPr/>
              <w:t>​</w:t>
            </w:r>
          </w:p>
        </w:tc>
        <w:tc>
          <w:tcPr>
            <w:tcW w:w="7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2,884</w:t>
            </w:r>
          </w:p>
        </w:tc>
      </w:tr>
      <w:tr>
        <w:trPr/>
        <w:tc>
          <w:tcPr>
            <w:tcW w:w="151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 xml:space="preserve">Credit Facility </w:t>
            </w:r>
            <w:r>
              <w:rPr>
                <w:rFonts w:ascii="Times New Roman;Times;serif" w:hAnsi="Times New Roman;Times;serif"/>
                <w:sz w:val="14"/>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3/1/2023</w:t>
            </w:r>
          </w:p>
        </w:tc>
        <w:tc>
          <w:tcPr>
            <w:tcW w:w="109"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3/1/2028</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3.21%+ 0.10%+</w:t>
              <w:br/>
            </w:r>
            <w:r>
              <w:rPr>
                <w:rFonts w:ascii="Times New Roman;Times;serif" w:hAnsi="Times New Roman;Times;serif"/>
                <w:b w:val="false"/>
                <w:i w:val="false"/>
                <w:caps w:val="false"/>
                <w:smallCaps w:val="false"/>
                <w:sz w:val="18"/>
              </w:rPr>
              <w:t>applicable</w:t>
            </w:r>
            <w:r>
              <w:rPr>
                <w:rFonts w:ascii="Times New Roman;Times;serif" w:hAnsi="Times New Roman;Times;serif"/>
                <w:sz w:val="20"/>
              </w:rPr>
              <w:t xml:space="preserve"> </w:t>
            </w:r>
            <w:r>
              <w:rPr>
                <w:rFonts w:ascii="Times New Roman;Times;serif" w:hAnsi="Times New Roman;Times;serif"/>
                <w:sz w:val="18"/>
              </w:rPr>
              <w:t>spread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50,000</w:t>
            </w:r>
          </w:p>
        </w:tc>
        <w:tc>
          <w:tcPr>
            <w:tcW w:w="109" w:type="dxa"/>
            <w:tcBorders/>
            <w:shd w:fill="CCEEFF" w:val="clear"/>
            <w:vAlign w:val="center"/>
          </w:tcPr>
          <w:p>
            <w:pPr>
              <w:pStyle w:val="TableContents"/>
              <w:bidi w:val="0"/>
              <w:spacing w:before="0" w:after="0"/>
              <w:ind w:left="0" w:right="0" w:hanging="0"/>
              <w:jc w:val="right"/>
              <w:rPr/>
            </w:pPr>
            <w:r>
              <w:rPr/>
              <w:t>​</w:t>
            </w:r>
          </w:p>
        </w:tc>
        <w:tc>
          <w:tcPr>
            <w:tcW w:w="7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2154"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141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 and achieve a weighted average fixed interest rate of 2.05%</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the $100.0</w:t>
            </w:r>
            <w:r>
              <w:rPr>
                <w:caps w:val="false"/>
                <w:smallCaps w:val="false"/>
              </w:rPr>
              <w:t xml:space="preserve"> </w:t>
            </w:r>
            <w:r>
              <w:rPr>
                <w:rFonts w:ascii="Times New Roman;Times;serif" w:hAnsi="Times New Roman;Times;serif"/>
                <w:b w:val="false"/>
                <w:i w:val="false"/>
                <w:caps w:val="false"/>
                <w:smallCaps w:val="false"/>
                <w:sz w:val="16"/>
              </w:rPr>
              <w:t>million 2026 Term Loan balance. The weighted average fixed interest rate of 2.05%, is comprised of: (i) rate swaps on $60.0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May 21, 2021, as amended on April 14, 2022 in connection with the 2026 Term Loan Amendment, to fix SOFR (prior to April 14, 2022, the swap was to fix LIBOR), and (ii) a rate swap on $40.0</w:t>
            </w:r>
            <w:r>
              <w:rPr>
                <w:caps w:val="false"/>
                <w:smallCaps w:val="false"/>
              </w:rPr>
              <w:t xml:space="preserve"> </w:t>
            </w:r>
            <w:r>
              <w:rPr>
                <w:rFonts w:ascii="Times New Roman;Times;serif" w:hAnsi="Times New Roman;Times;serif"/>
                <w:b w:val="false"/>
                <w:i w:val="false"/>
                <w:caps w:val="false"/>
                <w:smallCaps w:val="false"/>
                <w:sz w:val="16"/>
              </w:rPr>
              <w:t>million of the 2026 Term Loan Balance effective September 30, 2022, to fix SOFR.</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99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interest rate swaps to fix SOFR and achieve a weighted average fixed interest rate of 0.51%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w:t>
            </w:r>
            <w:r>
              <w:rPr>
                <w:caps w:val="false"/>
                <w:smallCaps w:val="false"/>
              </w:rPr>
              <w:t xml:space="preserve"> </w:t>
            </w:r>
            <w:r>
              <w:rPr>
                <w:rFonts w:ascii="Times New Roman;Times;serif" w:hAnsi="Times New Roman;Times;serif"/>
                <w:b w:val="false"/>
                <w:i w:val="false"/>
                <w:caps w:val="false"/>
                <w:smallCaps w:val="false"/>
                <w:sz w:val="16"/>
              </w:rPr>
              <w:t>on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2027 Term Loan balance. The weighted average fixed interest rate of 0.51%, is comprised of two</w:t>
            </w:r>
            <w:r>
              <w:rPr>
                <w:caps w:val="false"/>
                <w:smallCaps w:val="false"/>
              </w:rPr>
              <w:t xml:space="preserve"> </w:t>
            </w:r>
            <w:r>
              <w:rPr>
                <w:rFonts w:ascii="Times New Roman;Times;serif" w:hAnsi="Times New Roman;Times;serif"/>
                <w:b w:val="false"/>
                <w:i w:val="false"/>
                <w:caps w:val="false"/>
                <w:smallCaps w:val="false"/>
                <w:sz w:val="16"/>
              </w:rPr>
              <w:t>rate swaps on $80.0</w:t>
            </w:r>
            <w:r>
              <w:rPr>
                <w:caps w:val="false"/>
                <w:smallCaps w:val="false"/>
              </w:rPr>
              <w:t xml:space="preserve"> </w:t>
            </w:r>
            <w:r>
              <w:rPr>
                <w:rFonts w:ascii="Times New Roman;Times;serif" w:hAnsi="Times New Roman;Times;serif"/>
                <w:b w:val="false"/>
                <w:i w:val="false"/>
                <w:caps w:val="false"/>
                <w:smallCaps w:val="false"/>
                <w:sz w:val="16"/>
              </w:rPr>
              <w:t>million of the 2027 Term Loan balance effective September 30, 2021, as amended on April 14, 2022 in connection with the 2027 Term Loan Amendment, to fix SOFR (prior to April 14, 2022, the swap was to fix LIBOR). The swap matures on November 29, 2024 and will be replaced with the swap as described below in Footnote 4, which becomes effective on November 29, 2024.</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(3)</w:t>
            </w:r>
          </w:p>
        </w:tc>
        <w:tc>
          <w:tcPr>
            <w:tcW w:w="995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3.84%</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$20.0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 xml:space="preserve">million 2027 Term Loan balance.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(4)</w:t>
            </w:r>
          </w:p>
        </w:tc>
        <w:tc>
          <w:tcPr>
            <w:tcW w:w="99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interest rate swap agreement hedges $80.0</w:t>
            </w:r>
            <w:r>
              <w:rPr>
                <w:caps w:val="false"/>
                <w:smallCaps w:val="false"/>
              </w:rPr>
              <w:t xml:space="preserve"> </w:t>
            </w:r>
            <w:r>
              <w:rPr>
                <w:rFonts w:ascii="Times New Roman;Times;serif" w:hAnsi="Times New Roman;Times;serif"/>
                <w:b w:val="false"/>
                <w:i w:val="false"/>
                <w:caps w:val="false"/>
                <w:smallCaps w:val="false"/>
                <w:sz w:val="16"/>
              </w:rPr>
              <w:t>million of the $100.0</w:t>
            </w:r>
            <w:r>
              <w:rPr>
                <w:caps w:val="false"/>
                <w:smallCaps w:val="false"/>
              </w:rPr>
              <w:t xml:space="preserve"> </w:t>
            </w:r>
            <w:r>
              <w:rPr>
                <w:rFonts w:ascii="Times New Roman;Times;serif" w:hAnsi="Times New Roman;Times;serif"/>
                <w:b w:val="false"/>
                <w:i w:val="false"/>
                <w:caps w:val="false"/>
                <w:smallCaps w:val="false"/>
                <w:sz w:val="16"/>
              </w:rPr>
              <w:t>million 2027 Term Loan balance under different terms and commences concurrent to the interest rate agreements maturing on November 29, 2024 to extend the fixed interest rate through maturity on January 31, 2027.</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(5)</w:t>
            </w:r>
          </w:p>
        </w:tc>
        <w:tc>
          <w:tcPr>
            <w:tcW w:w="995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As of September 30, 2024, the Company has utilized an interest rate swap to fix SOFR</w:t>
            </w:r>
            <w:r>
              <w:rPr>
                <w:caps w:val="false"/>
                <w:smallCaps w:val="false"/>
              </w:rPr>
              <w:t xml:space="preserve"> </w:t>
            </w:r>
            <w:r>
              <w:rPr>
                <w:rFonts w:ascii="Times New Roman;Times;serif" w:hAnsi="Times New Roman;Times;serif"/>
                <w:b w:val="false"/>
                <w:i w:val="false"/>
                <w:caps w:val="false"/>
                <w:smallCaps w:val="false"/>
                <w:sz w:val="16"/>
              </w:rPr>
              <w:t>and achieve a fixed interest rate of 3.21%</w:t>
            </w:r>
            <w:r>
              <w:rPr>
                <w:caps w:val="false"/>
                <w:smallCaps w:val="false"/>
              </w:rPr>
              <w:t xml:space="preserve"> </w:t>
            </w:r>
            <w:r>
              <w:rPr>
                <w:rFonts w:ascii="Times New Roman;Times;serif" w:hAnsi="Times New Roman;Times;serif"/>
                <w:b w:val="false"/>
                <w:i w:val="false"/>
                <w:caps w:val="false"/>
                <w:smallCaps w:val="false"/>
                <w:sz w:val="16"/>
              </w:rPr>
              <w:t>plus 0.10%</w:t>
            </w:r>
            <w:r>
              <w:rPr>
                <w:caps w:val="false"/>
                <w:smallCaps w:val="false"/>
              </w:rPr>
              <w:t xml:space="preserve"> </w:t>
            </w:r>
            <w:r>
              <w:rPr>
                <w:rFonts w:ascii="Times New Roman;Times;serif" w:hAnsi="Times New Roman;Times;serif"/>
                <w:b w:val="false"/>
                <w:i w:val="false"/>
                <w:caps w:val="false"/>
                <w:smallCaps w:val="false"/>
                <w:sz w:val="16"/>
              </w:rPr>
              <w:t>and the applicable spread on $50.0</w:t>
            </w:r>
            <w:r>
              <w:rPr>
                <w:caps w:val="false"/>
                <w:smallCaps w:val="false"/>
              </w:rPr>
              <w:t xml:space="preserve"> </w:t>
            </w:r>
            <w:r>
              <w:rPr>
                <w:rFonts w:ascii="Times New Roman;Times;serif" w:hAnsi="Times New Roman;Times;serif"/>
                <w:b w:val="false"/>
                <w:i w:val="false"/>
                <w:caps w:val="false"/>
                <w:smallCaps w:val="false"/>
                <w:sz w:val="16"/>
              </w:rPr>
              <w:t xml:space="preserve">million of the outstanding balance on the Credit Facility. The swap was effective on March 1, 2023.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2024 and December 31, 2023, there were no events of default related to the Company's interest rate swap agreements.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 EQUITY </w:t>
      </w:r>
    </w:p>
    <w:p>
      <w:pPr>
        <w:pStyle w:val="TextBody"/>
        <w:bidi w:val="0"/>
        <w:spacing w:lineRule="auto" w:line="268" w:before="0" w:after="0"/>
        <w:ind w:left="0" w:right="0" w:hanging="0"/>
        <w:jc w:val="both"/>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SHELF REGISTRATION</w:t>
      </w:r>
    </w:p>
    <w:p>
      <w:pPr>
        <w:pStyle w:val="TextBody"/>
        <w:bidi w:val="0"/>
        <w:spacing w:lineRule="auto" w:line="268"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FOLLOW-ON PUBLIC OFFERING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In June 2021, the Company completed a follow-on public offering of </w:t>
      </w:r>
      <w:r>
        <w:rPr>
          <w:rFonts w:ascii="Times New Roman;Times;serif" w:hAnsi="Times New Roman;Times;serif"/>
          <w:sz w:val="20"/>
        </w:rPr>
        <w:t xml:space="preserve">3,220,000 </w:t>
      </w:r>
      <w:r>
        <w:rPr>
          <w:rFonts w:ascii="Times New Roman;Times;serif" w:hAnsi="Times New Roman;Times;serif"/>
          <w:sz w:val="20"/>
          <w:shd w:fill="FFFFFF" w:val="clear"/>
        </w:rPr>
        <w:t>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pStyle w:val="TextBody"/>
        <w:bidi w:val="0"/>
        <w:spacing w:before="0" w:after="0"/>
        <w:ind w:left="0" w:right="0" w:firstLine="360"/>
        <w:jc w:val="both"/>
        <w:rPr>
          <w:shd w:fill="FFFFFF" w:val="clear"/>
        </w:rPr>
      </w:pPr>
      <w:r>
        <w:rPr>
          <w:shd w:fill="FFFFFF" w:val="clea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ATM PROGRAM</w:t>
      </w:r>
    </w:p>
    <w:p>
      <w:pPr>
        <w:pStyle w:val="TextBody"/>
        <w:bidi w:val="0"/>
        <w:spacing w:lineRule="auto" w:line="268"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shd w:fill="FFFFFF" w:val="clear"/>
        </w:rPr>
      </w:pPr>
      <w:r>
        <w:rPr>
          <w:rFonts w:ascii="Times New Roman;Times;serif" w:hAnsi="Times New Roman;Times;serif"/>
          <w:sz w:val="20"/>
          <w:shd w:fill="FFFFFF" w:val="clear"/>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pStyle w:val="TextBody"/>
        <w:bidi w:val="0"/>
        <w:spacing w:before="0" w:after="0"/>
        <w:ind w:left="0" w:right="0" w:firstLine="36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shd w:fill="FFFFFF" w:val="clear"/>
        </w:rPr>
        <w:t xml:space="preserve">On October 21, 2022, the Company implemented a $150.0 million “at-the-market” equity offering program (the “2022 ATM Program”) pursuant to which the Company may sell, from time to time, shares of the Company’s common stock. During the three months ended September 30, 2024, the Company sold 620,176 shares under the 2022 ATM Program for gross proceeds of $11.2 million at a weighted average price of $18.09 per share, generating net proceeds of $11.1 million after deducting transaction fees totaling $0.1 million. During the nine months ended September 30, 2024, the Company sold 623,526 shares under the 2022 ATM Program for gross proceeds of $11.3 million at a weighted average price of $18.08 per share, generating net proceeds of $11.1 million after deducting transaction fees totaling $0.2 million. The Company was not active under the 2022 ATM Program during the three months ended September 30, 2023. During the nine months ended September 30, 2023, the Company sold 665,929 shares under the 2022 ATM Program for gross proceeds of $12.6 million at a weighted average price of $18.96 per share, generating net proceeds of $12.4 million after deducting transaction fees totaling $0.2 million. During the year ended December 31, 2023, the Company sold 665,929 shares under the 2022 ATM Program for gross proceeds of $12.6 million at a weighted average price of $18.96 per share, generating net proceeds of $12.4 million after deducting transaction fees totaling $0.2 million. </w:t>
      </w:r>
      <w:r>
        <w:rPr>
          <w:rFonts w:ascii="Times New Roman;Times;serif" w:hAnsi="Times New Roman;Times;serif"/>
          <w:sz w:val="20"/>
        </w:rPr>
        <w:t>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pStyle w:val="TextBody"/>
        <w:bidi w:val="0"/>
        <w:spacing w:before="0" w:after="0"/>
        <w:ind w:left="0" w:right="0" w:firstLine="360"/>
        <w:jc w:val="both"/>
        <w:rPr>
          <w:shd w:fill="FFFFFF" w:val="clear"/>
        </w:rPr>
      </w:pPr>
      <w:r>
        <w:rPr>
          <w:shd w:fill="FFFFFF"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NONCONTROLLING INTEREST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CTO holds, directly and indirectly, a 7.9% noncontrolling ownership interest in the Operating Partnership as a result of 1,223,854 OP Units issued to CTO at the time of the Company’s IPO.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nine months ended September 30, 2024 and 2023, the Company declared and paid cash dividends on its common stock and OP Units of $0.830 and $0.825 per share, respectively. </w:t>
      </w:r>
    </w:p>
    <w:p>
      <w:pPr>
        <w:pStyle w:val="TextBody"/>
        <w:bidi w:val="0"/>
        <w:spacing w:before="0" w:after="0"/>
        <w:ind w:left="0" w:right="0" w:firstLine="360"/>
        <w:jc w:val="both"/>
        <w:rPr/>
      </w:pPr>
      <w:r>
        <w:rPr/>
        <w:t>​</w:t>
      </w:r>
    </w:p>
    <w:p>
      <w:pPr>
        <w:pStyle w:val="TextBody"/>
        <w:bidi w:val="0"/>
        <w:spacing w:lineRule="auto" w:line="256" w:before="0" w:after="240"/>
        <w:ind w:left="0" w:right="0" w:hanging="0"/>
        <w:jc w:val="left"/>
        <w:rPr>
          <w:rFonts w:ascii="Times New Roman;Times;serif" w:hAnsi="Times New Roman;Times;serif"/>
          <w:b/>
          <w:sz w:val="20"/>
        </w:rPr>
      </w:pPr>
      <w:r>
        <w:rPr>
          <w:rFonts w:ascii="Times New Roman;Times;serif" w:hAnsi="Times New Roman;Times;serif"/>
          <w:b/>
          <w:sz w:val="20"/>
        </w:rPr>
        <w:t>NOTE 16. COMMON STOCK AND EARNINGS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 </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shd w:fill="FFFFFF" w:val="clear"/>
        </w:rPr>
      </w:pPr>
      <w:bookmarkStart w:id="1322" w:name="Tc_-gcytTeeM0qNjGHJn2L59g_12_11"/>
      <w:bookmarkStart w:id="1323" w:name="Tc_FkFFja-oTkiJsBIKaGwkmw_12_8"/>
      <w:bookmarkStart w:id="1324" w:name="Tc_lZYsC8iBeEqUXmgd3jisYg_12_5"/>
      <w:bookmarkStart w:id="1325" w:name="Tc_H3wIHyPpNE2_LCFOvIWPAA_12_2"/>
      <w:bookmarkStart w:id="1326" w:name="Tc_Zjsgu6Av2EKxoOse4worCQ_12_0"/>
      <w:bookmarkStart w:id="1327" w:name="Tc_wlEQG0xfD0e3Ie52NqoNvA_11_11"/>
      <w:bookmarkStart w:id="1328" w:name="Tc_Nexc8d0PjkiTKt0zwXpilQ_11_8"/>
      <w:bookmarkStart w:id="1329" w:name="Tc_MfKUHxYUZU-J_Lnfo1S5qQ_11_5"/>
      <w:bookmarkStart w:id="1330" w:name="Tc_NoyoAh4VWE2jwmPHMolUtw_11_2"/>
      <w:bookmarkStart w:id="1331" w:name="Tc_ZZaRh4h6vk6d1TbweCCCMg_11_0"/>
      <w:bookmarkStart w:id="1332" w:name="Tc_IE7BJpZAEEquCAeurT8_6Q_10_0"/>
      <w:bookmarkStart w:id="1333" w:name="Tc_r50zkrIQpky6eVLnZOS4Tg_9_0"/>
      <w:bookmarkStart w:id="1334" w:name="Tc_OfIDqzAMsUOjNnEDGNy4EQ_7_0"/>
      <w:bookmarkStart w:id="1335" w:name="Tc_MJve4oG8l0iCBdFA9i1VFA_6_0"/>
      <w:bookmarkStart w:id="1336" w:name="Tc_UNEOTXhSNky89gW6eZO7Wg_5_0"/>
      <w:bookmarkStart w:id="1337" w:name="Tc_325L_Kxdm0mjP-KjmrCXWg_3_11"/>
      <w:bookmarkStart w:id="1338" w:name="Tc_kcWNUWDyFUi3504KFZQhiA_3_8"/>
      <w:bookmarkStart w:id="1339" w:name="Tc_PssfYQd4AECRZj-ZrTRhhg_3_5"/>
      <w:bookmarkStart w:id="1340" w:name="Tc_Wetj4GNmWEelVI_N1RLNYA_3_2"/>
      <w:bookmarkStart w:id="1341" w:name="Tc_onhN_xuge0-3Tzm_rIEYgQ_3_0"/>
      <w:bookmarkStart w:id="1342" w:name="Tc_pDUlww5d30COa9riKC3QTw_2_11"/>
      <w:bookmarkStart w:id="1343" w:name="Tc_io_kcTY0RkuXq0eSXCv8og_2_8"/>
      <w:bookmarkStart w:id="1344" w:name="Tc_cv65773GzkSNBrPu1E_aNg_2_5"/>
      <w:bookmarkStart w:id="1345" w:name="Tc_J4xQLiTawUCJk4scVz75Xw_2_2"/>
      <w:bookmarkStart w:id="1346" w:name="Tc_4NaAiqb8Kk-hZbvu7AmTSw_1_8"/>
      <w:bookmarkStart w:id="1347" w:name="Tc_EIVDrrPKhEOFz__64SpPSQ_1_2"/>
      <w:bookmarkStart w:id="1348" w:name="_0626e53b_9dc9_43c0_bcdf_e18fd575388d"/>
      <w:bookmarkStart w:id="1349" w:name="_05de662d_cd7c_4f5e_a1ec_d168be590536"/>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r>
        <w:rPr>
          <w:rFonts w:ascii="Times New Roman;Times;serif" w:hAnsi="Times New Roman;Times;serif"/>
          <w:sz w:val="20"/>
          <w:shd w:fill="FFFFFF" w:val="clear"/>
        </w:rPr>
        <w:t>The following is a reconciliation of basic and diluted earnings per common share (in thousands, except share and per share data):</w:t>
      </w:r>
    </w:p>
    <w:p>
      <w:pPr>
        <w:pStyle w:val="TextBody"/>
        <w:bidi w:val="0"/>
        <w:spacing w:before="0" w:after="0"/>
        <w:ind w:left="0" w:right="0" w:firstLine="360"/>
        <w:jc w:val="both"/>
        <w:rPr>
          <w:shd w:fill="FFFFFF" w:val="clear"/>
        </w:rPr>
      </w:pPr>
      <w:r>
        <w:rPr>
          <w:shd w:fill="FFFFFF" w:val="clear"/>
        </w:rPr>
        <w:t>​</w:t>
      </w:r>
    </w:p>
    <w:tbl>
      <w:tblPr>
        <w:tblW w:w="10205" w:type="dxa"/>
        <w:jc w:val="left"/>
        <w:tblInd w:w="0" w:type="dxa"/>
        <w:tblLayout w:type="fixed"/>
        <w:tblCellMar>
          <w:top w:w="0" w:type="dxa"/>
          <w:left w:w="0" w:type="dxa"/>
          <w:bottom w:w="0" w:type="dxa"/>
          <w:right w:w="0" w:type="dxa"/>
        </w:tblCellMar>
      </w:tblPr>
      <w:tblGrid>
        <w:gridCol w:w="3819"/>
        <w:gridCol w:w="109"/>
        <w:gridCol w:w="248"/>
        <w:gridCol w:w="1227"/>
        <w:gridCol w:w="109"/>
        <w:gridCol w:w="248"/>
        <w:gridCol w:w="1227"/>
        <w:gridCol w:w="109"/>
        <w:gridCol w:w="248"/>
        <w:gridCol w:w="1227"/>
        <w:gridCol w:w="109"/>
        <w:gridCol w:w="247"/>
        <w:gridCol w:w="1278"/>
      </w:tblGrid>
      <w:tr>
        <w:trPr/>
        <w:tc>
          <w:tcPr>
            <w:tcW w:w="3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7480" cy="175260"/>
                      <wp:effectExtent l="0" t="0" r="0" b="0"/>
                      <wp:wrapNone/>
                      <wp:docPr id="314" name="Frame31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79145" cy="175260"/>
                      <wp:effectExtent l="0" t="0" r="0" b="0"/>
                      <wp:wrapNone/>
                      <wp:docPr id="315" name="Frame315"/>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57480" cy="175260"/>
                      <wp:effectExtent l="0" t="0" r="0" b="0"/>
                      <wp:wrapNone/>
                      <wp:docPr id="317" name="Frame31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79145" cy="175260"/>
                      <wp:effectExtent l="0" t="0" r="0" b="0"/>
                      <wp:wrapNone/>
                      <wp:docPr id="318" name="Frame318"/>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57480" cy="175260"/>
                      <wp:effectExtent l="0" t="0" r="0" b="0"/>
                      <wp:wrapNone/>
                      <wp:docPr id="320" name="Frame32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79145" cy="175260"/>
                      <wp:effectExtent l="0" t="0" r="0" b="0"/>
                      <wp:wrapNone/>
                      <wp:docPr id="321" name="Frame321"/>
                      <a:graphic xmlns:a="http://schemas.openxmlformats.org/drawingml/2006/main">
                        <a:graphicData uri="http://schemas.microsoft.com/office/word/2010/wordprocessingShape">
                          <wps:wsp>
                            <wps:cNvSpPr txBox="1"/>
                            <wps:spPr>
                              <a:xfrm>
                                <a:off x="0" y="0"/>
                                <a:ext cx="779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56845" cy="175260"/>
                      <wp:effectExtent l="0" t="0" r="0" b="0"/>
                      <wp:wrapNone/>
                      <wp:docPr id="323" name="Frame32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11530" cy="175260"/>
                      <wp:effectExtent l="0" t="0" r="0" b="0"/>
                      <wp:wrapNone/>
                      <wp:docPr id="324" name="Frame324"/>
                      <a:graphic xmlns:a="http://schemas.openxmlformats.org/drawingml/2006/main">
                        <a:graphicData uri="http://schemas.microsoft.com/office/word/2010/wordprocessingShape">
                          <wps:wsp>
                            <wps:cNvSpPr txBox="1"/>
                            <wps:spPr>
                              <a:xfrm>
                                <a:off x="0" y="0"/>
                                <a:ext cx="811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9"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30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1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center"/>
              <w:rPr/>
            </w:pPr>
            <w:r>
              <w:rPr/>
              <w:t>​</w:t>
            </w:r>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left"/>
              <w:rPr/>
            </w:pPr>
            <w:r>
              <w:rPr/>
              <w:t>​</w:t>
            </w:r>
          </w:p>
        </w:tc>
        <w:tc>
          <w:tcPr>
            <w:tcW w:w="15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8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w:t>
            </w:r>
          </w:p>
        </w:tc>
      </w:tr>
      <w:tr>
        <w:trPr/>
        <w:tc>
          <w:tcPr>
            <w:tcW w:w="3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pPr>
            <w:r>
              <w:rPr/>
              <w:t>​</w:t>
            </w:r>
          </w:p>
        </w:tc>
      </w:tr>
      <w:tr>
        <w:trPr/>
        <w:tc>
          <w:tcPr>
            <w:tcW w:w="38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13,744,232</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13,946,194</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13,663,752</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14,001,774</w:t>
            </w:r>
          </w:p>
        </w:tc>
      </w:tr>
      <w:tr>
        <w:trPr/>
        <w:tc>
          <w:tcPr>
            <w:tcW w:w="381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Number of Common Shares Applicable to OP Units using Treasury Stock Method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1,703,494</w:t>
            </w:r>
          </w:p>
        </w:tc>
        <w:tc>
          <w:tcPr>
            <w:tcW w:w="109" w:type="dxa"/>
            <w:tcBorders/>
            <w:vAlign w:val="center"/>
          </w:tcPr>
          <w:p>
            <w:pPr>
              <w:pStyle w:val="TableContents"/>
              <w:bidi w:val="0"/>
              <w:spacing w:before="0" w:after="0"/>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1,223,854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1,703,494</w:t>
            </w:r>
          </w:p>
        </w:tc>
      </w:tr>
      <w:tr>
        <w:trPr/>
        <w:tc>
          <w:tcPr>
            <w:tcW w:w="38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Applicable to Diluted Earnings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14,968,086</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15,649,688</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14,887,606</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15,705,268</w:t>
            </w:r>
          </w:p>
        </w:tc>
      </w:tr>
      <w:tr>
        <w:trPr/>
        <w:tc>
          <w:tcPr>
            <w:tcW w:w="3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pPr>
            <w:r>
              <w:rPr/>
              <w:t>​</w:t>
            </w:r>
          </w:p>
        </w:tc>
      </w:tr>
      <w:tr>
        <w:trPr/>
        <w:tc>
          <w:tcPr>
            <w:tcW w:w="38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122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278" w:type="dxa"/>
            <w:tcBorders/>
            <w:shd w:fill="CCEEFF" w:val="clear"/>
            <w:vAlign w:val="center"/>
          </w:tcPr>
          <w:p>
            <w:pPr>
              <w:pStyle w:val="TableContents"/>
              <w:bidi w:val="0"/>
              <w:spacing w:before="0" w:after="0"/>
              <w:ind w:left="0" w:right="0" w:hanging="0"/>
              <w:jc w:val="right"/>
              <w:rPr/>
            </w:pPr>
            <w:r>
              <w:rPr/>
              <w:t>​</w:t>
            </w:r>
          </w:p>
        </w:tc>
      </w:tr>
      <w:tr>
        <w:trPr/>
        <w:tc>
          <w:tcPr>
            <w:tcW w:w="3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w:t>
            </w:r>
          </w:p>
        </w:tc>
        <w:tc>
          <w:tcPr>
            <w:tcW w:w="12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right"/>
              <w:rPr/>
            </w:pPr>
            <w:r>
              <w:rPr/>
              <w:t>​</w:t>
            </w:r>
          </w:p>
        </w:tc>
      </w:tr>
      <w:tr>
        <w:trPr/>
        <w:tc>
          <w:tcPr>
            <w:tcW w:w="38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109"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r>
      <w:tr>
        <w:trPr/>
        <w:tc>
          <w:tcPr>
            <w:tcW w:w="38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109"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8"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0.16</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Includes the weighted average of 1,223,854</w:t>
            </w:r>
            <w:r>
              <w:rPr>
                <w:caps w:val="false"/>
                <w:smallCaps w:val="false"/>
              </w:rPr>
              <w:t xml:space="preserve"> </w:t>
            </w:r>
            <w:r>
              <w:rPr>
                <w:rFonts w:ascii="Times New Roman;Times;serif" w:hAnsi="Times New Roman;Times;serif"/>
                <w:b w:val="false"/>
                <w:i w:val="false"/>
                <w:caps w:val="false"/>
                <w:smallCaps w:val="false"/>
                <w:sz w:val="16"/>
              </w:rPr>
              <w:t>during the three and nine months ended September 30, 2024 and 1,703,494</w:t>
            </w:r>
            <w:r>
              <w:rPr>
                <w:caps w:val="false"/>
                <w:smallCaps w:val="false"/>
              </w:rPr>
              <w:t xml:space="preserve"> </w:t>
            </w:r>
            <w:r>
              <w:rPr>
                <w:rFonts w:ascii="Times New Roman;Times;serif" w:hAnsi="Times New Roman;Times;serif"/>
                <w:b w:val="false"/>
                <w:i w:val="false"/>
                <w:caps w:val="false"/>
                <w:smallCaps w:val="false"/>
                <w:sz w:val="16"/>
              </w:rPr>
              <w:t>shares during the three and nine months ended September 30, 2023, in each case, underlying OP Units including (i) 1,223,854</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CTO and (ii) 479,640</w:t>
            </w:r>
            <w:r>
              <w:rPr>
                <w:caps w:val="false"/>
                <w:smallCaps w:val="false"/>
              </w:rPr>
              <w:t xml:space="preserve"> </w:t>
            </w:r>
            <w:r>
              <w:rPr>
                <w:rFonts w:ascii="Times New Roman;Times;serif" w:hAnsi="Times New Roman;Times;serif"/>
                <w:b w:val="false"/>
                <w:i w:val="false"/>
                <w:caps w:val="false"/>
                <w:smallCaps w:val="false"/>
                <w:sz w:val="16"/>
              </w:rPr>
              <w:t>shares underlying OP Units issued to an unrelated third party, which OP Units were redeemed by PINE for an equivalent number of shares of common stock of PINE during the three months ended December 31, 2023.</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 SHARE REPURCHASES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three and nine months ended September 30, 2023.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 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repurchases of the Company’s common stock during the three months ended September 30, 2024.</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18. STOCK-BASED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nine months ended September 30, 2024, the expense recognized for the value of the Company’s common stock received by non-employee directors totaled $0.2 million, or 14,603 shares, of which 5,131 shares were issued on April 1, 2024, 5,168 shares were issued on July 1, 2024, and 4,304 shares were issued on October 1, 2024. During the nine months ended September 30, 2023, the expense recognized for the value of the Company’s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50" w:name="Tc_gB7axErDEE6HW4-4UCnQ7g_3_11"/>
      <w:bookmarkStart w:id="1351" w:name="Tc_079XC5yElEOTPkSqc1wrSQ_3_8"/>
      <w:bookmarkStart w:id="1352" w:name="Tc_O3HnZrTYnkWOF6SrVVkACQ_3_5"/>
      <w:bookmarkStart w:id="1353" w:name="Tc_cMOYOJM57kaaGdCOd2uvdA_3_2"/>
      <w:bookmarkStart w:id="1354" w:name="Tc_wMrIlFSQI0Cvd8oLBucYHg_3_0"/>
      <w:bookmarkStart w:id="1355" w:name="Tc_sK1A5yTwE0q7gflFxH9cow_2_11"/>
      <w:bookmarkStart w:id="1356" w:name="Tc_gRw0aFdA0026jXrDaKbv6g_2_8"/>
      <w:bookmarkStart w:id="1357" w:name="Tc_Bfx970vuJE606z32oFPBXQ_2_5"/>
      <w:bookmarkStart w:id="1358" w:name="Tc_Wh7uYy_PkE2AgSbrst0_cQ_2_2"/>
      <w:bookmarkStart w:id="1359" w:name="Tc_WuMlx4xA5Eq9u-K1FStshA_1_8"/>
      <w:bookmarkStart w:id="1360" w:name="Tc_JERs8-BO6k2ia-y27g9AWg_1_2"/>
      <w:bookmarkStart w:id="1361" w:name="_68013e69_f7bc_48f7_894e_17fc5046b23f"/>
      <w:bookmarkEnd w:id="1350"/>
      <w:bookmarkEnd w:id="1351"/>
      <w:bookmarkEnd w:id="1352"/>
      <w:bookmarkEnd w:id="1353"/>
      <w:bookmarkEnd w:id="1354"/>
      <w:bookmarkEnd w:id="1355"/>
      <w:bookmarkEnd w:id="1356"/>
      <w:bookmarkEnd w:id="1357"/>
      <w:bookmarkEnd w:id="1358"/>
      <w:bookmarkEnd w:id="1359"/>
      <w:bookmarkEnd w:id="1360"/>
      <w:bookmarkEnd w:id="1361"/>
      <w:r>
        <w:rPr>
          <w:rFonts w:ascii="Times New Roman;Times;serif" w:hAnsi="Times New Roman;Times;serif"/>
          <w:sz w:val="20"/>
        </w:rPr>
        <w:t>common stock received by non-employee directors totaled $0.2 million, or 14,464 shares, of which 4,776 shares were issued on April 1, 2023, 4,940 shares were issued on July 3, 2023, and 4,748 shares were issued on October 2, 2023.</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Stock compensation expense for the three and nine months ended September 30, 2024 and 2023 is summarized as follows (in thousands):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61"/>
        <w:gridCol w:w="109"/>
        <w:gridCol w:w="620"/>
        <w:gridCol w:w="933"/>
        <w:gridCol w:w="144"/>
        <w:gridCol w:w="620"/>
        <w:gridCol w:w="933"/>
        <w:gridCol w:w="109"/>
        <w:gridCol w:w="518"/>
        <w:gridCol w:w="1035"/>
        <w:gridCol w:w="121"/>
        <w:gridCol w:w="456"/>
        <w:gridCol w:w="1146"/>
      </w:tblGrid>
      <w:tr>
        <w:trPr/>
        <w:tc>
          <w:tcPr>
            <w:tcW w:w="3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93700" cy="175260"/>
                      <wp:effectExtent l="0" t="0" r="0" b="0"/>
                      <wp:wrapNone/>
                      <wp:docPr id="325" name="Frame325"/>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592455" cy="175260"/>
                      <wp:effectExtent l="0" t="0" r="0" b="0"/>
                      <wp:wrapNone/>
                      <wp:docPr id="326" name="Frame326"/>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1440" cy="175260"/>
                      <wp:effectExtent l="0" t="0" r="0" b="0"/>
                      <wp:wrapNone/>
                      <wp:docPr id="327" name="Frame327"/>
                      <a:graphic xmlns:a="http://schemas.openxmlformats.org/drawingml/2006/main">
                        <a:graphicData uri="http://schemas.microsoft.com/office/word/2010/wordprocessingShape">
                          <wps:wsp>
                            <wps:cNvSpPr txBox="1"/>
                            <wps:spPr>
                              <a:xfrm>
                                <a:off x="0" y="0"/>
                                <a:ext cx="91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93700" cy="175260"/>
                      <wp:effectExtent l="0" t="0" r="0" b="0"/>
                      <wp:wrapNone/>
                      <wp:docPr id="328" name="Frame32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92455" cy="175260"/>
                      <wp:effectExtent l="0" t="0" r="0" b="0"/>
                      <wp:wrapNone/>
                      <wp:docPr id="329" name="Frame329"/>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9215" cy="175260"/>
                      <wp:effectExtent l="0" t="0" r="0" b="0"/>
                      <wp:wrapNone/>
                      <wp:docPr id="330"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28930" cy="175260"/>
                      <wp:effectExtent l="0" t="0" r="0" b="0"/>
                      <wp:wrapNone/>
                      <wp:docPr id="331" name="Frame331"/>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57225" cy="175260"/>
                      <wp:effectExtent l="0" t="0" r="0" b="0"/>
                      <wp:wrapNone/>
                      <wp:docPr id="332" name="Frame332"/>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6835" cy="175260"/>
                      <wp:effectExtent l="0" t="0" r="0" b="0"/>
                      <wp:wrapNone/>
                      <wp:docPr id="333" name="Frame333"/>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89560" cy="175260"/>
                      <wp:effectExtent l="0" t="0" r="0" b="0"/>
                      <wp:wrapNone/>
                      <wp:docPr id="334" name="Frame334"/>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727710" cy="175260"/>
                      <wp:effectExtent l="0" t="0" r="0" b="0"/>
                      <wp:wrapNone/>
                      <wp:docPr id="335" name="Frame335"/>
                      <a:graphic xmlns:a="http://schemas.openxmlformats.org/drawingml/2006/main">
                        <a:graphicData uri="http://schemas.microsoft.com/office/word/2010/wordprocessingShape">
                          <wps:wsp>
                            <wps:cNvSpPr txBox="1"/>
                            <wps:spPr>
                              <a:xfrm>
                                <a:off x="0" y="0"/>
                                <a:ext cx="72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2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4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44" w:type="dxa"/>
            <w:tcBorders/>
            <w:vAlign w:val="center"/>
          </w:tcPr>
          <w:p>
            <w:pPr>
              <w:pStyle w:val="TableContents"/>
              <w:bidi w:val="0"/>
              <w:spacing w:before="0" w:after="0"/>
              <w:ind w:left="0" w:right="0" w:hanging="0"/>
              <w:jc w:val="left"/>
              <w:rPr/>
            </w:pPr>
            <w:r>
              <w:rPr/>
              <w:t>​</w:t>
            </w:r>
          </w:p>
        </w:tc>
        <w:tc>
          <w:tcPr>
            <w:tcW w:w="1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center"/>
              <w:rPr/>
            </w:pPr>
            <w:r>
              <w:rPr/>
              <w:t>​</w:t>
            </w:r>
          </w:p>
        </w:tc>
        <w:tc>
          <w:tcPr>
            <w:tcW w:w="1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21" w:type="dxa"/>
            <w:tcBorders/>
            <w:vAlign w:val="center"/>
          </w:tcPr>
          <w:p>
            <w:pPr>
              <w:pStyle w:val="TableContents"/>
              <w:bidi w:val="0"/>
              <w:spacing w:before="0" w:after="0"/>
              <w:ind w:left="0" w:right="0" w:hanging="0"/>
              <w:jc w:val="left"/>
              <w:rPr/>
            </w:pPr>
            <w:r>
              <w:rPr/>
              <w:t>​</w:t>
            </w:r>
          </w:p>
        </w:tc>
        <w:tc>
          <w:tcPr>
            <w:tcW w:w="16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 – Director Retainers Paid in Stock</w:t>
            </w:r>
          </w:p>
        </w:tc>
        <w:tc>
          <w:tcPr>
            <w:tcW w:w="10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44"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21" w:type="dxa"/>
            <w:tcBorders/>
            <w:shd w:fill="CCEEFF" w:val="clear"/>
            <w:vAlign w:val="center"/>
          </w:tcPr>
          <w:p>
            <w:pPr>
              <w:pStyle w:val="TableContents"/>
              <w:bidi w:val="0"/>
              <w:spacing w:before="0" w:after="0"/>
              <w:ind w:left="0" w:right="0" w:hanging="0"/>
              <w:jc w:val="left"/>
              <w:rPr/>
            </w:pPr>
            <w:r>
              <w:rPr/>
              <w:t>​</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238</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9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Director retainers are issued through additional paid in capital in arrears. Therefore, the change in additional paid in capital during the three and nine months ended September 30, 2024 and 2023 reported on the consolidated statements of stockholders’ equity does not agree to the total non-cash compensation reported on the consolidated statements of cash flows.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19. RELATED PARTY MANAGEMENT COMPANY</w:t>
      </w:r>
    </w:p>
    <w:p>
      <w:pPr>
        <w:pStyle w:val="TextBody"/>
        <w:bidi w:val="0"/>
        <w:spacing w:lineRule="auto" w:line="268" w:before="0" w:after="24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externally managed by the Manager, a wholly owned subsidiary of CTO. Subsequent to the IPO, through September 30, 2024, CTO has purchased an aggregate of 322,831 shares of PINE common stock in the open market including (i) 29,807 shares purchased during the nine months ended September 30, 2024 for $0.4 million, or an average price per share of $14.97, (ii) 129,271 shares purchased during the year ended December 31, 2023 for $2.1 million, or an average price per share of $16.21, (iii) 155,665 shares purchased during the year ended December 31, 2022 for $2.7 million, or an average price per share of $17.57 and (iv) 8,088 shares purchased during the year ended December 31, 2021 for $0.1 million, or an average price per share of $17.65.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CTO owns, in the aggregate, 1,223,854 OP Units and 1,138,621 shares of PINE common stock, inclusive of (i) 394,737 shares of common stock totaling $7.5 million issued in connection with a private placement that closed concurrently with the IPO, (ii) 421,053 shares of common stock totaling $8.0 million issued in connection with the IPO, and (iii) 322,831 shares of common stock totaling $5.4 million purchased by CTO subsequent to the IPO. The aggregate 1,223,854 OP Units and 1,138,621 shares of PINE common stock held by CTO represent an investment totaling $43.0 million, or 15.3% of PINE’s outstanding equity, as of September 30, 2024.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Management Agreement</w:t>
      </w:r>
    </w:p>
    <w:p>
      <w:pPr>
        <w:pStyle w:val="TextBody"/>
        <w:bidi w:val="0"/>
        <w:spacing w:before="0" w:after="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the initial term will automatically renew for an unlimited number of successive one-year periods thereafter, unless the agreement is not renewed or is terminated in accordance with its terms.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independent directors review our Manager’s performance and the management fees annually and, following the initial term, the Management Agreement may be terminated annually upon the affirmative vote of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-thirds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62" w:name="Tc_SoDMxRTrk0uAVzsjjnI7pw_5_5"/>
      <w:bookmarkStart w:id="1363" w:name="Tc_rrZPr7YZxUmfpynwA_WDgA_5_2"/>
      <w:bookmarkStart w:id="1364" w:name="Tc__w6jeR74gk6J2CY7dy6h_A_5_0"/>
      <w:bookmarkStart w:id="1365" w:name="Tc_qwEEJjuN40OMfZPMj0EzKg_4_0"/>
      <w:bookmarkStart w:id="1366" w:name="Tc_FUok_IOJq0eqEnTB4eTwCQ_3_5"/>
      <w:bookmarkStart w:id="1367" w:name="Tc_RljTy6nHDkmmMbT68Du-ZQ_3_2"/>
      <w:bookmarkStart w:id="1368" w:name="Tc_xqx7c4HQhke87H6PUU_Tyg_3_0"/>
      <w:bookmarkStart w:id="1369" w:name="Tc_C7X12mp4EUeHz6FYzEV3lQ_2_5"/>
      <w:bookmarkStart w:id="1370" w:name="Tc_wFcR-f132EycVcMAfVmrXQ_2_2"/>
      <w:bookmarkStart w:id="1371" w:name="Tc_vSlVfgCqlk2rriJlHmzDoQ_2_0"/>
      <w:bookmarkStart w:id="1372" w:name="Tc_dGH-k0UTMkGU0xCmtdGN5w_1_2"/>
      <w:bookmarkStart w:id="1373" w:name="_3beaee23_8fc3_462b_860c_5e95bab89bba"/>
      <w:bookmarkEnd w:id="1362"/>
      <w:bookmarkEnd w:id="1363"/>
      <w:bookmarkEnd w:id="1364"/>
      <w:bookmarkEnd w:id="1365"/>
      <w:bookmarkEnd w:id="1366"/>
      <w:bookmarkEnd w:id="1367"/>
      <w:bookmarkEnd w:id="1368"/>
      <w:bookmarkEnd w:id="1369"/>
      <w:bookmarkEnd w:id="1370"/>
      <w:bookmarkEnd w:id="1371"/>
      <w:bookmarkEnd w:id="1372"/>
      <w:bookmarkEnd w:id="1373"/>
      <w:r>
        <w:rPr>
          <w:rFonts w:ascii="Times New Roman;Times;serif" w:hAnsi="Times New Roman;Times;serif"/>
          <w:sz w:val="20"/>
        </w:rPr>
        <w:t xml:space="preserve">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w:t>
      </w:r>
      <w:r>
        <w:rPr>
          <w:rFonts w:ascii="Times New Roman;Times;serif" w:hAnsi="Times New Roman;Times;serif"/>
          <w:b w:val="false"/>
          <w:i w:val="false"/>
          <w:caps w:val="false"/>
          <w:smallCaps w:val="false"/>
          <w:sz w:val="20"/>
        </w:rPr>
        <w:t>two</w:t>
      </w:r>
      <w:r>
        <w:rPr>
          <w:rFonts w:ascii="Times New Roman;Times;serif" w:hAnsi="Times New Roman;Times;serif"/>
          <w:sz w:val="20"/>
        </w:rPr>
        <w:t>-thirds of our independent directors. We may 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incurred management fee expenses totaling $1.1 million and $3.1 million during the three and nine months ended September 30, 2024, respectively. The Company also paid dividends on the common stock and OP Units owned by affiliates of the Manager in the amount of $0.7 million and $1.9 million for the three and nine months ended September 30, 2024, respectively.</w:t>
      </w:r>
      <w:r>
        <w:rPr>
          <w:rFonts w:ascii="Times New Roman;Times;serif" w:hAnsi="Times New Roman;Times;serif"/>
          <w:sz w:val="20"/>
          <w:shd w:fill="FFFFFF" w:val="clear"/>
        </w:rPr>
        <w:t xml:space="preserve"> The Company incurred management fee expenses totaling $1.1 million and $3.3 million during the three and nine months ended September 30, 2023, respectively. The Company also paid dividends on the common stock and OP Units owned by affiliates of the Manager in the amount of $0.6 million and $1.9 million for the three and nine months ended September 30, 2023, respectively.</w:t>
      </w:r>
    </w:p>
    <w:p>
      <w:pPr>
        <w:pStyle w:val="TextBody"/>
        <w:bidi w:val="0"/>
        <w:spacing w:before="0" w:after="0"/>
        <w:ind w:left="0" w:right="0" w:hanging="0"/>
        <w:jc w:val="left"/>
        <w:rPr/>
      </w:pPr>
      <w:r>
        <w:rPr/>
        <w:t>​</w:t>
      </w:r>
    </w:p>
    <w:p>
      <w:pPr>
        <w:pStyle w:val="TextBody"/>
        <w:bidi w:val="0"/>
        <w:spacing w:lineRule="auto" w:line="268"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amounts due to (from) CTO (in thousands):</w:t>
      </w:r>
    </w:p>
    <w:p>
      <w:pPr>
        <w:pStyle w:val="TextBody"/>
        <w:bidi w:val="0"/>
        <w:spacing w:lineRule="auto" w:line="268" w:before="0" w:after="0"/>
        <w:ind w:left="0" w:right="0" w:firstLine="360"/>
        <w:jc w:val="both"/>
        <w:rPr/>
      </w:pPr>
      <w:r>
        <w:rPr/>
        <w:t>​</w:t>
      </w:r>
    </w:p>
    <w:tbl>
      <w:tblPr>
        <w:tblW w:w="6698" w:type="dxa"/>
        <w:jc w:val="left"/>
        <w:tblInd w:w="0" w:type="dxa"/>
        <w:tblLayout w:type="fixed"/>
        <w:tblCellMar>
          <w:top w:w="0" w:type="dxa"/>
          <w:left w:w="0" w:type="dxa"/>
          <w:bottom w:w="0" w:type="dxa"/>
          <w:right w:w="0" w:type="dxa"/>
        </w:tblCellMar>
      </w:tblPr>
      <w:tblGrid>
        <w:gridCol w:w="2506"/>
        <w:gridCol w:w="326"/>
        <w:gridCol w:w="477"/>
        <w:gridCol w:w="1293"/>
        <w:gridCol w:w="326"/>
        <w:gridCol w:w="420"/>
        <w:gridCol w:w="1350"/>
      </w:tblGrid>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pPr>
            <w:r>
              <w:rPr/>
              <w:t>​</w: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821055" cy="175260"/>
                      <wp:effectExtent l="0" t="0" r="0" b="0"/>
                      <wp:wrapNone/>
                      <wp:docPr id="336" name="Frame336"/>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857250" cy="175260"/>
                      <wp:effectExtent l="0" t="0" r="0" b="0"/>
                      <wp:wrapNone/>
                      <wp:docPr id="337" name="Frame33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c>
          <w:tcPr>
            <w:tcW w:w="326" w:type="dxa"/>
            <w:tcBorders/>
            <w:vAlign w:val="center"/>
          </w:tcPr>
          <w:p>
            <w:pPr>
              <w:pStyle w:val="TableContents"/>
              <w:bidi w:val="0"/>
              <w:spacing w:before="0" w:after="0"/>
              <w:ind w:left="0" w:right="0" w:hanging="0"/>
              <w:jc w:val="lef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326" w:type="dxa"/>
            <w:tcBorders/>
            <w:vAlign w:val="center"/>
          </w:tcPr>
          <w:p>
            <w:pPr>
              <w:pStyle w:val="TableContents"/>
              <w:bidi w:val="0"/>
              <w:spacing w:before="0" w:after="0"/>
              <w:ind w:left="0" w:right="0" w:hanging="0"/>
              <w:jc w:val="right"/>
              <w:rPr/>
            </w:pPr>
            <w:r>
              <w:rPr/>
              <w:t>    </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due to CTO</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4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vAlign w:val="center"/>
          </w:tcPr>
          <w:p>
            <w:pPr>
              <w:pStyle w:val="TableContents"/>
              <w:bidi w:val="0"/>
              <w:spacing w:before="0" w:after="0"/>
              <w:ind w:left="0" w:right="0" w:hanging="0"/>
              <w:jc w:val="right"/>
              <w:rPr/>
            </w:pPr>
            <w:r>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5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w:t>
            </w:r>
          </w:p>
        </w:tc>
        <w:tc>
          <w:tcPr>
            <w:tcW w:w="326" w:type="dxa"/>
            <w:tcBorders/>
            <w:shd w:fill="CCEEFF" w:val="clear"/>
            <w:vAlign w:val="center"/>
          </w:tcPr>
          <w:p>
            <w:pPr>
              <w:pStyle w:val="TableContents"/>
              <w:bidi w:val="0"/>
              <w:spacing w:before="0" w:after="0"/>
              <w:ind w:left="0" w:right="0" w:hanging="0"/>
              <w:jc w:val="righ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1,052</w:t>
            </w:r>
          </w:p>
        </w:tc>
      </w:tr>
    </w:tbl>
    <w:tbl>
      <w:tblPr>
        <w:tblW w:w="7787" w:type="dxa"/>
        <w:jc w:val="left"/>
        <w:tblInd w:w="0" w:type="dxa"/>
        <w:tblLayout w:type="fixed"/>
        <w:tblCellMar>
          <w:top w:w="0" w:type="dxa"/>
          <w:left w:w="0" w:type="dxa"/>
          <w:bottom w:w="0" w:type="dxa"/>
          <w:right w:w="0" w:type="dxa"/>
        </w:tblCellMar>
      </w:tblPr>
      <w:tblGrid>
        <w:gridCol w:w="271"/>
        <w:gridCol w:w="7516"/>
      </w:tblGrid>
      <w:tr>
        <w:trPr/>
        <w:tc>
          <w:tcPr>
            <w:tcW w:w="271"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75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Included in accrued expenses, see Note 11, “Accounts Payable, Accrued Expenses, and Other Liabilities”. </w:t>
            </w:r>
          </w:p>
        </w:tc>
      </w:tr>
    </w:tbl>
    <w:p>
      <w:pPr>
        <w:pStyle w:val="TextBody"/>
        <w:bidi w:val="0"/>
        <w:spacing w:before="0" w:after="0"/>
        <w:ind w:left="0" w:right="0" w:hanging="0"/>
        <w:jc w:val="left"/>
        <w:rPr/>
      </w:pPr>
      <w:r>
        <w:rPr/>
        <w:t>​</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ROFO Agreement</w:t>
      </w:r>
    </w:p>
    <w:p>
      <w:pPr>
        <w:pStyle w:val="TextBody"/>
        <w:bidi w:val="0"/>
        <w:spacing w:lineRule="auto" w:line="268"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terms of the ROFO Agreement do not restrict CTO or any of its affiliates from providing financing for a third party’s acquisition of single-tenant, net leased properties or from developing and owning any single-tenant, net leased property.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term of the ROFO Agreement will continue for so long as the Management Agreement with our Manager is in effect.</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6, 2021, the Company entered into a purchase and sale agreement with a certain subsidiary of CTO for the purchase of one net lease property for $11.5 million. The acquisition was completed on April 23, 2021.</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5, 2022, the Company entered into a purchase and sale agreement with a certain subsidiary of CTO for the purchase of one net lease property for $6.9 million. The acquisition was completed on January 7, 2022.</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entry into these purchase and sale agreements, and subsequent completion of the related acquisitions, are a result of the Company exercising its right to purchase the aforementioned properties under the ROFO Agreement.  </w:t>
      </w:r>
    </w:p>
    <w:p>
      <w:pPr>
        <w:pStyle w:val="TextBody"/>
        <w:bidi w:val="0"/>
        <w:spacing w:lineRule="auto" w:line="268" w:before="0" w:after="0"/>
        <w:ind w:left="0" w:right="0" w:hanging="0"/>
        <w:jc w:val="both"/>
        <w:rPr/>
      </w:pPr>
      <w:r>
        <w:rPr/>
        <w:t> </w:t>
      </w:r>
    </w:p>
    <w:p>
      <w:pPr>
        <w:pStyle w:val="TextBody"/>
        <w:bidi w:val="0"/>
        <w:spacing w:lineRule="auto" w:line="268"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Conflicts of Interest </w:t>
      </w:r>
    </w:p>
    <w:p>
      <w:pPr>
        <w:pStyle w:val="TextBody"/>
        <w:bidi w:val="0"/>
        <w:spacing w:lineRule="auto" w:line="268"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firstLine="360"/>
        <w:jc w:val="both"/>
        <w:rPr>
          <w:rFonts w:ascii="Times New Roman;Times;serif" w:hAnsi="Times New Roman;Times;serif"/>
          <w:sz w:val="20"/>
        </w:rPr>
      </w:pPr>
      <w:r>
        <w:rPr>
          <w:rFonts w:ascii="Times New Roman;Times;serif" w:hAnsi="Times New Roman;Times;serif"/>
          <w:sz w:val="20"/>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pStyle w:val="TextBody"/>
        <w:bidi w:val="0"/>
        <w:spacing w:before="4" w:after="4"/>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Revenue Sharing Agreement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will be based on fees earned by CTO associated with the single tenant properties within the portfolio. The Company recognized $0.1 million and $0.4 million of revenue pursuant to the Revenue Sharing Agreement during the three and nine months ended September 30, 2024, respectively, which is included in other revenue on the Company’s consolidated statement of operations.</w:t>
      </w:r>
    </w:p>
    <w:p>
      <w:pPr>
        <w:pStyle w:val="TextBody"/>
        <w:bidi w:val="0"/>
        <w:spacing w:before="0" w:after="0"/>
        <w:ind w:left="0" w:right="0" w:hanging="0"/>
        <w:jc w:val="left"/>
        <w:rPr/>
      </w:pPr>
      <w:r>
        <w:rPr/>
        <w:t>​</w:t>
      </w:r>
    </w:p>
    <w:p>
      <w:pPr>
        <w:pStyle w:val="TextBody"/>
        <w:bidi w:val="0"/>
        <w:spacing w:lineRule="auto" w:line="268" w:before="0" w:after="0"/>
        <w:ind w:left="0" w:right="0" w:hanging="0"/>
        <w:jc w:val="left"/>
        <w:rPr>
          <w:rFonts w:ascii="Times New Roman;Times;serif" w:hAnsi="Times New Roman;Times;serif"/>
          <w:b/>
          <w:sz w:val="20"/>
        </w:rPr>
      </w:pPr>
      <w:r>
        <w:rPr>
          <w:rFonts w:ascii="Times New Roman;Times;serif" w:hAnsi="Times New Roman;Times;serif"/>
          <w:b/>
          <w:sz w:val="20"/>
        </w:rPr>
        <w:t>NOTE 20. COMMITMENTS AND CONTINGENCIES</w:t>
      </w:r>
    </w:p>
    <w:p>
      <w:pPr>
        <w:pStyle w:val="TextBody"/>
        <w:bidi w:val="0"/>
        <w:spacing w:lineRule="auto" w:line="268" w:before="4" w:after="0"/>
        <w:ind w:left="0" w:right="0" w:hanging="0"/>
        <w:jc w:val="both"/>
        <w:rPr/>
      </w:pPr>
      <w:r>
        <w:rPr/>
        <w:t>​</w:t>
      </w:r>
    </w:p>
    <w:p>
      <w:pPr>
        <w:pStyle w:val="TextBody"/>
        <w:bidi w:val="0"/>
        <w:spacing w:lineRule="auto" w:line="268" w:before="4" w:after="0"/>
        <w:ind w:left="0" w:right="0" w:hanging="0"/>
        <w:jc w:val="both"/>
        <w:rPr>
          <w:rFonts w:ascii="Times New Roman;Times;serif" w:hAnsi="Times New Roman;Times;serif"/>
          <w:i/>
          <w:sz w:val="20"/>
        </w:rPr>
      </w:pPr>
      <w:r>
        <w:rPr>
          <w:rFonts w:ascii="Times New Roman;Times;serif" w:hAnsi="Times New Roman;Times;serif"/>
          <w:i/>
          <w:sz w:val="20"/>
        </w:rPr>
        <w:t>LEGAL PROCEEDINGS</w:t>
      </w:r>
    </w:p>
    <w:p>
      <w:pPr>
        <w:pStyle w:val="TextBody"/>
        <w:bidi w:val="0"/>
        <w:spacing w:lineRule="auto" w:line="268" w:before="4" w:after="4"/>
        <w:ind w:left="0" w:right="0" w:hanging="0"/>
        <w:jc w:val="both"/>
        <w:rPr/>
      </w:pPr>
      <w:r>
        <w:rPr/>
        <w:t>​</w:t>
      </w:r>
    </w:p>
    <w:p>
      <w:pPr>
        <w:pStyle w:val="TextBody"/>
        <w:bidi w:val="0"/>
        <w:spacing w:before="0" w:after="240"/>
        <w:ind w:left="0" w:right="0" w:firstLine="432"/>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CONTRACTUAL COMMITMENTS – EXPENDITURES</w:t>
      </w:r>
    </w:p>
    <w:p>
      <w:pPr>
        <w:pStyle w:val="TextBody"/>
        <w:bidi w:val="0"/>
        <w:spacing w:before="0" w:after="240"/>
        <w:ind w:left="0" w:right="0" w:hanging="0"/>
        <w:jc w:val="left"/>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The Company is committed to fund five construction loans as described in Note 4, “Commercial Loans and Investments”. The unfunded portion of the construction loans totaled $12.3 million as of September 30, 2024.</w:t>
      </w:r>
    </w:p>
    <w:p>
      <w:pPr>
        <w:pStyle w:val="TextBody"/>
        <w:bidi w:val="0"/>
        <w:spacing w:before="0" w:after="240"/>
        <w:ind w:left="0" w:right="0" w:firstLine="432"/>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Pursuant to a certain lease agreement executed during the three months ended September 30, 2024, the Company is committed to funding $5.0 million in tenant improvements for a property which capital expenditure is expected to be funded within one year.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240"/>
        <w:ind w:left="0" w:right="0" w:hanging="0"/>
        <w:jc w:val="left"/>
        <w:rPr>
          <w:rFonts w:ascii="Times New Roman;Times;serif" w:hAnsi="Times New Roman;Times;serif"/>
          <w:b/>
          <w:sz w:val="20"/>
        </w:rPr>
      </w:pPr>
      <w:bookmarkStart w:id="1374" w:name="Tc_V8BwFMkplkKAgY-tXxh6lw_23_11"/>
      <w:bookmarkStart w:id="1375" w:name="Tc_5fkdXMm0PU-9KkmPCJ0vBQ_23_8"/>
      <w:bookmarkStart w:id="1376" w:name="Tc_vaDwfnfdFkWGctRG6weTaA_23_5"/>
      <w:bookmarkStart w:id="1377" w:name="Tc_Xn9wi0I1k06tzhMIMUwuag_23_2"/>
      <w:bookmarkStart w:id="1378" w:name="Tc_iqKk-44Ns02PCPSnapvWiA_23_0"/>
      <w:bookmarkStart w:id="1379" w:name="Tc_EiXiCW9haU-wgL-y-T-U2g_22_0"/>
      <w:bookmarkStart w:id="1380" w:name="Tc_splaRDiUMk60Fg1KtxEpMg_21_11"/>
      <w:bookmarkStart w:id="1381" w:name="Tc__5ssLRO5BUmRxeOdUSmkow_21_8"/>
      <w:bookmarkStart w:id="1382" w:name="Tc_14ODPjxmHU60EXnCCPU2EA_21_5"/>
      <w:bookmarkStart w:id="1383" w:name="Tc_Oq2fJj3o4kWEuifbS5s5hQ_21_2"/>
      <w:bookmarkStart w:id="1384" w:name="Tc_nNZ8HcTKtEmebfof_3QITA_21_0"/>
      <w:bookmarkStart w:id="1385" w:name="Tc_HXO8PRKz_02Gi__LuIIB2g_20_0"/>
      <w:bookmarkStart w:id="1386" w:name="Tc_bIRm0rr07UWohxfU-iceww_19_11"/>
      <w:bookmarkStart w:id="1387" w:name="Tc_9UfPDG2YIU6AXnhtqyg2cw_19_8"/>
      <w:bookmarkStart w:id="1388" w:name="Tc_C8eEssxe5UqbcnHyD5nrkg_19_5"/>
      <w:bookmarkStart w:id="1389" w:name="Tc_twocZyMkUkKjLOKICsZ3Mg_19_2"/>
      <w:bookmarkStart w:id="1390" w:name="Tc_8PeD0mBxuk20Acnv_e6DyA_19_0"/>
      <w:bookmarkStart w:id="1391" w:name="Tc_SWvnpx7PWU-uiwk4umndSw_18_11"/>
      <w:bookmarkStart w:id="1392" w:name="Tc_7M4babhYhkOlLDttDWo0HA_18_8"/>
      <w:bookmarkStart w:id="1393" w:name="Tc_rrnF3TvZ8U29yTvbLwXr5A_18_5"/>
      <w:bookmarkStart w:id="1394" w:name="Tc_XEl8HQZvM0qwzNMQtFSO_Q_18_2"/>
      <w:bookmarkStart w:id="1395" w:name="Tc_lzubp68NuEuuBMG2BzYnFw_18_0"/>
      <w:bookmarkStart w:id="1396" w:name="Tc_Q6Keiwe1BEabCAdjQbnDuQ_17_0"/>
      <w:bookmarkStart w:id="1397" w:name="Tc_ROiNmyQBvEmgDs5TAtYulw_16_11"/>
      <w:bookmarkStart w:id="1398" w:name="Tc_QOFWj-xYQUmYon1Xlk-Jpg_16_8"/>
      <w:bookmarkStart w:id="1399" w:name="Tc_Z-oZTiS4j0SFvu_Q0zOIqQ_16_5"/>
      <w:bookmarkStart w:id="1400" w:name="Tc_-CzhCUgwsUudbUqijGJ2Qw_16_2"/>
      <w:bookmarkStart w:id="1401" w:name="Tc_uNwbeRwJBkq7foRw1Tp2SQ_16_0"/>
      <w:bookmarkStart w:id="1402" w:name="Tc_f7patuayBkGbdQ5Vh0tJpg_15_9"/>
      <w:bookmarkStart w:id="1403" w:name="Tc_Uj1D8xZZvEeijmlf_KSwrQ_15_6"/>
      <w:bookmarkStart w:id="1404" w:name="Tc_SEtNwJPXN0qwwCyxbjXdmg_15_3"/>
      <w:bookmarkStart w:id="1405" w:name="Tc_qgZTXGRWEUGxtin6vqS3QA_15_0"/>
      <w:bookmarkStart w:id="1406" w:name="Tc_57gY764URkORz8YlX_C4mw_14_0"/>
      <w:bookmarkStart w:id="1407" w:name="Tc_We7IuOWnSEiPDvs4QneOSA_13_0"/>
      <w:bookmarkStart w:id="1408" w:name="Tc_XPdU38FpvkOCzrVoxxWc1A_12_0"/>
      <w:bookmarkStart w:id="1409" w:name="Tc_KesiDT1ukkaxU8t9zzKlLg_11_12"/>
      <w:bookmarkStart w:id="1410" w:name="Tc_HPAGHPupFk2kO9WGuI-T0A_11_6"/>
      <w:bookmarkStart w:id="1411" w:name="Tc_8dKrF0IOt0q0UUepBbc1bg_11_0"/>
      <w:bookmarkStart w:id="1412" w:name="Tc_hk5Bg1zti0SyA6lnrbPVGA_10_0"/>
      <w:bookmarkStart w:id="1413" w:name="Tc_K_8b89xg70K2lLkNEA1tCg_9_11"/>
      <w:bookmarkStart w:id="1414" w:name="Tc_b7w-dGIfi0CQBPkjzawgYQ_9_8"/>
      <w:bookmarkStart w:id="1415" w:name="Tc_IIrWQoZ1uka4z2-eoc1JUA_9_5"/>
      <w:bookmarkStart w:id="1416" w:name="Tc_CHxYeroMn0OePGIrRsWObQ_9_2"/>
      <w:bookmarkStart w:id="1417" w:name="Tc__6oGqoeXF0y2gn0zDNC96A_9_0"/>
      <w:bookmarkStart w:id="1418" w:name="Tc_sltlZynYZ0G80fwHzNmV3w_8_0"/>
      <w:bookmarkStart w:id="1419" w:name="Tc_fJ6QuXJebESysT7BwEmdcg_7_11"/>
      <w:bookmarkStart w:id="1420" w:name="Tc_7Kcr05pulkekcbOWFlV86g_7_8"/>
      <w:bookmarkStart w:id="1421" w:name="Tc_JTZdy5rap0O9MmvDSQxGXw_7_5"/>
      <w:bookmarkStart w:id="1422" w:name="Tc_pwjLW4BM7UC1euZkNouVsA_7_2"/>
      <w:bookmarkStart w:id="1423" w:name="Tc__ubOi4e-jk-JVQrx4BNbVQ_7_0"/>
      <w:bookmarkStart w:id="1424" w:name="Tc_GQxCaI08ikep948jlYIdRg_6_12"/>
      <w:bookmarkStart w:id="1425" w:name="Tc_p6oMZ0yTx0-gCtsD9O-c3A_6_6"/>
      <w:bookmarkStart w:id="1426" w:name="Tc_LSi_N0unckeZtcWd4ncZJA_6_0"/>
      <w:bookmarkStart w:id="1427" w:name="Tc_8F546vzWokmFXGmyaBb-cQ_5_0"/>
      <w:bookmarkStart w:id="1428" w:name="Tc_zFRHlHk6p06LFkX4yb4fhA_4_11"/>
      <w:bookmarkStart w:id="1429" w:name="Tc_-HPBVS4w30W8MEgkF0llhw_4_8"/>
      <w:bookmarkStart w:id="1430" w:name="Tc_S4VHXhZMh0a4uxjk5hGgCg_4_5"/>
      <w:bookmarkStart w:id="1431" w:name="Tc_CzY5KMSHrUGuaMwuoM4JOA_4_2"/>
      <w:bookmarkStart w:id="1432" w:name="Tc_sS_7iNjny0qTInYz1zsORg_4_0"/>
      <w:bookmarkStart w:id="1433" w:name="Tc_pWW-506u10-IUDMREjopYA_3_0"/>
      <w:bookmarkStart w:id="1434" w:name="Tc_BgThyS2bbU-85E7GNGt-nw_2_11"/>
      <w:bookmarkStart w:id="1435" w:name="Tc_j93PC0HcaES4t7_PNx_vmQ_2_8"/>
      <w:bookmarkStart w:id="1436" w:name="Tc_cE--iPWerUaXu8X3qS8Row_2_5"/>
      <w:bookmarkStart w:id="1437" w:name="Tc_I0pTgzWkVE2noDzVm5arow_2_2"/>
      <w:bookmarkStart w:id="1438" w:name="Tc_ndKo98ghrkG2MCiyO6WSng_1_8"/>
      <w:bookmarkStart w:id="1439" w:name="Tc_eJA4SKYrEE6dwMVpef5ujg_1_2"/>
      <w:bookmarkStart w:id="1440" w:name="_e0f5c234_5583_42ed_9156_ddb58b01a76f"/>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r>
        <w:rPr>
          <w:rFonts w:ascii="Times New Roman;Times;serif" w:hAnsi="Times New Roman;Times;serif"/>
          <w:b/>
          <w:sz w:val="20"/>
        </w:rPr>
        <w:t xml:space="preserve">NOTE 21. BUSINESS SEGMENT DATA </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val="false"/>
          <w:sz w:val="20"/>
        </w:rPr>
        <w:t>The Company operates in two</w:t>
      </w:r>
      <w:r>
        <w:rPr>
          <w:rFonts w:ascii="Times New Roman;Times;serif" w:hAnsi="Times New Roman;Times;serif"/>
          <w:b/>
          <w:sz w:val="20"/>
        </w:rPr>
        <w:t xml:space="preserve"> </w:t>
      </w:r>
      <w:r>
        <w:rPr>
          <w:rFonts w:ascii="Times New Roman;Times;serif" w:hAnsi="Times New Roman;Times;serif"/>
          <w:b w:val="false"/>
          <w:sz w:val="20"/>
        </w:rPr>
        <w:t>primary business segments: income properties and commercial loans and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income property operations consist of lease income from income producing properties and our business plan is focused on investing in additional income-producing properties. Our income property operations accounted for 79% and 89% of our identifiable assets as of September 30, 2024 and December 31, 2023, respectively, and 90% and 100% of our consolidated revenues for the nine months ended September 30, 2024 and 2023, respectively. As of September 30, 2024, our commercial loans investment portfolio consisted of nine commercial loan investments, of which three are related to properties acquired through a sale-leaseback transaction whereby the tenant has a future repurchase right.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chief operating decision maker evaluates segment performance based on operating income. The Company’s reportable segments are strategic business units that offer different products. They are managed separately because each segment requires different management techniques, knowledge, and skill.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Information about the Company’s operations in different segments for the three and nine months ended September 30, 2024 and 2023 is as follows (in thousands):</w:t>
      </w:r>
    </w:p>
    <w:tbl>
      <w:tblPr>
        <w:tblW w:w="10205" w:type="dxa"/>
        <w:jc w:val="left"/>
        <w:tblInd w:w="0" w:type="dxa"/>
        <w:tblLayout w:type="fixed"/>
        <w:tblCellMar>
          <w:top w:w="0" w:type="dxa"/>
          <w:left w:w="0" w:type="dxa"/>
          <w:bottom w:w="0" w:type="dxa"/>
          <w:right w:w="0" w:type="dxa"/>
        </w:tblCellMar>
      </w:tblPr>
      <w:tblGrid>
        <w:gridCol w:w="3393"/>
        <w:gridCol w:w="109"/>
        <w:gridCol w:w="375"/>
        <w:gridCol w:w="1207"/>
        <w:gridCol w:w="109"/>
        <w:gridCol w:w="375"/>
        <w:gridCol w:w="1207"/>
        <w:gridCol w:w="109"/>
        <w:gridCol w:w="351"/>
        <w:gridCol w:w="1231"/>
        <w:gridCol w:w="109"/>
        <w:gridCol w:w="345"/>
        <w:gridCol w:w="1285"/>
      </w:tblGrid>
      <w:tr>
        <w:trPr/>
        <w:tc>
          <w:tcPr>
            <w:tcW w:w="33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38125" cy="175260"/>
                      <wp:effectExtent l="0" t="0" r="0" b="0"/>
                      <wp:wrapNone/>
                      <wp:docPr id="339" name="Frame33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766445" cy="175260"/>
                      <wp:effectExtent l="0" t="0" r="0" b="0"/>
                      <wp:wrapNone/>
                      <wp:docPr id="340" name="Frame340"/>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9215" cy="175260"/>
                      <wp:effectExtent l="0" t="0" r="0" b="0"/>
                      <wp:wrapNone/>
                      <wp:docPr id="341" name="Frame3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8125" cy="175260"/>
                      <wp:effectExtent l="0" t="0" r="0" b="0"/>
                      <wp:wrapNone/>
                      <wp:docPr id="342" name="Frame34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66445" cy="175260"/>
                      <wp:effectExtent l="0" t="0" r="0" b="0"/>
                      <wp:wrapNone/>
                      <wp:docPr id="343" name="Frame343"/>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9215" cy="175260"/>
                      <wp:effectExtent l="0" t="0" r="0" b="0"/>
                      <wp:wrapNone/>
                      <wp:docPr id="344" name="Frame3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22885" cy="175260"/>
                      <wp:effectExtent l="0" t="0" r="0" b="0"/>
                      <wp:wrapNone/>
                      <wp:docPr id="345" name="Frame345"/>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781685" cy="175260"/>
                      <wp:effectExtent l="0" t="0" r="0" b="0"/>
                      <wp:wrapNone/>
                      <wp:docPr id="346" name="Frame346"/>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075" cy="175260"/>
                      <wp:effectExtent l="0" t="0" r="0" b="0"/>
                      <wp:wrapNone/>
                      <wp:docPr id="348" name="Frame348"/>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815975" cy="175260"/>
                      <wp:effectExtent l="0" t="0" r="0" b="0"/>
                      <wp:wrapNone/>
                      <wp:docPr id="349" name="Frame349"/>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93"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32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33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3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5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5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1"/>
              <w:ind w:left="0" w:right="0" w:hanging="0"/>
              <w:jc w:val="center"/>
              <w:rPr/>
            </w:pPr>
            <w:r>
              <w:rPr/>
              <w:t>​</w:t>
            </w:r>
          </w:p>
        </w:tc>
        <w:tc>
          <w:tcPr>
            <w:tcW w:w="15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pPr>
            <w:r>
              <w:rPr/>
              <w:t>​</w:t>
            </w:r>
          </w:p>
        </w:tc>
        <w:tc>
          <w:tcPr>
            <w:tcW w:w="1285" w:type="dxa"/>
            <w:tcBorders/>
            <w:shd w:fill="CCEEFF" w:val="clear"/>
            <w:vAlign w:val="center"/>
          </w:tcPr>
          <w:p>
            <w:pPr>
              <w:pStyle w:val="TableContents"/>
              <w:bidi w:val="0"/>
              <w:spacing w:before="0" w:after="1"/>
              <w:ind w:left="0" w:right="0" w:hanging="0"/>
              <w:jc w:val="center"/>
              <w:rPr/>
            </w:pPr>
            <w:r>
              <w:rPr/>
              <w:t>​</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11,718</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11,447</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34,512</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33,951</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109" w:type="dxa"/>
            <w:tcBorders/>
            <w:shd w:fill="CCEEFF" w:val="clear"/>
            <w:vAlign w:val="center"/>
          </w:tcPr>
          <w:p>
            <w:pPr>
              <w:pStyle w:val="TableContents"/>
              <w:bidi w:val="0"/>
              <w:spacing w:before="0" w:after="1"/>
              <w:ind w:left="0" w:right="0" w:hanging="0"/>
              <w:jc w:val="right"/>
              <w:rPr/>
            </w:pPr>
            <w:r>
              <w:rPr/>
              <w:t>​</w:t>
            </w:r>
          </w:p>
        </w:tc>
        <w:tc>
          <w:tcPr>
            <w:tcW w:w="345" w:type="dxa"/>
            <w:tcBorders/>
            <w:shd w:fill="CCEEFF" w:val="clear"/>
            <w:vAlign w:val="center"/>
          </w:tcPr>
          <w:p>
            <w:pPr>
              <w:pStyle w:val="TableContents"/>
              <w:bidi w:val="0"/>
              <w:spacing w:before="0" w:after="1"/>
              <w:ind w:left="0" w:right="0" w:hanging="0"/>
              <w:jc w:val="right"/>
              <w:rPr/>
            </w:pPr>
            <w:r>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vAlign w:val="center"/>
          </w:tcPr>
          <w:p>
            <w:pPr>
              <w:pStyle w:val="TableContents"/>
              <w:bidi w:val="0"/>
              <w:spacing w:before="0" w:after="1"/>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13,480</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11,559</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38,436</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34,063</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1285" w:type="dxa"/>
            <w:tcBorders/>
            <w:vAlign w:val="center"/>
          </w:tcPr>
          <w:p>
            <w:pPr>
              <w:pStyle w:val="TableContents"/>
              <w:bidi w:val="0"/>
              <w:spacing w:before="0" w:after="1"/>
              <w:ind w:left="0" w:right="0" w:hanging="0"/>
              <w:jc w:val="right"/>
              <w:rPr/>
            </w:pPr>
            <w:r>
              <w:rPr/>
              <w:t>​</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9,877</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9,725</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28,943</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29,220</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1,663</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3,552</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pPr>
            <w:r>
              <w:rPr/>
              <w:t>​</w:t>
            </w:r>
          </w:p>
        </w:tc>
        <w:tc>
          <w:tcPr>
            <w:tcW w:w="1285" w:type="dxa"/>
            <w:tcBorders/>
            <w:shd w:fill="CCEEFF" w:val="clear"/>
            <w:vAlign w:val="center"/>
          </w:tcPr>
          <w:p>
            <w:pPr>
              <w:pStyle w:val="TableContents"/>
              <w:bidi w:val="0"/>
              <w:spacing w:before="0" w:after="1"/>
              <w:ind w:left="0" w:right="0" w:hanging="0"/>
              <w:jc w:val="right"/>
              <w:rPr/>
            </w:pPr>
            <w:r>
              <w:rPr/>
              <w:t>—</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Corporate Expenses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(8,183)</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(8,180)</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(24,061)</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(24,109)</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pPr>
            <w:r>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12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7,782</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2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6,460</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1,379</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12,040</w:t>
            </w:r>
          </w:p>
        </w:tc>
        <w:tc>
          <w:tcPr>
            <w:tcW w:w="109" w:type="dxa"/>
            <w:tcBorders/>
            <w:vAlign w:val="center"/>
          </w:tcPr>
          <w:p>
            <w:pPr>
              <w:pStyle w:val="TableContents"/>
              <w:bidi w:val="0"/>
              <w:spacing w:before="0" w:after="1"/>
              <w:ind w:left="0" w:right="0" w:hanging="0"/>
              <w:jc w:val="left"/>
              <w:rPr/>
            </w:pPr>
            <w:r>
              <w:rPr/>
              <w:t>​</w:t>
            </w:r>
          </w:p>
        </w:tc>
        <w:tc>
          <w:tcPr>
            <w:tcW w:w="34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10,164</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120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pPr>
            <w:r>
              <w:rPr/>
              <w:t>​</w:t>
            </w:r>
          </w:p>
        </w:tc>
        <w:tc>
          <w:tcPr>
            <w:tcW w:w="12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pPr>
            <w:r>
              <w:rPr/>
              <w:t>​</w:t>
            </w:r>
          </w:p>
        </w:tc>
        <w:tc>
          <w:tcPr>
            <w:tcW w:w="1285" w:type="dxa"/>
            <w:tcBorders/>
            <w:shd w:fill="CCEEFF" w:val="clear"/>
            <w:vAlign w:val="center"/>
          </w:tcPr>
          <w:p>
            <w:pPr>
              <w:pStyle w:val="TableContents"/>
              <w:bidi w:val="0"/>
              <w:spacing w:before="0" w:after="1"/>
              <w:ind w:left="0" w:right="0" w:hanging="0"/>
              <w:jc w:val="right"/>
              <w:rPr/>
            </w:pPr>
            <w:r>
              <w:rPr/>
              <w:t>​</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6,528</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19,074</w:t>
            </w:r>
          </w:p>
        </w:tc>
        <w:tc>
          <w:tcPr>
            <w:tcW w:w="109" w:type="dxa"/>
            <w:tcBorders/>
            <w:vAlign w:val="center"/>
          </w:tcPr>
          <w:p>
            <w:pPr>
              <w:pStyle w:val="TableContents"/>
              <w:bidi w:val="0"/>
              <w:spacing w:before="0" w:after="1"/>
              <w:ind w:left="0" w:right="0" w:hanging="0"/>
              <w:jc w:val="center"/>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19,286</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Depreciation and Amortization</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6,528</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19,074</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19,286</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Capital Expenditures: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2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51" w:type="dxa"/>
            <w:tcBorders/>
            <w:vAlign w:val="center"/>
          </w:tcPr>
          <w:p>
            <w:pPr>
              <w:pStyle w:val="TableContents"/>
              <w:bidi w:val="0"/>
              <w:spacing w:before="0" w:after="1"/>
              <w:ind w:left="0" w:right="0" w:hanging="0"/>
              <w:jc w:val="center"/>
              <w:rPr/>
            </w:pPr>
            <w:r>
              <w:rPr/>
              <w:t>​</w:t>
            </w:r>
          </w:p>
        </w:tc>
        <w:tc>
          <w:tcPr>
            <w:tcW w:w="123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center"/>
              <w:rPr/>
            </w:pPr>
            <w:r>
              <w:rPr/>
              <w:t>​</w:t>
            </w:r>
          </w:p>
        </w:tc>
        <w:tc>
          <w:tcPr>
            <w:tcW w:w="1285" w:type="dxa"/>
            <w:tcBorders/>
            <w:vAlign w:val="center"/>
          </w:tcPr>
          <w:p>
            <w:pPr>
              <w:pStyle w:val="TableContents"/>
              <w:bidi w:val="0"/>
              <w:spacing w:before="0" w:after="1"/>
              <w:ind w:left="0" w:right="0" w:hanging="0"/>
              <w:jc w:val="right"/>
              <w:rPr/>
            </w:pPr>
            <w:r>
              <w:rPr/>
              <w:t>​</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6,577</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19,723</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22,523</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81,395</w:t>
            </w:r>
          </w:p>
        </w:tc>
      </w:tr>
      <w:tr>
        <w:trPr/>
        <w:tc>
          <w:tcPr>
            <w:tcW w:w="339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42,678</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6,870</w:t>
            </w:r>
          </w:p>
        </w:tc>
        <w:tc>
          <w:tcPr>
            <w:tcW w:w="109" w:type="dxa"/>
            <w:tcBorders/>
            <w:vAlign w:val="center"/>
          </w:tcPr>
          <w:p>
            <w:pPr>
              <w:pStyle w:val="TableContents"/>
              <w:bidi w:val="0"/>
              <w:spacing w:before="0" w:after="1"/>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52,993</w:t>
            </w:r>
          </w:p>
        </w:tc>
        <w:tc>
          <w:tcPr>
            <w:tcW w:w="109" w:type="dxa"/>
            <w:tcBorders/>
            <w:vAlign w:val="center"/>
          </w:tcPr>
          <w:p>
            <w:pPr>
              <w:pStyle w:val="TableContents"/>
              <w:bidi w:val="0"/>
              <w:spacing w:before="0" w:after="1"/>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6,870</w:t>
            </w:r>
          </w:p>
        </w:tc>
      </w:tr>
      <w:tr>
        <w:trPr/>
        <w:tc>
          <w:tcPr>
            <w:tcW w:w="3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Capital Expenditures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49,255</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26,593</w:t>
            </w:r>
          </w:p>
        </w:tc>
        <w:tc>
          <w:tcPr>
            <w:tcW w:w="109" w:type="dxa"/>
            <w:tcBorders/>
            <w:shd w:fill="CCEEFF" w:val="clear"/>
            <w:vAlign w:val="center"/>
          </w:tcPr>
          <w:p>
            <w:pPr>
              <w:pStyle w:val="TableContents"/>
              <w:bidi w:val="0"/>
              <w:spacing w:before="0" w:after="1"/>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75,516</w:t>
            </w:r>
          </w:p>
        </w:tc>
        <w:tc>
          <w:tcPr>
            <w:tcW w:w="109" w:type="dxa"/>
            <w:tcBorders/>
            <w:shd w:fill="CCEEFF" w:val="clear"/>
            <w:vAlign w:val="center"/>
          </w:tcPr>
          <w:p>
            <w:pPr>
              <w:pStyle w:val="TableContents"/>
              <w:bidi w:val="0"/>
              <w:spacing w:before="0" w:after="1"/>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2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88,265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1441" w:name="Tc_adqN5dnnmUm_UPoNangauA_7_5"/>
      <w:bookmarkStart w:id="1442" w:name="Tc_FuvqUMG5-0WIETjvXNS3Og_7_2"/>
      <w:bookmarkStart w:id="1443" w:name="Tc_sblFKzVc2kmwuAP9TOA9bQ_7_0"/>
      <w:bookmarkStart w:id="1444" w:name="Tc_nibBZTvyfk-4xx9XWNhjEw_6_0"/>
      <w:bookmarkStart w:id="1445" w:name="Tc_pM27nrZXJES45h1sqfo2EQ_5_0"/>
      <w:bookmarkStart w:id="1446" w:name="Tc_j-FeZnAFSkC9nfOtCEGKsg_4_5"/>
      <w:bookmarkStart w:id="1447" w:name="Tc_jfwTIB0MxEq09hdsgVxcQA_4_2"/>
      <w:bookmarkStart w:id="1448" w:name="Tc_Gw6uI9wonEijGuRZEliC6g_4_0"/>
      <w:bookmarkStart w:id="1449" w:name="Tc_AqZbgDTfRUqJnYd2MzLW_Q_3_0"/>
      <w:bookmarkStart w:id="1450" w:name="Tc_Baz6XH3gw0alen6kJOAW-g_2_5"/>
      <w:bookmarkStart w:id="1451" w:name="Tc_0kneodliL0eu2eoXBoLSeg_2_2"/>
      <w:bookmarkStart w:id="1452" w:name="Tc_iRi1Mud3PEKuHShhjwbCxA_1_2"/>
      <w:bookmarkStart w:id="1453" w:name="_6c0c659d_6ebf_4155_a98d_c909bf6d83ac"/>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rFonts w:ascii="Times New Roman;Times;serif" w:hAnsi="Times New Roman;Times;serif"/>
          <w:sz w:val="20"/>
        </w:rPr>
        <w:t>Identifiable assets of each segment as of September 30, 2024 and December 31, 2023 are as follows (in thousands):</w:t>
      </w:r>
    </w:p>
    <w:tbl>
      <w:tblPr>
        <w:tblW w:w="6774" w:type="dxa"/>
        <w:jc w:val="left"/>
        <w:tblInd w:w="0" w:type="dxa"/>
        <w:tblLayout w:type="fixed"/>
        <w:tblCellMar>
          <w:top w:w="0" w:type="dxa"/>
          <w:left w:w="0" w:type="dxa"/>
          <w:bottom w:w="0" w:type="dxa"/>
          <w:right w:w="0" w:type="dxa"/>
        </w:tblCellMar>
      </w:tblPr>
      <w:tblGrid>
        <w:gridCol w:w="3016"/>
        <w:gridCol w:w="109"/>
        <w:gridCol w:w="375"/>
        <w:gridCol w:w="1395"/>
        <w:gridCol w:w="109"/>
        <w:gridCol w:w="340"/>
        <w:gridCol w:w="1430"/>
      </w:tblGrid>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38125" cy="175260"/>
                      <wp:effectExtent l="0" t="0" r="0" b="0"/>
                      <wp:wrapNone/>
                      <wp:docPr id="350" name="Frame35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885825" cy="175260"/>
                      <wp:effectExtent l="0" t="0" r="0" b="0"/>
                      <wp:wrapNone/>
                      <wp:docPr id="351" name="Frame351"/>
                      <a:graphic xmlns:a="http://schemas.openxmlformats.org/drawingml/2006/main">
                        <a:graphicData uri="http://schemas.microsoft.com/office/word/2010/wordprocessingShape">
                          <wps:wsp>
                            <wps:cNvSpPr txBox="1"/>
                            <wps:spPr>
                              <a:xfrm>
                                <a:off x="0" y="0"/>
                                <a:ext cx="885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5900" cy="175260"/>
                      <wp:effectExtent l="0" t="0" r="0" b="0"/>
                      <wp:wrapNone/>
                      <wp:docPr id="353" name="Frame35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908050" cy="175260"/>
                      <wp:effectExtent l="0" t="0" r="0" b="0"/>
                      <wp:wrapNone/>
                      <wp:docPr id="354" name="Frame354"/>
                      <a:graphic xmlns:a="http://schemas.openxmlformats.org/drawingml/2006/main">
                        <a:graphicData uri="http://schemas.microsoft.com/office/word/2010/wordprocessingShape">
                          <wps:wsp>
                            <wps:cNvSpPr txBox="1"/>
                            <wps:spPr>
                              <a:xfrm>
                                <a:off x="0" y="0"/>
                                <a:ext cx="908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30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right"/>
              <w:rPr/>
            </w:pPr>
            <w:r>
              <w:rPr/>
              <w:t>​</w:t>
            </w:r>
          </w:p>
        </w:tc>
        <w:tc>
          <w:tcPr>
            <w:tcW w:w="17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Identifiable Assets: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9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Properties</w:t>
            </w:r>
          </w:p>
        </w:tc>
        <w:tc>
          <w:tcPr>
            <w:tcW w:w="109"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456,650</w:t>
            </w:r>
          </w:p>
        </w:tc>
        <w:tc>
          <w:tcPr>
            <w:tcW w:w="109" w:type="dxa"/>
            <w:tcBorders/>
            <w:vAlign w:val="center"/>
          </w:tcPr>
          <w:p>
            <w:pPr>
              <w:pStyle w:val="TableContents"/>
              <w:bidi w:val="0"/>
              <w:spacing w:before="0" w:after="1"/>
              <w:ind w:left="0" w:right="0" w:hanging="0"/>
              <w:jc w:val="right"/>
              <w:rPr/>
            </w:pPr>
            <w:r>
              <w:rPr/>
              <w:t>​</w:t>
            </w:r>
          </w:p>
        </w:tc>
        <w:tc>
          <w:tcPr>
            <w:tcW w:w="34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503,151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left"/>
              <w:rPr/>
            </w:pPr>
            <w:r>
              <w:rPr/>
              <w:t>​</w:t>
            </w:r>
          </w:p>
        </w:tc>
        <w:tc>
          <w:tcPr>
            <w:tcW w:w="13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89,965</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37,384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109" w:type="dxa"/>
            <w:tcBorders/>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32,371</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4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24,025</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1"/>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39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578,986</w:t>
            </w:r>
          </w:p>
        </w:tc>
        <w:tc>
          <w:tcPr>
            <w:tcW w:w="109" w:type="dxa"/>
            <w:tcBorders/>
            <w:shd w:fill="CCEEFF" w:val="clear"/>
            <w:vAlign w:val="center"/>
          </w:tcPr>
          <w:p>
            <w:pPr>
              <w:pStyle w:val="TableContents"/>
              <w:bidi w:val="0"/>
              <w:spacing w:before="0" w:after="1"/>
              <w:ind w:left="0" w:right="0" w:hanging="0"/>
              <w:jc w:val="righ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564,560</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Operating income represents income from continuing operations before interest expense, and investment and other income. General and corporate expenses are an aggregate of general and administrative expenses and depreciation and amortization expense. Identifiable assets by segment are those assets that are used in the Company’s operations in each segment. Corporate and other assets consist primarily of cash and restricted cash as well as the interest rate swaps.</w:t>
      </w:r>
    </w:p>
    <w:p>
      <w:pPr>
        <w:pStyle w:val="TextBody"/>
        <w:bidi w:val="0"/>
        <w:spacing w:before="0" w:after="240"/>
        <w:ind w:left="0" w:right="0" w:hanging="0"/>
        <w:jc w:val="left"/>
        <w:rPr/>
      </w:pPr>
      <w:r>
        <w:rPr/>
        <w:t>​</w:t>
      </w:r>
    </w:p>
    <w:p>
      <w:pPr>
        <w:pStyle w:val="TextBody"/>
        <w:bidi w:val="0"/>
        <w:spacing w:before="8" w:after="8"/>
        <w:ind w:left="0" w:right="0" w:hanging="0"/>
        <w:jc w:val="left"/>
        <w:rPr>
          <w:rFonts w:ascii="Times New Roman;Times;serif" w:hAnsi="Times New Roman;Times;serif"/>
          <w:b/>
          <w:sz w:val="20"/>
        </w:rPr>
      </w:pPr>
      <w:r>
        <w:rPr>
          <w:rFonts w:ascii="Times New Roman;Times;serif" w:hAnsi="Times New Roman;Times;serif"/>
          <w:b/>
          <w:sz w:val="20"/>
        </w:rPr>
        <w:t>NOTE 22. SUBSEQUENT EVENTS</w:t>
      </w:r>
    </w:p>
    <w:p>
      <w:pPr>
        <w:pStyle w:val="TextBody"/>
        <w:bidi w:val="0"/>
        <w:spacing w:before="0" w:after="240"/>
        <w:ind w:left="0" w:right="0" w:hanging="0"/>
        <w:jc w:val="left"/>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Subsequent events and transactions were evaluated through October 17, 2024, the date the consolidated financial statements were issued.</w:t>
      </w:r>
    </w:p>
    <w:p>
      <w:pPr>
        <w:pStyle w:val="TextBody"/>
        <w:bidi w:val="0"/>
        <w:spacing w:before="0" w:after="0"/>
        <w:ind w:left="0" w:right="0" w:hanging="0"/>
        <w:jc w:val="left"/>
        <w:rPr/>
      </w:pPr>
      <w:r>
        <w:rPr/>
        <w:t>​</w:t>
      </w:r>
    </w:p>
    <w:p>
      <w:pPr>
        <w:pStyle w:val="TextBody"/>
        <w:bidi w:val="0"/>
        <w:spacing w:before="0" w:after="0"/>
        <w:ind w:left="0" w:right="0" w:hanging="0"/>
        <w:jc w:val="both"/>
        <w:rPr/>
      </w:pPr>
      <w:bookmarkStart w:id="1454" w:name="_634112fd_7776_42fd_9e27_54af383c4ab3"/>
      <w:bookmarkEnd w:id="1454"/>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455" w:name="ITEM2MANAGEMENTSDISCUSSIONANDANALYSIS"/>
      <w:bookmarkEnd w:id="1455"/>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“Item 1A. Risk Factors” of the Company’s Annual Report on Form 10-K for the year ended December 31, 2023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Alpine Income Property Trust, Inc. is a Maryland corporation that conducts its operations so as to qualify as a REIT for U.S. federal income tax purposes. Substantially all of our operations are conducted through our Operating Partnership.</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nine months ended September 30, 2024, the Company acquired six properties for a combined purchase price of $53.1 million, or a cost of $53.2 million including capitalized acquisition costs. Of the six properties acquired, the three Tampa Properties (previously defined in Note 1, “Business and Organization”), which were purchased during the three months ended September 30,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 During the nine months ended September 30, 2024, the Company sold 10 properties for an aggregate sales price of $55.2 million, generating aggregate gains on sale of $4.3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2024, we owned 133 properties, including the three properties classified as commercial loans and investments, with an aggregate gross leasable area of 3.6 million square feet, located in 34 states, with a weighted average remaining lease term of 8.8 years. Our portfolio was 99% occupied as of September 30, 2024.</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September 30, 2024, the Company’s commercial loan investments portfolio had a total carrying value of $86.5 million and was comprised of five construction loans, one mortgage note, and three properties acquired pursuant to a sale-leaseback transaction whereby the tenant has a future repurchase right.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pStyle w:val="TextBody"/>
        <w:bidi w:val="0"/>
        <w:spacing w:before="0" w:after="0"/>
        <w:ind w:left="0" w:right="0" w:firstLine="360"/>
        <w:jc w:val="both"/>
        <w:rPr/>
      </w:pPr>
      <w:r>
        <w:rPr/>
        <w:t>​</w:t>
      </w:r>
    </w:p>
    <w:p>
      <w:pPr>
        <w:pStyle w:val="TextBody"/>
        <w:bidi w:val="0"/>
        <w:spacing w:before="0" w:after="0"/>
        <w:ind w:left="0" w:right="0" w:hanging="0"/>
        <w:jc w:val="both"/>
        <w:rPr/>
      </w:pPr>
      <w:bookmarkStart w:id="1456" w:name="_225ff379_e074_47fa_86f7_ad1c73afc869"/>
      <w:bookmarkEnd w:id="1456"/>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THREE MONTHS ENDED SEPTEMBER 30, 2024 AND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three months ended September 30, 2024, as compared to the three months ended September 30, 2023 (in thousands):  </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770"/>
        <w:gridCol w:w="109"/>
        <w:gridCol w:w="394"/>
        <w:gridCol w:w="1343"/>
        <w:gridCol w:w="109"/>
        <w:gridCol w:w="394"/>
        <w:gridCol w:w="1343"/>
        <w:gridCol w:w="109"/>
        <w:gridCol w:w="283"/>
        <w:gridCol w:w="903"/>
        <w:gridCol w:w="109"/>
        <w:gridCol w:w="1339"/>
      </w:tblGrid>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50190" cy="175260"/>
                      <wp:effectExtent l="0" t="0" r="0" b="0"/>
                      <wp:wrapNone/>
                      <wp:docPr id="356" name="Frame35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852805" cy="175260"/>
                      <wp:effectExtent l="0" t="0" r="0" b="0"/>
                      <wp:wrapNone/>
                      <wp:docPr id="357" name="Frame357"/>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50190" cy="175260"/>
                      <wp:effectExtent l="0" t="0" r="0" b="0"/>
                      <wp:wrapNone/>
                      <wp:docPr id="359" name="Frame359"/>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852805" cy="175260"/>
                      <wp:effectExtent l="0" t="0" r="0" b="0"/>
                      <wp:wrapNone/>
                      <wp:docPr id="360" name="Frame360"/>
                      <a:graphic xmlns:a="http://schemas.openxmlformats.org/drawingml/2006/main">
                        <a:graphicData uri="http://schemas.microsoft.com/office/word/2010/wordprocessingShape">
                          <wps:wsp>
                            <wps:cNvSpPr txBox="1"/>
                            <wps:spPr>
                              <a:xfrm>
                                <a:off x="0" y="0"/>
                                <a:ext cx="852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79705" cy="175260"/>
                      <wp:effectExtent l="0" t="0" r="0" b="0"/>
                      <wp:wrapNone/>
                      <wp:docPr id="362" name="Frame36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73405" cy="175260"/>
                      <wp:effectExtent l="0" t="0" r="0" b="0"/>
                      <wp:wrapNone/>
                      <wp:docPr id="363" name="Frame363"/>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850265" cy="175260"/>
                      <wp:effectExtent l="0" t="0" r="0" b="0"/>
                      <wp:wrapNone/>
                      <wp:docPr id="365" name="Frame365"/>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7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r>
          </w:p>
        </w:tc>
        <w:tc>
          <w:tcPr>
            <w:tcW w:w="109" w:type="dxa"/>
            <w:tcBorders/>
            <w:vAlign w:val="center"/>
          </w:tcPr>
          <w:p>
            <w:pPr>
              <w:pStyle w:val="TableContents"/>
              <w:bidi w:val="0"/>
              <w:spacing w:before="0" w:after="0"/>
              <w:ind w:left="0" w:right="0" w:hanging="0"/>
              <w:jc w:val="left"/>
              <w:rPr/>
            </w:pPr>
            <w:r>
              <w:rPr/>
              <w:t>​</w:t>
            </w:r>
          </w:p>
        </w:tc>
        <w:tc>
          <w:tcPr>
            <w:tcW w:w="2634" w:type="dxa"/>
            <w:gridSpan w:val="4"/>
            <w:tcBorders/>
            <w:vAlign w:val="center"/>
          </w:tcPr>
          <w:p>
            <w:pPr>
              <w:pStyle w:val="TableContents"/>
              <w:bidi w:val="0"/>
              <w:spacing w:before="0" w:after="0"/>
              <w:ind w:left="0" w:right="0" w:hanging="0"/>
              <w:jc w:val="center"/>
              <w:rPr/>
            </w:pPr>
            <w:r>
              <w:rPr/>
              <w:t>​</w:t>
            </w:r>
          </w:p>
        </w:tc>
      </w:tr>
      <w:tr>
        <w:trPr/>
        <w:tc>
          <w:tcPr>
            <w:tcW w:w="3770"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2024</w:t>
            </w:r>
          </w:p>
        </w:tc>
        <w:tc>
          <w:tcPr>
            <w:tcW w:w="109" w:type="dxa"/>
            <w:tcBorders/>
            <w:vAlign w:val="center"/>
          </w:tcPr>
          <w:p>
            <w:pPr>
              <w:pStyle w:val="TableContents"/>
              <w:bidi w:val="0"/>
              <w:spacing w:before="0" w:after="0"/>
              <w:ind w:left="0" w:right="0" w:hanging="0"/>
              <w:jc w:val="left"/>
              <w:rPr/>
            </w:pPr>
            <w:r>
              <w:rPr/>
              <w:t>​</w:t>
            </w:r>
          </w:p>
        </w:tc>
        <w:tc>
          <w:tcPr>
            <w:tcW w:w="1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2023</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13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center"/>
              <w:rPr/>
            </w:pPr>
            <w:r>
              <w:rPr/>
              <w:t>​</w:t>
            </w:r>
          </w:p>
        </w:tc>
        <w:tc>
          <w:tcPr>
            <w:tcW w:w="134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left"/>
              <w:rPr/>
            </w:pPr>
            <w:r>
              <w:rPr/>
              <w:t>​</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11,718</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11,447</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271</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1,663</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1,551</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1384.8%</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13,480</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11,559</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1,921</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16.6%</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left"/>
              <w:rPr/>
            </w:pPr>
            <w:r>
              <w:rPr/>
              <w:t>​</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1,841</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1,722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119</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1,843</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1,652</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191</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422</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2,864</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(2,442)</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(85.3%)</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6,340</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6,528</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(188)</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10,446</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12,766</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(2,320)</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(18.2%)</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3,426</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2,586</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840</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32.5%</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6,460</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134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1,379</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5,081</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368.5%</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125</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(64)</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(51.2%)</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(3,167)</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(2,443)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(724)</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(29.6%)</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3,354</w:t>
            </w:r>
          </w:p>
        </w:tc>
        <w:tc>
          <w:tcPr>
            <w:tcW w:w="109"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pPr>
            <w:r>
              <w:rPr/>
              <w:t>​</w:t>
            </w:r>
          </w:p>
        </w:tc>
        <w:tc>
          <w:tcPr>
            <w:tcW w:w="134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(939)</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4,293</w:t>
            </w:r>
          </w:p>
        </w:tc>
        <w:tc>
          <w:tcPr>
            <w:tcW w:w="109"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457.2%</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(274)</w:t>
            </w:r>
          </w:p>
        </w:tc>
        <w:tc>
          <w:tcPr>
            <w:tcW w:w="109" w:type="dxa"/>
            <w:tcBorders/>
            <w:shd w:fill="CCEEFF" w:val="clear"/>
            <w:vAlign w:val="center"/>
          </w:tcPr>
          <w:p>
            <w:pPr>
              <w:pStyle w:val="TableContents"/>
              <w:bidi w:val="0"/>
              <w:spacing w:before="0" w:after="0"/>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(376)</w:t>
            </w:r>
          </w:p>
        </w:tc>
        <w:tc>
          <w:tcPr>
            <w:tcW w:w="109" w:type="dxa"/>
            <w:tcBorders/>
            <w:shd w:fill="CCEEFF" w:val="cle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(368.6%)</w:t>
            </w:r>
          </w:p>
        </w:tc>
      </w:tr>
      <w:tr>
        <w:trPr/>
        <w:tc>
          <w:tcPr>
            <w:tcW w:w="377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3,080</w:t>
            </w:r>
          </w:p>
        </w:tc>
        <w:tc>
          <w:tcPr>
            <w:tcW w:w="109" w:type="dxa"/>
            <w:tcBorders/>
            <w:vAlign w:val="center"/>
          </w:tcPr>
          <w:p>
            <w:pPr>
              <w:pStyle w:val="TableContents"/>
              <w:bidi w:val="0"/>
              <w:spacing w:before="0" w:after="0"/>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(837)</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3,917</w:t>
            </w:r>
          </w:p>
        </w:tc>
        <w:tc>
          <w:tcPr>
            <w:tcW w:w="109" w:type="dxa"/>
            <w:tcBorders/>
            <w:vAlign w:val="center"/>
          </w:tcPr>
          <w:p>
            <w:pPr>
              <w:pStyle w:val="TableContents"/>
              <w:bidi w:val="0"/>
              <w:spacing w:before="0" w:after="0"/>
              <w:ind w:left="0" w:right="0" w:hanging="0"/>
              <w:jc w:val="left"/>
              <w:rPr/>
            </w:pPr>
            <w:r>
              <w:rPr/>
              <w:t>​</w:t>
            </w:r>
          </w:p>
        </w:tc>
        <w:tc>
          <w:tcPr>
            <w:tcW w:w="1339"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468.0%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property operations totaled $11.7 million and $11.4 million during the three months ended September 30, 2024 and 2023, respectively. The $0.3 million increase in lease income is primarily attributable to an increase in reimbursable revenue. The direct costs of revenues for our income properties totaled $1.8 million and $1.7 million during the three months ended September 30, 2024 and 2023, respectively. The $0.1 million increase in the direct cost of revenues is reflective of increased reimbursable expenses.</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Commercial Loans and Investments </w:t>
      </w:r>
    </w:p>
    <w:p>
      <w:pPr>
        <w:pStyle w:val="TextBody"/>
        <w:bidi w:val="0"/>
        <w:spacing w:before="0" w:after="0"/>
        <w:ind w:left="0" w:right="0" w:firstLine="360"/>
        <w:jc w:val="both"/>
        <w:rPr/>
      </w:pPr>
      <w:r>
        <w:rPr/>
        <w:t>​</w:t>
      </w:r>
    </w:p>
    <w:p>
      <w:pPr>
        <w:pStyle w:val="TextBody"/>
        <w:bidi w:val="0"/>
        <w:spacing w:before="0" w:after="0"/>
        <w:ind w:left="0" w:right="0" w:firstLine="432"/>
        <w:jc w:val="both"/>
        <w:rPr>
          <w:rFonts w:ascii="Times New Roman;Times;serif" w:hAnsi="Times New Roman;Times;serif"/>
          <w:sz w:val="20"/>
        </w:rPr>
      </w:pPr>
      <w:r>
        <w:rPr>
          <w:rFonts w:ascii="Times New Roman;Times;serif" w:hAnsi="Times New Roman;Times;serif"/>
          <w:sz w:val="20"/>
        </w:rPr>
        <w:t xml:space="preserve">Interest income from commercial loans and investments totaled $1.7 million and $0.1 million for the three months ended September 30, 2024 and 2023, respectively. The increase in income is attributable to the expanded portfolio of commercial loans and investments which, as of September 30, 2024, was comprised of five construction loans, one mortgage note, and three properties acquired pursuant to a sale-leaseback transaction whereby the tenant has a future repurchase right. As of September 30, 2023, the Company had originated is first construction loan and there was only one loan generating interest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Other revenue totaled $0.1 million for the three months ended September 30, 2024. The revenue is attributable to fees earned from a revenue sharing agreement the Company entered into with CTO as further described in Note 19,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Party Management Company” in the Notes to the Financial Statements. There were no revenue sharing agreements generating income during the three months ended September 30, 2023.</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three months ended September 30, 2024, as compared to the three months ended September 30, 2023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12"/>
        <w:gridCol w:w="109"/>
        <w:gridCol w:w="476"/>
        <w:gridCol w:w="1291"/>
        <w:gridCol w:w="121"/>
        <w:gridCol w:w="476"/>
        <w:gridCol w:w="1291"/>
        <w:gridCol w:w="109"/>
        <w:gridCol w:w="345"/>
        <w:gridCol w:w="691"/>
        <w:gridCol w:w="109"/>
        <w:gridCol w:w="1175"/>
      </w:tblGrid>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9215" cy="175260"/>
                      <wp:effectExtent l="0" t="0" r="0" b="0"/>
                      <wp:wrapNone/>
                      <wp:docPr id="366" name="Frame3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02260" cy="175260"/>
                      <wp:effectExtent l="0" t="0" r="0" b="0"/>
                      <wp:wrapNone/>
                      <wp:docPr id="367" name="Frame36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819785" cy="175260"/>
                      <wp:effectExtent l="0" t="0" r="0" b="0"/>
                      <wp:wrapNone/>
                      <wp:docPr id="368" name="Frame368"/>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76835" cy="175260"/>
                      <wp:effectExtent l="0" t="0" r="0" b="0"/>
                      <wp:wrapNone/>
                      <wp:docPr id="369" name="Frame369"/>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02260" cy="175260"/>
                      <wp:effectExtent l="0" t="0" r="0" b="0"/>
                      <wp:wrapNone/>
                      <wp:docPr id="370" name="Frame370"/>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819785" cy="175260"/>
                      <wp:effectExtent l="0" t="0" r="0" b="0"/>
                      <wp:wrapNone/>
                      <wp:docPr id="371" name="Frame371"/>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075" cy="175260"/>
                      <wp:effectExtent l="0" t="0" r="0" b="0"/>
                      <wp:wrapNone/>
                      <wp:docPr id="373" name="Frame373"/>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746125" cy="175260"/>
                      <wp:effectExtent l="0" t="0" r="0" b="0"/>
                      <wp:wrapNone/>
                      <wp:docPr id="376" name="Frame376"/>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left"/>
              <w:rPr/>
            </w:pPr>
            <w:r>
              <w:rPr/>
              <w:t>​</w:t>
            </w:r>
          </w:p>
        </w:tc>
      </w:tr>
      <w:tr>
        <w:trPr/>
        <w:tc>
          <w:tcPr>
            <w:tcW w:w="401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21" w:type="dxa"/>
            <w:tcBorders/>
            <w:vAlign w:val="center"/>
          </w:tcPr>
          <w:p>
            <w:pPr>
              <w:pStyle w:val="TableContents"/>
              <w:bidi w:val="0"/>
              <w:spacing w:before="0" w:after="0"/>
              <w:ind w:left="0" w:right="0" w:hanging="0"/>
              <w:jc w:val="left"/>
              <w:rPr/>
            </w:pPr>
            <w:r>
              <w:rPr/>
              <w:t>​</w:t>
            </w:r>
          </w:p>
        </w:tc>
        <w:tc>
          <w:tcPr>
            <w:tcW w:w="1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109" w:type="dxa"/>
            <w:tcBorders/>
            <w:shd w:fill="CCEEFF" w:val="clear"/>
            <w:vAlign w:val="center"/>
          </w:tcPr>
          <w:p>
            <w:pPr>
              <w:pStyle w:val="TableContents"/>
              <w:bidi w:val="0"/>
              <w:spacing w:before="0" w:after="0"/>
              <w:ind w:left="0" w:right="0" w:hanging="0"/>
              <w:jc w:val="center"/>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01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21"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0"/>
              <w:ind w:left="0" w:right="0" w:hanging="0"/>
              <w:jc w:val="center"/>
              <w:rPr/>
            </w:pPr>
            <w:r>
              <w:rPr/>
              <w:t>​</w:t>
            </w:r>
          </w:p>
        </w:tc>
        <w:tc>
          <w:tcPr>
            <w:tcW w:w="345"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40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121"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vAlign w:val="center"/>
          </w:tcPr>
          <w:p>
            <w:pPr>
              <w:pStyle w:val="TableContents"/>
              <w:bidi w:val="0"/>
              <w:spacing w:before="0" w:after="0"/>
              <w:ind w:left="0" w:right="0" w:hanging="0"/>
              <w:jc w:val="righ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109" w:type="dxa"/>
            <w:tcBorders/>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40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121"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c>
          <w:tcPr>
            <w:tcW w:w="109" w:type="dxa"/>
            <w:tcBorders/>
            <w:shd w:fill="CCEEFF" w:val="clear"/>
            <w:vAlign w:val="center"/>
          </w:tcPr>
          <w:p>
            <w:pPr>
              <w:pStyle w:val="TableContents"/>
              <w:bidi w:val="0"/>
              <w:spacing w:before="0" w:after="0"/>
              <w:ind w:left="0" w:right="0" w:hanging="0"/>
              <w:jc w:val="righ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$1.8 million and $1.6 million during the three months ended September 30, 2024 and 2023, respectively. The $0.2 million increase is primarily the result of a $0.2 million increase in corporate legal and consulting fees.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three months ended September 30, 2024, the Company recorded a $0.4 million impairment charge which represents the current expected credit losses (“CECL”) reserve related to our commercial loans and investments. During the three months ended September 30, 2023, </w:t>
      </w:r>
      <w:r>
        <w:rPr>
          <w:rFonts w:ascii="Times New Roman;Times;serif" w:hAnsi="Times New Roman;Times;serif"/>
          <w:color w:val="212529"/>
          <w:sz w:val="20"/>
          <w:shd w:fill="FFFFFF" w:val="clear"/>
        </w:rPr>
        <w:t>the Company recorded a $2.9 million impairment charge representing the provision for losses related to our income properties as further described in Note 7, “Provision for Impairment”.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Depreciation and amortization expense totaled $6.3 million and $6.5 million during the three months ended September 30, 2024 and 2023, respectively. The decrease in depreciation and amortization expense is partially due to three properties acquired during the three months ended September 30, 2024, pursuant to a sale-leaseback transaction whereby the tenant has a future repurchase right, whereby no depreciation and amortization is recognized on the $31.4 million investment due to their classification as commercial loans and investment.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three months ended September 30, 2024, the Company sold eight properties for an aggregate sales price of $48.6 million, generating aggregate gains on sale of $3.4 million. During the three months ended September 30, 2023, the Company sold eight properties for an aggregate sales price of $20.6 million, generating aggregate gains on sale of $2.6 million.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Investment and other income totaled $0.1 million during the three months ended September 30, 2024 and 2023. Investment and other income is attributable to interest earned on bank deposits.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$3.2 million and $2.4 million during the three months ended September 30, 2024 and 2023, respectively. The $0.8 million increase in interest expense is attributable to the higher average outstanding debt balance for increased interest expense of $0.4 million as well as $0.3 million of interest expense resulting from the sale of participation interest in the Company’s $23.4 million Mortgage Note during the three months ended September 30,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Net Income (Loss)</w:t>
      </w:r>
    </w:p>
    <w:p>
      <w:pPr>
        <w:pStyle w:val="TextBody"/>
        <w:bidi w:val="0"/>
        <w:spacing w:before="0" w:after="0"/>
        <w:ind w:left="0" w:right="0" w:firstLine="49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$3.4 million during the three months ended September 30, 2024 as compared to a net loss of $0.9 million during the three months ended September 30, 2023. The $4.3 million increase in net income is attributable to the factors described above, most notably the decrease in the provision for impairment of $2.4 million and the increase in the gain on disposition of assets of $0.8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COMPARISON OF THE NINE MONTHS ENDED SEPTEMBER 30, 2024 AND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presents the Company’s results of operations for the nine months ended September 30, 2024, as compared to the nine months ended September 30, 2023 (in thousands):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719"/>
        <w:gridCol w:w="109"/>
        <w:gridCol w:w="400"/>
        <w:gridCol w:w="1363"/>
        <w:gridCol w:w="109"/>
        <w:gridCol w:w="400"/>
        <w:gridCol w:w="1363"/>
        <w:gridCol w:w="109"/>
        <w:gridCol w:w="283"/>
        <w:gridCol w:w="903"/>
        <w:gridCol w:w="109"/>
        <w:gridCol w:w="1338"/>
      </w:tblGrid>
      <w:tr>
        <w:trPr/>
        <w:tc>
          <w:tcPr>
            <w:tcW w:w="3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54000" cy="175260"/>
                      <wp:effectExtent l="0" t="0" r="0" b="0"/>
                      <wp:wrapNone/>
                      <wp:docPr id="378" name="Frame37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865505" cy="175260"/>
                      <wp:effectExtent l="0" t="0" r="0" b="0"/>
                      <wp:wrapNone/>
                      <wp:docPr id="379" name="Frame379"/>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54000" cy="175260"/>
                      <wp:effectExtent l="0" t="0" r="0" b="0"/>
                      <wp:wrapNone/>
                      <wp:docPr id="381" name="Frame38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865505" cy="175260"/>
                      <wp:effectExtent l="0" t="0" r="0" b="0"/>
                      <wp:wrapNone/>
                      <wp:docPr id="382" name="Frame382"/>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9215" cy="175260"/>
                      <wp:effectExtent l="0" t="0" r="0" b="0"/>
                      <wp:wrapNone/>
                      <wp:docPr id="383" name="Frame3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79705" cy="175260"/>
                      <wp:effectExtent l="0" t="0" r="0" b="0"/>
                      <wp:wrapNone/>
                      <wp:docPr id="384" name="Frame38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73405" cy="175260"/>
                      <wp:effectExtent l="0" t="0" r="0" b="0"/>
                      <wp:wrapNone/>
                      <wp:docPr id="385" name="Frame385"/>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849630" cy="175260"/>
                      <wp:effectExtent l="0" t="0" r="0" b="0"/>
                      <wp:wrapNone/>
                      <wp:docPr id="387" name="Frame387"/>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r>
          </w:p>
        </w:tc>
        <w:tc>
          <w:tcPr>
            <w:tcW w:w="109" w:type="dxa"/>
            <w:tcBorders/>
            <w:vAlign w:val="center"/>
          </w:tcPr>
          <w:p>
            <w:pPr>
              <w:pStyle w:val="TableContents"/>
              <w:bidi w:val="0"/>
              <w:spacing w:before="0" w:after="0"/>
              <w:ind w:left="0" w:right="0" w:hanging="0"/>
              <w:jc w:val="left"/>
              <w:rPr/>
            </w:pPr>
            <w:r>
              <w:rPr/>
              <w:t>​</w:t>
            </w:r>
          </w:p>
        </w:tc>
        <w:tc>
          <w:tcPr>
            <w:tcW w:w="2633" w:type="dxa"/>
            <w:gridSpan w:val="4"/>
            <w:tcBorders/>
            <w:vAlign w:val="center"/>
          </w:tcPr>
          <w:p>
            <w:pPr>
              <w:pStyle w:val="TableContents"/>
              <w:bidi w:val="0"/>
              <w:spacing w:before="0" w:after="0"/>
              <w:ind w:left="0" w:right="0" w:hanging="0"/>
              <w:jc w:val="center"/>
              <w:rPr/>
            </w:pPr>
            <w:r>
              <w:rPr/>
              <w:t>​</w:t>
            </w:r>
          </w:p>
        </w:tc>
      </w:tr>
      <w:tr>
        <w:trPr/>
        <w:tc>
          <w:tcPr>
            <w:tcW w:w="3719"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2024</w:t>
            </w:r>
          </w:p>
        </w:tc>
        <w:tc>
          <w:tcPr>
            <w:tcW w:w="109" w:type="dxa"/>
            <w:tcBorders/>
            <w:vAlign w:val="center"/>
          </w:tcPr>
          <w:p>
            <w:pPr>
              <w:pStyle w:val="TableContents"/>
              <w:bidi w:val="0"/>
              <w:spacing w:before="0" w:after="0"/>
              <w:ind w:left="0" w:right="0" w:hanging="0"/>
              <w:jc w:val="left"/>
              <w:rPr/>
            </w:pPr>
            <w:r>
              <w:rPr/>
              <w:t>​</w:t>
            </w:r>
          </w:p>
        </w:tc>
        <w:tc>
          <w:tcPr>
            <w:tcW w:w="1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September 30, 2023</w:t>
            </w:r>
          </w:p>
        </w:tc>
        <w:tc>
          <w:tcPr>
            <w:tcW w:w="109"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c>
          <w:tcPr>
            <w:tcW w:w="109" w:type="dxa"/>
            <w:tcBorders/>
            <w:vAlign w:val="center"/>
          </w:tcPr>
          <w:p>
            <w:pPr>
              <w:pStyle w:val="TableContents"/>
              <w:bidi w:val="0"/>
              <w:spacing w:before="0" w:after="0"/>
              <w:ind w:left="0" w:right="0" w:hanging="0"/>
              <w:jc w:val="center"/>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Variance</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center"/>
              <w:rPr/>
            </w:pPr>
            <w:r>
              <w:rPr/>
              <w:t>​</w:t>
            </w:r>
          </w:p>
        </w:tc>
        <w:tc>
          <w:tcPr>
            <w:tcW w:w="13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center"/>
              <w:rPr/>
            </w:pPr>
            <w:r>
              <w:rPr/>
              <w:t>​</w:t>
            </w:r>
          </w:p>
        </w:tc>
        <w:tc>
          <w:tcPr>
            <w:tcW w:w="136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3" w:type="dxa"/>
            <w:tcBorders/>
            <w:shd w:fill="CCEEFF" w:val="clear"/>
            <w:vAlign w:val="center"/>
          </w:tcPr>
          <w:p>
            <w:pPr>
              <w:pStyle w:val="TableContents"/>
              <w:bidi w:val="0"/>
              <w:spacing w:before="0" w:after="0"/>
              <w:ind w:left="0" w:right="0" w:hanging="0"/>
              <w:jc w:val="center"/>
              <w:rPr/>
            </w:pPr>
            <w:r>
              <w:rPr/>
              <w:t>​</w:t>
            </w:r>
          </w:p>
        </w:tc>
        <w:tc>
          <w:tcPr>
            <w:tcW w:w="90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left"/>
              <w:rPr/>
            </w:pPr>
            <w:r>
              <w:rPr/>
              <w:t>​</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Lease Income</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34,512</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33,951</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561</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3,552</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3,440</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3071.4%</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Revenue</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372</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372</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38,436</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34,063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4,373</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12.8%</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Operating Expenses: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left"/>
              <w:rPr/>
            </w:pPr>
            <w:r>
              <w:rPr/>
              <w:t>​</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5,569</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4,731</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838</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17.7%</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4,987</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4,823</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164</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Provision for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1,110</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2,864</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(1,754)</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(61.2%)</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19,074</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19,286</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(212)</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30,740</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31,704</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(964)</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Disposition of Assets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4,344</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7,782</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(3,438)</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(44.2%)</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Gain on Extinguishment of Debt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(23)</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(100.0%)</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from Operations</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12,040</w:t>
            </w:r>
          </w:p>
        </w:tc>
        <w:tc>
          <w:tcPr>
            <w:tcW w:w="109" w:type="dxa"/>
            <w:tcBorders/>
            <w:vAlign w:val="center"/>
          </w:tcPr>
          <w:p>
            <w:pPr>
              <w:pStyle w:val="TableContents"/>
              <w:bidi w:val="0"/>
              <w:spacing w:before="0" w:after="0"/>
              <w:ind w:left="0" w:right="0" w:hanging="0"/>
              <w:jc w:val="left"/>
              <w:rPr/>
            </w:pPr>
            <w:r>
              <w:rPr/>
              <w:t>​</w:t>
            </w:r>
          </w:p>
        </w:tc>
        <w:tc>
          <w:tcPr>
            <w:tcW w:w="400" w:type="dxa"/>
            <w:tcBorders/>
            <w:vAlign w:val="center"/>
          </w:tcPr>
          <w:p>
            <w:pPr>
              <w:pStyle w:val="TableContents"/>
              <w:bidi w:val="0"/>
              <w:spacing w:before="0" w:after="0"/>
              <w:ind w:left="0" w:right="0" w:hanging="0"/>
              <w:jc w:val="lef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10,164</w:t>
            </w:r>
          </w:p>
        </w:tc>
        <w:tc>
          <w:tcPr>
            <w:tcW w:w="109" w:type="dxa"/>
            <w:tcBorders/>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left"/>
              <w:rPr/>
            </w:pPr>
            <w:r>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1,876</w:t>
            </w:r>
          </w:p>
        </w:tc>
        <w:tc>
          <w:tcPr>
            <w:tcW w:w="109" w:type="dxa"/>
            <w:tcBorders/>
            <w:vAlign w:val="center"/>
          </w:tcPr>
          <w:p>
            <w:pPr>
              <w:pStyle w:val="TableContents"/>
              <w:bidi w:val="0"/>
              <w:spacing w:before="0" w:after="0"/>
              <w:ind w:left="0" w:right="0" w:hanging="0"/>
              <w:jc w:val="left"/>
              <w:rPr/>
            </w:pPr>
            <w:r>
              <w:rPr/>
              <w:t>​</w:t>
            </w:r>
          </w:p>
        </w:tc>
        <w:tc>
          <w:tcPr>
            <w:tcW w:w="13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18.5%</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and Other Income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186</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226</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(40)</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(17.7%)</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Expense</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(8,933)</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(7,494)</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(1,439)</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(19.2%)</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3,293</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2,896</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397</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13.7%</w:t>
            </w:r>
          </w:p>
        </w:tc>
      </w:tr>
      <w:tr>
        <w:trPr/>
        <w:tc>
          <w:tcPr>
            <w:tcW w:w="37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Less: Net Income Attributable to Noncontrolling Interest</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(269)</w:t>
            </w:r>
          </w:p>
        </w:tc>
        <w:tc>
          <w:tcPr>
            <w:tcW w:w="109" w:type="dxa"/>
            <w:tcBorders/>
            <w:vAlign w:val="center"/>
          </w:tcPr>
          <w:p>
            <w:pPr>
              <w:pStyle w:val="TableContents"/>
              <w:bidi w:val="0"/>
              <w:spacing w:before="0" w:after="0"/>
              <w:ind w:left="0" w:right="0" w:hanging="0"/>
              <w:jc w:val="left"/>
              <w:rPr/>
            </w:pPr>
            <w:r>
              <w:rPr/>
              <w:t>​</w:t>
            </w:r>
          </w:p>
        </w:tc>
        <w:tc>
          <w:tcPr>
            <w:tcW w:w="40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(314)</w:t>
            </w:r>
          </w:p>
        </w:tc>
        <w:tc>
          <w:tcPr>
            <w:tcW w:w="109" w:type="dxa"/>
            <w:tcBorders/>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45</w:t>
            </w:r>
          </w:p>
        </w:tc>
        <w:tc>
          <w:tcPr>
            <w:tcW w:w="109" w:type="dxa"/>
            <w:tcBorders/>
            <w:vAlign w:val="center"/>
          </w:tcPr>
          <w:p>
            <w:pPr>
              <w:pStyle w:val="TableContents"/>
              <w:bidi w:val="0"/>
              <w:spacing w:before="0" w:after="0"/>
              <w:ind w:left="0" w:right="0" w:hanging="0"/>
              <w:jc w:val="left"/>
              <w:rPr/>
            </w:pPr>
            <w:r>
              <w:rPr/>
              <w:t>​</w:t>
            </w:r>
          </w:p>
        </w:tc>
        <w:tc>
          <w:tcPr>
            <w:tcW w:w="13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14.3%</w:t>
            </w:r>
          </w:p>
        </w:tc>
      </w:tr>
      <w:tr>
        <w:trPr/>
        <w:tc>
          <w:tcPr>
            <w:tcW w:w="3719"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Attributable to Alpine Income Property Trust, Inc.</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3,024</w:t>
            </w:r>
          </w:p>
        </w:tc>
        <w:tc>
          <w:tcPr>
            <w:tcW w:w="109" w:type="dxa"/>
            <w:tcBorders/>
            <w:shd w:fill="CCEEFF" w:val="clear"/>
            <w:vAlign w:val="center"/>
          </w:tcPr>
          <w:p>
            <w:pPr>
              <w:pStyle w:val="TableContents"/>
              <w:bidi w:val="0"/>
              <w:spacing w:before="0" w:after="0"/>
              <w:ind w:left="0" w:right="0" w:hanging="0"/>
              <w:jc w:val="left"/>
              <w:rPr/>
            </w:pPr>
            <w:r>
              <w:rPr/>
              <w:t>​</w:t>
            </w:r>
          </w:p>
        </w:tc>
        <w:tc>
          <w:tcPr>
            <w:tcW w:w="4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1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2,582</w:t>
            </w:r>
          </w:p>
        </w:tc>
        <w:tc>
          <w:tcPr>
            <w:tcW w:w="109" w:type="dxa"/>
            <w:tcBorders/>
            <w:shd w:fill="CCEEFF" w:val="cle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9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442</w:t>
            </w:r>
          </w:p>
        </w:tc>
        <w:tc>
          <w:tcPr>
            <w:tcW w:w="109" w:type="dxa"/>
            <w:tcBorders/>
            <w:shd w:fill="CCEEFF" w:val="clear"/>
            <w:vAlign w:val="center"/>
          </w:tcPr>
          <w:p>
            <w:pPr>
              <w:pStyle w:val="TableContents"/>
              <w:bidi w:val="0"/>
              <w:spacing w:before="0" w:after="0"/>
              <w:ind w:left="0" w:right="0" w:hanging="0"/>
              <w:jc w:val="left"/>
              <w:rPr/>
            </w:pPr>
            <w:r>
              <w:rPr/>
              <w:t>​</w:t>
            </w:r>
          </w:p>
        </w:tc>
        <w:tc>
          <w:tcPr>
            <w:tcW w:w="1338"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17.1%</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 Income and Real Estate Expenses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our property operations during the nine months ended September 30, 2024 and 2023, totaled $34.5 million and $33.9 million, respectively. The $0.6 million increase in lease income is reflective of the Company’s volume of property acquisitions during the nine months ended September 30, 2024 and the year ended December 31, 2023, partially offset by property sales during the same period. The direct costs of revenues for our income properties totaled $5.5 million and $4.7 million during the nine months ended September 30, 2024 and 2023, respectively. The $0.8 million increase in the direct cost of revenues is reflective of increased reimbursable expenses as well as a portion of portfolio expenses being non-recoverable pursuant to tenant leases and certain vacancies in our properties currently held for sale.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Commercial Loans and Investments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from commercial loans and investments totaled $3.5 million and $0.1 million for the nine months ended September 30, 2024 and 2023, respectively. The increase in income is attributable to the expanded portfolio of commercial loans and investments which, as of September 30, 2024, was comprised of five construction loans, one mortgage note, and the three Tampa Properties which were acquired through a sale-leaseback transaction that includes a tenant repurchase option and are, for GAAP purposes, accounted for as a financing arrangement. As of September 30, 2023, the Company had originated its first construction loan and there was only one loan generating interest income.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Other Revenue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revenue totaled $0.4 million for the nine months ended September 30, 2024. The revenue is attributable to fees earned from a revenue sharing agreement the Company entered into with CTO as further described in Note 19, “Related Party Management Company” in the Notes to the Financial Statements. There were no revenue sharing agreements generating income during the nine months ended September 30, 2023.</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General and Administrative Expenses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represents the Company’s general and administrative expenses for the nine months ended September 30, 2024, as compared to the nine months ended September 30, 2023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18"/>
        <w:gridCol w:w="109"/>
        <w:gridCol w:w="476"/>
        <w:gridCol w:w="1292"/>
        <w:gridCol w:w="113"/>
        <w:gridCol w:w="476"/>
        <w:gridCol w:w="1292"/>
        <w:gridCol w:w="109"/>
        <w:gridCol w:w="315"/>
        <w:gridCol w:w="721"/>
        <w:gridCol w:w="109"/>
        <w:gridCol w:w="1175"/>
      </w:tblGrid>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02260" cy="175260"/>
                      <wp:effectExtent l="0" t="0" r="0" b="0"/>
                      <wp:wrapNone/>
                      <wp:docPr id="389" name="Frame389"/>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820420" cy="175260"/>
                      <wp:effectExtent l="0" t="0" r="0" b="0"/>
                      <wp:wrapNone/>
                      <wp:docPr id="390" name="Frame390"/>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71755" cy="175260"/>
                      <wp:effectExtent l="0" t="0" r="0" b="0"/>
                      <wp:wrapNone/>
                      <wp:docPr id="391" name="Frame391"/>
                      <a:graphic xmlns:a="http://schemas.openxmlformats.org/drawingml/2006/main">
                        <a:graphicData uri="http://schemas.microsoft.com/office/word/2010/wordprocessingShape">
                          <wps:wsp>
                            <wps:cNvSpPr txBox="1"/>
                            <wps:spPr>
                              <a:xfrm>
                                <a:off x="0" y="0"/>
                                <a:ext cx="71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02260" cy="175260"/>
                      <wp:effectExtent l="0" t="0" r="0" b="0"/>
                      <wp:wrapNone/>
                      <wp:docPr id="392" name="Frame392"/>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820420" cy="175260"/>
                      <wp:effectExtent l="0" t="0" r="0" b="0"/>
                      <wp:wrapNone/>
                      <wp:docPr id="393" name="Frame393"/>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9215" cy="175260"/>
                      <wp:effectExtent l="0" t="0" r="0" b="0"/>
                      <wp:wrapNone/>
                      <wp:docPr id="394" name="Frame3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00025" cy="175260"/>
                      <wp:effectExtent l="0" t="0" r="0" b="0"/>
                      <wp:wrapNone/>
                      <wp:docPr id="395" name="Frame395"/>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57835" cy="175260"/>
                      <wp:effectExtent l="0" t="0" r="0" b="0"/>
                      <wp:wrapNone/>
                      <wp:docPr id="396" name="Frame39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746125" cy="175260"/>
                      <wp:effectExtent l="0" t="0" r="0" b="0"/>
                      <wp:wrapNone/>
                      <wp:docPr id="398" name="Frame398"/>
                      <a:graphic xmlns:a="http://schemas.openxmlformats.org/drawingml/2006/main">
                        <a:graphicData uri="http://schemas.microsoft.com/office/word/2010/wordprocessingShape">
                          <wps:wsp>
                            <wps:cNvSpPr txBox="1"/>
                            <wps:spPr>
                              <a:xfrm>
                                <a:off x="0" y="0"/>
                                <a:ext cx="746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left"/>
              <w:rPr/>
            </w:pPr>
            <w:r>
              <w:rPr/>
              <w:t>​</w:t>
            </w:r>
          </w:p>
        </w:tc>
      </w:tr>
      <w:tr>
        <w:trPr/>
        <w:tc>
          <w:tcPr>
            <w:tcW w:w="40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13" w:type="dxa"/>
            <w:tcBorders/>
            <w:vAlign w:val="center"/>
          </w:tcPr>
          <w:p>
            <w:pPr>
              <w:pStyle w:val="TableContents"/>
              <w:bidi w:val="0"/>
              <w:spacing w:before="0" w:after="0"/>
              <w:ind w:left="0" w:right="0" w:hanging="0"/>
              <w:jc w:val="left"/>
              <w:rPr/>
            </w:pPr>
            <w:r>
              <w:rPr/>
              <w:t>​</w:t>
            </w:r>
          </w:p>
        </w:tc>
        <w:tc>
          <w:tcPr>
            <w:tcW w:w="1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c>
          <w:tcPr>
            <w:tcW w:w="109" w:type="dxa"/>
            <w:tcBorders/>
            <w:vAlign w:val="center"/>
          </w:tcPr>
          <w:p>
            <w:pPr>
              <w:pStyle w:val="TableContents"/>
              <w:bidi w:val="0"/>
              <w:spacing w:before="0" w:after="0"/>
              <w:ind w:left="0" w:right="0" w:hanging="0"/>
              <w:jc w:val="center"/>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Variance</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Fee to Manager</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3,142</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w:t>
            </w:r>
          </w:p>
        </w:tc>
        <w:tc>
          <w:tcPr>
            <w:tcW w:w="109" w:type="dxa"/>
            <w:tcBorders/>
            <w:shd w:fill="CCEEFF" w:val="clear"/>
            <w:vAlign w:val="center"/>
          </w:tcPr>
          <w:p>
            <w:pPr>
              <w:pStyle w:val="TableContents"/>
              <w:bidi w:val="0"/>
              <w:spacing w:before="0" w:after="0"/>
              <w:ind w:left="0" w:right="0" w:hanging="0"/>
              <w:jc w:val="center"/>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401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Director Stock Compensation Expense </w:t>
            </w:r>
          </w:p>
        </w:tc>
        <w:tc>
          <w:tcPr>
            <w:tcW w:w="109"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13"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109" w:type="dxa"/>
            <w:tcBorders/>
            <w:vAlign w:val="center"/>
          </w:tcPr>
          <w:p>
            <w:pPr>
              <w:pStyle w:val="TableContents"/>
              <w:bidi w:val="0"/>
              <w:spacing w:before="0" w:after="0"/>
              <w:ind w:left="0" w:right="0" w:hanging="0"/>
              <w:jc w:val="center"/>
              <w:rPr/>
            </w:pPr>
            <w:r>
              <w:rPr/>
              <w:t>​</w:t>
            </w:r>
          </w:p>
        </w:tc>
        <w:tc>
          <w:tcPr>
            <w:tcW w:w="315"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75"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&amp; Officer Insurance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109"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General and Administrative Expense</w:t>
            </w:r>
          </w:p>
        </w:tc>
        <w:tc>
          <w:tcPr>
            <w:tcW w:w="109"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113" w:type="dxa"/>
            <w:tcBorders/>
            <w:vAlign w:val="center"/>
          </w:tcPr>
          <w:p>
            <w:pPr>
              <w:pStyle w:val="TableContents"/>
              <w:bidi w:val="0"/>
              <w:spacing w:before="0" w:after="0"/>
              <w:ind w:left="0" w:right="0" w:hanging="0"/>
              <w:jc w:val="left"/>
              <w:rPr/>
            </w:pPr>
            <w:r>
              <w:rPr/>
              <w:t>​</w:t>
            </w:r>
          </w:p>
        </w:tc>
        <w:tc>
          <w:tcPr>
            <w:tcW w:w="4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109" w:type="dxa"/>
            <w:tcBorders/>
            <w:vAlign w:val="center"/>
          </w:tcPr>
          <w:p>
            <w:pPr>
              <w:pStyle w:val="TableContents"/>
              <w:bidi w:val="0"/>
              <w:spacing w:before="0" w:after="0"/>
              <w:ind w:left="0" w:right="0" w:hanging="0"/>
              <w:jc w:val="righ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109" w:type="dxa"/>
            <w:tcBorders/>
            <w:vAlign w:val="center"/>
          </w:tcPr>
          <w:p>
            <w:pPr>
              <w:pStyle w:val="TableContents"/>
              <w:bidi w:val="0"/>
              <w:spacing w:before="0" w:after="0"/>
              <w:ind w:left="0" w:right="0" w:hanging="0"/>
              <w:jc w:val="left"/>
              <w:rPr/>
            </w:pPr>
            <w:r>
              <w:rPr/>
              <w:t>​</w:t>
            </w:r>
          </w:p>
        </w:tc>
        <w:tc>
          <w:tcPr>
            <w:tcW w:w="11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4,987</w:t>
            </w:r>
          </w:p>
        </w:tc>
        <w:tc>
          <w:tcPr>
            <w:tcW w:w="113" w:type="dxa"/>
            <w:tcBorders/>
            <w:shd w:fill="CCEEFF" w:val="clear"/>
            <w:vAlign w:val="center"/>
          </w:tcPr>
          <w:p>
            <w:pPr>
              <w:pStyle w:val="TableContents"/>
              <w:bidi w:val="0"/>
              <w:spacing w:before="0" w:after="0"/>
              <w:ind w:left="0" w:right="0" w:hanging="0"/>
              <w:jc w:val="left"/>
              <w:rPr/>
            </w:pPr>
            <w:r>
              <w:rPr/>
              <w:t>​</w:t>
            </w:r>
          </w:p>
        </w:tc>
        <w:tc>
          <w:tcPr>
            <w:tcW w:w="4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4,823</w:t>
            </w:r>
          </w:p>
        </w:tc>
        <w:tc>
          <w:tcPr>
            <w:tcW w:w="109" w:type="dxa"/>
            <w:tcBorders/>
            <w:shd w:fill="CCEEFF" w:val="clear"/>
            <w:vAlign w:val="center"/>
          </w:tcPr>
          <w:p>
            <w:pPr>
              <w:pStyle w:val="TableContents"/>
              <w:bidi w:val="0"/>
              <w:spacing w:before="0" w:after="0"/>
              <w:ind w:left="0" w:right="0" w:hanging="0"/>
              <w:jc w:val="righ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109" w:type="dxa"/>
            <w:tcBorders/>
            <w:shd w:fill="CCEEFF" w:val="clear"/>
            <w:vAlign w:val="center"/>
          </w:tcPr>
          <w:p>
            <w:pPr>
              <w:pStyle w:val="TableContents"/>
              <w:bidi w:val="0"/>
              <w:spacing w:before="0" w:after="0"/>
              <w:ind w:left="0" w:right="0" w:hanging="0"/>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totaled $5.0 million and $4.8 million during the nine months ended September 30, 2024 and 2023, respectively, for an increase of $0.2 million. The $0.1 million decrease in the management fee is attributable to a decrease in the Company’s equity base as the result of share repurchases, primarily made during the three months ended December 31, 2023, which were partially offset by the ATM sales made during the three months ended September 30, 2024. The $0.3 million increase in additional general and administrative expenses is due to a $0.2 million increase in corporate legal and consulting fees as well as increases in additional state and local tax payments, as the result of the Company owning more properties in states with franchise tax fees.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Provision for Impairment</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recorded a $1.0 million impairment charge of which $0.4 million represents the CECL reserve related to our commercial loans and investments and $0.6 million represents the provision for losses related to our income properties as further described in Note 7, “Provision for Impairment”. During the nine months ended September 30, 2023, </w:t>
      </w:r>
      <w:r>
        <w:rPr>
          <w:rFonts w:ascii="Times New Roman;Times;serif" w:hAnsi="Times New Roman;Times;serif"/>
          <w:color w:val="212529"/>
          <w:sz w:val="20"/>
          <w:shd w:fill="FFFFFF" w:val="clear"/>
        </w:rPr>
        <w:t>the Company recorded a $2.9 million impairment charge representing the provision for losses related to our income properties as further described in Note 7, “Provision for Impairment”.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Depreciation and Amortization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Depreciation and amortization expense totaled $19.1 million and $19.3 million during the nine months ended September 30, 2024 and 2023, respectively. The $0.2 million decrease in depreciation and amortization expense is partially due to the three Tampa Properties which were acquired through a sale-leaseback transaction, that includes a tenant repurchase option and are, for GAAP purposes, accounted for as a financing arrangement whereby no depreciation and amortization is recorded.</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Gain on Disposition of Assets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sold 10 properties for an aggregate sales price of $55.2 million, generating aggregate gains on sale of $4.3 million. During the nine months ended September 30, 2023, the Company sold 22 properties for an aggregate sales price of $99.6 million, generating aggregate gains on sale of $7.8 million.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Investment and Other Income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Investment and other income totaled $0.2 million during the nine months ended September 30, 2024 and 2023. Investment and other income is attributable to interest earned on bank deposits.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Interest expense totaled $8.9 million and $7.5 million during the nine months ended September 30, 2024 and 2023, respectively. The $1.4 million increase in interest expense is attributable to the higher average outstanding debt balance for increased interest expense of $1.0 million as well as $0.4 million of interest expense resulting from the sale of participation interest in the Company’s $23.4 million Mortgage Note during the nine months ended September 30, 2024.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income totaled $3.3 million and $2.9 million during the nine months ended September 30, 2024 and 2023, respectively. The $0.4 million increase in net income is attributable to the factors described above, most notably the increase in interest revenue from commercial loans and investments of $3.4 million and a lower provision for impairment,  offset by higher interest expense and lower gains on disposition of assets.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totaled $28.1 million as of September 30, 2024, including restricted cash of $25.5 million. See Note 2 “Summary of Significant Accounting Policies” under the heading Restricted Cash for the Company’s disclosure related to its restricted cash balance as of September 30, 2024.</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Long-Term Debt. </w:t>
      </w:r>
      <w:r>
        <w:rPr>
          <w:rFonts w:ascii="Times New Roman;Times;serif" w:hAnsi="Times New Roman;Times;serif"/>
          <w:sz w:val="20"/>
        </w:rPr>
        <w:t>As of September 30, 2024, the Company had an outstanding balance of $79.5 million on the $250 million revolving Credit Facility. The Company also had $200.0 million in term loans outstanding as of September 30, 2024. See Note 13, “Long-Term Debt” for the Company’s disclosure related to its long-term debt balance at September 30,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Acquisitions and Dispositions. </w:t>
      </w:r>
      <w:r>
        <w:rPr>
          <w:rFonts w:ascii="Times New Roman;Times;serif" w:hAnsi="Times New Roman;Times;serif"/>
          <w:sz w:val="20"/>
        </w:rPr>
        <w:t>As further described in Note 3, “Property Portfolio,” the Company acquired six properties for a combined purchase price of $53.1 million, or a cost of $53.2 million including capitalized acquisition costs, and sold 10 properties for an aggregate sales price of $55.2 million, generating aggregate gains on sale of $4.3 million. Of the six properties acquired, the three Tampa Properties (previously defined in Note 1, “Business and Organization”), which were purchased during the three months ended September 30, 2024 through a sale-leaseback transaction that includes a tenant repurchase option are, for GAAP purposes, accounted for as a financing arrangement. However, as the Tampa Properties constitute real estate assets for both legal and tax purposes, we include the Tampa Properties in the property portfolio when describing our property portfolio and for purposes of providing statistics related thereto.</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ATM Program. </w:t>
      </w:r>
      <w:r>
        <w:rPr>
          <w:rFonts w:ascii="Times New Roman;Times;serif" w:hAnsi="Times New Roman;Times;serif"/>
          <w:sz w:val="20"/>
        </w:rPr>
        <w:t xml:space="preserve">During the nine months ended September 30, 2024, the Company sold 623,526 shares under the 2022 ATM Program for gross proceeds of $11.3 million at a weighted average price of $18.08 per share, generating net proceeds of $11.1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 xml:space="preserve">Capital Expenditures. </w:t>
      </w:r>
      <w:r>
        <w:rPr>
          <w:rFonts w:ascii="Times New Roman;Times;serif" w:hAnsi="Times New Roman;Times;serif"/>
          <w:sz w:val="20"/>
        </w:rPr>
        <w:t xml:space="preserve">As of September 30, 2024, the Company had no commitments related to capital expenditures for the maintenance of fixed assets, such as land, buildings, and equipment. Pursuant to a certain lease agreement executed during the three months ended September 30, 2024, the Company is committed to funding $5.0 million in tenant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improvements at a property which capital expenditure is expected to be funded within one year. Additionally, the Company is committed to fund five construction loans as described in Note 4, “Commercial Loans and Investments”. The unfunded portion of the construction loans totaled $12.3 million as of September 30, 2024.</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$98.3 million of availability remaining under the 2022 ATM Program, and $53.5 million of available capacity on the existing $250.0 million Credit Facility.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120" w:after="4"/>
        <w:ind w:left="0" w:right="0" w:firstLine="360"/>
        <w:jc w:val="both"/>
        <w:rPr>
          <w:rFonts w:ascii="Times New Roman;Times;serif" w:hAnsi="Times New Roman;Times;serif"/>
          <w:sz w:val="20"/>
        </w:rPr>
      </w:pPr>
      <w:r>
        <w:rPr>
          <w:rFonts w:ascii="Times New Roman;Times;serif" w:hAnsi="Times New Roman;Times;serif"/>
          <w:sz w:val="20"/>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pStyle w:val="TextBody"/>
        <w:bidi w:val="0"/>
        <w:spacing w:before="4" w:after="4"/>
        <w:ind w:left="0" w:right="0" w:firstLine="360"/>
        <w:jc w:val="both"/>
        <w:rPr/>
      </w:pPr>
      <w:r>
        <w:rPr/>
        <w:t>​</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pStyle w:val="TextBody"/>
        <w:bidi w:val="0"/>
        <w:spacing w:before="4" w:after="4"/>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pStyle w:val="TextBody"/>
        <w:bidi w:val="0"/>
        <w:spacing w:before="4" w:after="4"/>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Reconciliation of Non-GAAP Measures (in thousands, except share data): </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28"/>
        <w:gridCol w:w="109"/>
        <w:gridCol w:w="260"/>
        <w:gridCol w:w="1287"/>
        <w:gridCol w:w="109"/>
        <w:gridCol w:w="260"/>
        <w:gridCol w:w="1287"/>
        <w:gridCol w:w="109"/>
        <w:gridCol w:w="260"/>
        <w:gridCol w:w="1287"/>
        <w:gridCol w:w="109"/>
        <w:gridCol w:w="248"/>
        <w:gridCol w:w="1352"/>
      </w:tblGrid>
      <w:tr>
        <w:trPr/>
        <w:tc>
          <w:tcPr>
            <w:tcW w:w="3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65100" cy="175260"/>
                      <wp:effectExtent l="0" t="0" r="0" b="0"/>
                      <wp:wrapNone/>
                      <wp:docPr id="400" name="Frame40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817245" cy="175260"/>
                      <wp:effectExtent l="0" t="0" r="0" b="0"/>
                      <wp:wrapNone/>
                      <wp:docPr id="401" name="Frame401"/>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9215" cy="175260"/>
                      <wp:effectExtent l="0" t="0" r="0" b="0"/>
                      <wp:wrapNone/>
                      <wp:docPr id="402" name="Frame4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65100" cy="175260"/>
                      <wp:effectExtent l="0" t="0" r="0" b="0"/>
                      <wp:wrapNone/>
                      <wp:docPr id="403" name="Frame40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817245" cy="175260"/>
                      <wp:effectExtent l="0" t="0" r="0" b="0"/>
                      <wp:wrapNone/>
                      <wp:docPr id="404" name="Frame404"/>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4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65100" cy="175260"/>
                      <wp:effectExtent l="0" t="0" r="0" b="0"/>
                      <wp:wrapNone/>
                      <wp:docPr id="406" name="Frame40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817245" cy="175260"/>
                      <wp:effectExtent l="0" t="0" r="0" b="0"/>
                      <wp:wrapNone/>
                      <wp:docPr id="407" name="Frame407"/>
                      <a:graphic xmlns:a="http://schemas.openxmlformats.org/drawingml/2006/main">
                        <a:graphicData uri="http://schemas.microsoft.com/office/word/2010/wordprocessingShape">
                          <wps:wsp>
                            <wps:cNvSpPr txBox="1"/>
                            <wps:spPr>
                              <a:xfrm>
                                <a:off x="0" y="0"/>
                                <a:ext cx="817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57480" cy="175260"/>
                      <wp:effectExtent l="0" t="0" r="0" b="0"/>
                      <wp:wrapNone/>
                      <wp:docPr id="409" name="Frame40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858520" cy="175260"/>
                      <wp:effectExtent l="0" t="0" r="0" b="0"/>
                      <wp:wrapNone/>
                      <wp:docPr id="410" name="Frame410"/>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2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1"/>
              <w:ind w:left="0" w:right="0" w:hanging="0"/>
              <w:jc w:val="left"/>
              <w:rPr/>
            </w:pPr>
            <w:r>
              <w:rPr/>
              <w:t>​</w:t>
            </w:r>
          </w:p>
        </w:tc>
        <w:tc>
          <w:tcPr>
            <w:tcW w:w="32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35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1"/>
              <w:ind w:left="0" w:right="0" w:hanging="0"/>
              <w:jc w:val="left"/>
              <w:rPr/>
            </w:pPr>
            <w:r>
              <w:rPr/>
              <w:t>​</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6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3,293</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6,340</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6,528</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19,074</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19,286</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Impairment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(3,426)</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(4,344)</w:t>
            </w:r>
          </w:p>
        </w:tc>
        <w:tc>
          <w:tcPr>
            <w:tcW w:w="109"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(7,782)</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6,690</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5,867</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19,133</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17,264</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pPr>
            <w:r>
              <w:rPr/>
              <w:t>​</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109"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Funds From Operations</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6,649</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5,932</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8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19,291</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17,410</w:t>
            </w:r>
          </w:p>
        </w:tc>
      </w:tr>
      <w:tr>
        <w:trPr/>
        <w:tc>
          <w:tcPr>
            <w:tcW w:w="35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left"/>
              <w:rPr/>
            </w:pPr>
            <w:r>
              <w:rPr/>
              <w:t>​</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0" w:hanging="0"/>
              <w:jc w:val="right"/>
              <w:rPr/>
            </w:pPr>
            <w:r>
              <w:rPr/>
              <w:t>​</w:t>
            </w:r>
          </w:p>
        </w:tc>
      </w:tr>
      <w:tr>
        <w:trPr/>
        <w:tc>
          <w:tcPr>
            <w:tcW w:w="35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13,744,232</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13,946,194</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12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13,663,752</w:t>
            </w:r>
          </w:p>
        </w:tc>
        <w:tc>
          <w:tcPr>
            <w:tcW w:w="109"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13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14,001,774</w:t>
            </w:r>
          </w:p>
        </w:tc>
      </w:tr>
      <w:tr>
        <w:trPr/>
        <w:tc>
          <w:tcPr>
            <w:tcW w:w="35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14,968,086</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15,649,688</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12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14,887,606</w:t>
            </w:r>
          </w:p>
        </w:tc>
        <w:tc>
          <w:tcPr>
            <w:tcW w:w="109"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1352"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15,705,268</w:t>
            </w:r>
          </w:p>
        </w:tc>
      </w:tr>
    </w:tbl>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Other Data (in thousands, except per share data):</w:t>
      </w:r>
    </w:p>
    <w:tbl>
      <w:tblPr>
        <w:tblW w:w="9630" w:type="dxa"/>
        <w:jc w:val="left"/>
        <w:tblInd w:w="0" w:type="dxa"/>
        <w:tblLayout w:type="fixed"/>
        <w:tblCellMar>
          <w:top w:w="0" w:type="dxa"/>
          <w:left w:w="0" w:type="dxa"/>
          <w:bottom w:w="0" w:type="dxa"/>
          <w:right w:w="0" w:type="dxa"/>
        </w:tblCellMar>
      </w:tblPr>
      <w:tblGrid>
        <w:gridCol w:w="2056"/>
        <w:gridCol w:w="109"/>
        <w:gridCol w:w="477"/>
        <w:gridCol w:w="1293"/>
        <w:gridCol w:w="122"/>
        <w:gridCol w:w="477"/>
        <w:gridCol w:w="1293"/>
        <w:gridCol w:w="109"/>
        <w:gridCol w:w="420"/>
        <w:gridCol w:w="1350"/>
        <w:gridCol w:w="109"/>
        <w:gridCol w:w="409"/>
        <w:gridCol w:w="1406"/>
      </w:tblGrid>
      <w:tr>
        <w:trPr/>
        <w:tc>
          <w:tcPr>
            <w:tcW w:w="20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215" cy="175260"/>
                      <wp:effectExtent l="0" t="0" r="0" b="0"/>
                      <wp:wrapNone/>
                      <wp:docPr id="411" name="Frame4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302895" cy="175260"/>
                      <wp:effectExtent l="0" t="0" r="0" b="0"/>
                      <wp:wrapNone/>
                      <wp:docPr id="412" name="Frame412"/>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821055" cy="175260"/>
                      <wp:effectExtent l="0" t="0" r="0" b="0"/>
                      <wp:wrapNone/>
                      <wp:docPr id="413" name="Frame413"/>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77470" cy="175260"/>
                      <wp:effectExtent l="0" t="0" r="0" b="0"/>
                      <wp:wrapNone/>
                      <wp:docPr id="414" name="Frame414"/>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02895" cy="175260"/>
                      <wp:effectExtent l="0" t="0" r="0" b="0"/>
                      <wp:wrapNone/>
                      <wp:docPr id="415" name="Frame415"/>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821055" cy="175260"/>
                      <wp:effectExtent l="0" t="0" r="0" b="0"/>
                      <wp:wrapNone/>
                      <wp:docPr id="416" name="Frame416"/>
                      <a:graphic xmlns:a="http://schemas.openxmlformats.org/drawingml/2006/main">
                        <a:graphicData uri="http://schemas.microsoft.com/office/word/2010/wordprocessingShape">
                          <wps:wsp>
                            <wps:cNvSpPr txBox="1"/>
                            <wps:spPr>
                              <a:xfrm>
                                <a:off x="0" y="0"/>
                                <a:ext cx="821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9215" cy="175260"/>
                      <wp:effectExtent l="0" t="0" r="0" b="0"/>
                      <wp:wrapNone/>
                      <wp:docPr id="417" name="Frame4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66700" cy="175260"/>
                      <wp:effectExtent l="0" t="0" r="0" b="0"/>
                      <wp:wrapNone/>
                      <wp:docPr id="418" name="Frame418"/>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857250" cy="175260"/>
                      <wp:effectExtent l="0" t="0" r="0" b="0"/>
                      <wp:wrapNone/>
                      <wp:docPr id="419" name="Frame419"/>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59715" cy="175260"/>
                      <wp:effectExtent l="0" t="0" r="0" b="0"/>
                      <wp:wrapNone/>
                      <wp:docPr id="421" name="Frame421"/>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892810" cy="175260"/>
                      <wp:effectExtent l="0" t="0" r="0" b="0"/>
                      <wp:wrapNone/>
                      <wp:docPr id="422" name="Frame422"/>
                      <a:graphic xmlns:a="http://schemas.openxmlformats.org/drawingml/2006/main">
                        <a:graphicData uri="http://schemas.microsoft.com/office/word/2010/wordprocessingShape">
                          <wps:wsp>
                            <wps:cNvSpPr txBox="1"/>
                            <wps:spPr>
                              <a:xfrm>
                                <a:off x="0" y="0"/>
                                <a:ext cx="89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6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109" w:type="dxa"/>
            <w:tcBorders/>
            <w:vAlign w:val="center"/>
          </w:tcPr>
          <w:p>
            <w:pPr>
              <w:pStyle w:val="TableContents"/>
              <w:bidi w:val="0"/>
              <w:spacing w:before="0" w:after="0"/>
              <w:ind w:left="0" w:right="0" w:hanging="0"/>
              <w:jc w:val="center"/>
              <w:rPr/>
            </w:pPr>
            <w:r>
              <w:rPr/>
              <w:t>​</w:t>
            </w:r>
          </w:p>
        </w:tc>
        <w:tc>
          <w:tcPr>
            <w:tcW w:w="36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r>
          </w:p>
        </w:tc>
      </w:tr>
      <w:tr>
        <w:trPr/>
        <w:tc>
          <w:tcPr>
            <w:tcW w:w="20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22"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6,690</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5,867</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19,133</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17,264</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per Diluted Share</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0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pPr>
            <w:r>
              <w:rPr/>
              <w:t>​</w:t>
            </w:r>
          </w:p>
        </w:tc>
        <w:tc>
          <w:tcPr>
            <w:tcW w:w="129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pPr>
            <w:r>
              <w:rPr/>
              <w:t>​</w:t>
            </w:r>
          </w:p>
        </w:tc>
        <w:tc>
          <w:tcPr>
            <w:tcW w:w="1406" w:type="dxa"/>
            <w:tcBorders/>
            <w:shd w:fill="CCEEFF" w:val="clear"/>
            <w:vAlign w:val="center"/>
          </w:tcPr>
          <w:p>
            <w:pPr>
              <w:pStyle w:val="TableContents"/>
              <w:bidi w:val="0"/>
              <w:spacing w:before="0" w:after="0"/>
              <w:ind w:left="0" w:right="0" w:hanging="0"/>
              <w:jc w:val="righ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w:t>
            </w:r>
          </w:p>
        </w:tc>
        <w:tc>
          <w:tcPr>
            <w:tcW w:w="109"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6,649</w:t>
            </w:r>
          </w:p>
        </w:tc>
        <w:tc>
          <w:tcPr>
            <w:tcW w:w="122" w:type="dxa"/>
            <w:tcBorders/>
            <w:vAlign w:val="center"/>
          </w:tcPr>
          <w:p>
            <w:pPr>
              <w:pStyle w:val="TableContents"/>
              <w:bidi w:val="0"/>
              <w:spacing w:before="0" w:after="0"/>
              <w:ind w:left="0" w:right="0" w:hanging="0"/>
              <w:jc w:val="left"/>
              <w:rPr/>
            </w:pPr>
            <w:r>
              <w:rPr/>
              <w:t>​</w:t>
            </w:r>
          </w:p>
        </w:tc>
        <w:tc>
          <w:tcPr>
            <w:tcW w:w="4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5,932</w:t>
            </w:r>
          </w:p>
        </w:tc>
        <w:tc>
          <w:tcPr>
            <w:tcW w:w="109"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19,291</w:t>
            </w:r>
          </w:p>
        </w:tc>
        <w:tc>
          <w:tcPr>
            <w:tcW w:w="109"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17,410</w:t>
            </w:r>
          </w:p>
        </w:tc>
      </w:tr>
      <w:tr>
        <w:trPr/>
        <w:tc>
          <w:tcPr>
            <w:tcW w:w="20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122" w:type="dxa"/>
            <w:tcBorders/>
            <w:shd w:fill="CCEEFF" w:val="clear"/>
            <w:vAlign w:val="center"/>
          </w:tcPr>
          <w:p>
            <w:pPr>
              <w:pStyle w:val="TableContents"/>
              <w:bidi w:val="0"/>
              <w:spacing w:before="0" w:after="0"/>
              <w:ind w:left="0" w:right="0" w:hanging="0"/>
              <w:jc w:val="left"/>
              <w:rPr/>
            </w:pPr>
            <w:r>
              <w:rPr/>
              <w:t>​</w:t>
            </w:r>
          </w:p>
        </w:tc>
        <w:tc>
          <w:tcPr>
            <w:tcW w:w="4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109"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109"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1.11</w:t>
            </w:r>
          </w:p>
        </w:tc>
      </w:tr>
    </w:tbl>
    <w:p>
      <w:pPr>
        <w:pStyle w:val="TextBody"/>
        <w:bidi w:val="0"/>
        <w:spacing w:before="4" w:after="4"/>
        <w:ind w:left="0" w:right="0" w:firstLine="36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i/>
          <w:sz w:val="20"/>
        </w:rPr>
        <w:t>Purchase Accounting for Acquisitions of Real Estate Subject to a Lease</w:t>
      </w:r>
      <w:r>
        <w:rPr>
          <w:rFonts w:ascii="Times New Roman;Times;serif" w:hAnsi="Times New Roman;Times;serif"/>
          <w:sz w:val="20"/>
        </w:rPr>
        <w:t xml:space="preserve">. As required by GAAP,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w:t>
      </w:r>
      <w:r>
        <w:rPr>
          <w:rFonts w:ascii="Times New Roman;Times;serif" w:hAnsi="Times New Roman;Times;serif"/>
          <w:sz w:val="20"/>
          <w:shd w:fill="FFFFFF" w:val="clear"/>
        </w:rPr>
        <w:t>The acquisitions of real estate subject to this estimate totaled three properties for </w:t>
      </w:r>
      <w:r>
        <w:rPr>
          <w:rFonts w:ascii="Times New Roman;Times;serif" w:hAnsi="Times New Roman;Times;serif"/>
          <w:sz w:val="20"/>
        </w:rPr>
        <w:t>a combined purchase price of $21.7 million for the nine months ended September 30, 2024 and 12 properties for a combined purchase price of $79.9 million for the nine months ended September 30, 2023.</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Note 2, “Summary of Significant Accounting Policies”, for further discussion of the Company’s accounting estimates and policies.</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457" w:name="ITEM3QUANTITATIVEANDQUALITATIVEDISC"/>
      <w:bookmarkStart w:id="1458" w:name="INC_PROP_ACQUIRED"/>
      <w:bookmarkStart w:id="1459" w:name="_cc5197cf_25e5_4c0f_9f7a_5581d15466b5"/>
      <w:bookmarkEnd w:id="1457"/>
      <w:bookmarkEnd w:id="1458"/>
      <w:bookmarkEnd w:id="1459"/>
      <w:r>
        <w:rPr>
          <w:rFonts w:ascii="Times New Roman;Times;serif" w:hAnsi="Times New Roman;Times;serif"/>
          <w:b/>
          <w:sz w:val="20"/>
        </w:rPr>
        <w:t xml:space="preserve">ITEM 3. QUANTITATIVE AND QUALITATIVE DISCLOSURES ABOUT MARKET RISK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smaller reporting company as defined in Item 10(f)(1) of Regulation S-K. As a result, pursuant to Item 305(e) of Regulation S-K, we are not required to provide the information required by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60" w:name="ITEM4CONTROLSANDPROCEDURES_93254"/>
      <w:bookmarkStart w:id="1461" w:name="_187df1c5_87a5_48df_8489_6eb379e7dd10"/>
      <w:bookmarkEnd w:id="1460"/>
      <w:bookmarkEnd w:id="1461"/>
      <w:r>
        <w:rPr>
          <w:rFonts w:ascii="Times New Roman;Times;serif" w:hAnsi="Times New Roman;Times;serif"/>
          <w:b/>
          <w:sz w:val="20"/>
        </w:rPr>
        <w:t>ITEM 4. CONTROLS AND PROCEDURES</w:t>
      </w:r>
    </w:p>
    <w:p>
      <w:pPr>
        <w:pStyle w:val="TextBody"/>
        <w:bidi w:val="0"/>
        <w:spacing w:before="4" w:after="4"/>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2024, that have materially affected, or are reasonably likely to materially affect, the Company’s internal control over financial reporting.  </w:t>
      </w:r>
    </w:p>
    <w:p>
      <w:pPr>
        <w:pStyle w:val="TextBody"/>
        <w:bidi w:val="0"/>
        <w:spacing w:before="0" w:after="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bookmarkStart w:id="1462" w:name="PARTIIOTHERINFORMATION_482394"/>
      <w:bookmarkStart w:id="1463" w:name="_7000d9c5_4074_4396_8eb6_5f702a1b3ceb"/>
      <w:bookmarkEnd w:id="1462"/>
      <w:bookmarkEnd w:id="1463"/>
      <w:r>
        <w:rPr>
          <w:rFonts w:ascii="Times New Roman;Times;serif" w:hAnsi="Times New Roman;Times;serif"/>
          <w:b/>
          <w:sz w:val="20"/>
        </w:rPr>
        <w:t>PART II—OTHER INFORMATION</w:t>
      </w:r>
    </w:p>
    <w:p>
      <w:pPr>
        <w:pStyle w:val="TextBody"/>
        <w:bidi w:val="0"/>
        <w:spacing w:before="0" w:after="200"/>
        <w:ind w:left="0" w:right="0" w:hanging="0"/>
        <w:jc w:val="left"/>
        <w:rPr>
          <w:rFonts w:ascii="Times New Roman;Times;serif" w:hAnsi="Times New Roman;Times;serif"/>
          <w:b/>
          <w:sz w:val="20"/>
        </w:rPr>
      </w:pPr>
      <w:bookmarkStart w:id="1464" w:name="ITEM1LEGALPROCEEDINGS_782791"/>
      <w:bookmarkEnd w:id="1464"/>
      <w:r>
        <w:rPr>
          <w:rFonts w:ascii="Times New Roman;Times;serif" w:hAnsi="Times New Roman;Times;serif"/>
          <w:b/>
          <w:sz w:val="20"/>
        </w:rPr>
        <w:t>ITEM 1. LEGAL PROCEEDINGS</w:t>
      </w:r>
    </w:p>
    <w:p>
      <w:pPr>
        <w:pStyle w:val="TextBody"/>
        <w:bidi w:val="0"/>
        <w:spacing w:lineRule="auto" w:line="268" w:before="4" w:after="4"/>
        <w:ind w:left="0" w:right="0" w:firstLine="360"/>
        <w:jc w:val="both"/>
        <w:rPr>
          <w:rFonts w:ascii="Times New Roman;Times;serif" w:hAnsi="Times New Roman;Times;serif"/>
          <w:sz w:val="20"/>
        </w:rPr>
      </w:pPr>
      <w:r>
        <w:rPr>
          <w:rFonts w:ascii="Times New Roman;Times;serif" w:hAnsi="Times New Roman;Times;serif"/>
          <w:sz w:val="20"/>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pStyle w:val="TextBody"/>
        <w:bidi w:val="0"/>
        <w:spacing w:before="0" w:after="0"/>
        <w:ind w:left="0" w:right="0" w:firstLine="360"/>
        <w:jc w:val="both"/>
        <w:rPr/>
      </w:pPr>
      <w:r>
        <w:rPr/>
        <w:t>​</w:t>
      </w:r>
    </w:p>
    <w:p>
      <w:pPr>
        <w:pStyle w:val="TextBody"/>
        <w:pBdr/>
        <w:bidi w:val="0"/>
        <w:spacing w:before="0" w:after="0"/>
        <w:ind w:left="0" w:right="0" w:hanging="0"/>
        <w:jc w:val="both"/>
        <w:rPr>
          <w:rFonts w:ascii="Times New Roman;Times;serif" w:hAnsi="Times New Roman;Times;serif"/>
          <w:b/>
          <w:sz w:val="20"/>
        </w:rPr>
      </w:pPr>
      <w:bookmarkStart w:id="1465" w:name="ITEM1ARISKFACTORS_792917"/>
      <w:bookmarkStart w:id="1466" w:name="_b1cd6172_9336_41c3_a40c_e20e4485df67"/>
      <w:bookmarkEnd w:id="1465"/>
      <w:bookmarkEnd w:id="1466"/>
      <w:r>
        <w:rPr>
          <w:rFonts w:ascii="Times New Roman;Times;serif" w:hAnsi="Times New Roman;Times;serif"/>
          <w:b/>
          <w:sz w:val="20"/>
        </w:rPr>
        <w:t>ITEM 1A. RISK FACTORS</w:t>
      </w:r>
    </w:p>
    <w:p>
      <w:pPr>
        <w:pStyle w:val="TextBody"/>
        <w:shd w:fill="FFFFFF" w:val="clea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2024, there have been no material changes in our risk factors from those set forth under the heading Part I, “Item 1A. Risk Factors” in the Company’s Annual Report on Form 10-K for the year ended December 31, 2023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sz w:val="20"/>
        </w:rPr>
      </w:pPr>
      <w:bookmarkStart w:id="1467" w:name="ITEM2UNREGISTEREDSALESOFEQUITYSECURITIES"/>
      <w:bookmarkStart w:id="1468" w:name="_f38e05c8_82de_4efb_acb6_84641a585086"/>
      <w:bookmarkEnd w:id="1467"/>
      <w:bookmarkEnd w:id="1468"/>
      <w:r>
        <w:rPr>
          <w:rFonts w:ascii="Times New Roman;Times;serif" w:hAnsi="Times New Roman;Times;serif"/>
          <w:b/>
          <w:sz w:val="20"/>
        </w:rPr>
        <w:t>ITEM 2. UNREGISTERED SALES OF EQUITY SECURITIES AND USE OF PROCEEDS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left"/>
        <w:rPr/>
      </w:pPr>
      <w:r>
        <w:rPr/>
        <w:t>​</w:t>
      </w:r>
    </w:p>
    <w:p>
      <w:pPr>
        <w:pStyle w:val="TextBody"/>
        <w:bidi w:val="0"/>
        <w:spacing w:before="0" w:after="240"/>
        <w:ind w:left="0" w:right="0" w:hanging="0"/>
        <w:jc w:val="left"/>
        <w:rPr/>
      </w:pPr>
      <w:bookmarkStart w:id="1469" w:name="_eafc112f_41ce_4bc3_8465_8333541e2988"/>
      <w:bookmarkStart w:id="1470" w:name="_ITEM_3._DEFAULTS"/>
      <w:bookmarkEnd w:id="1469"/>
      <w:bookmarkEnd w:id="1470"/>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71" w:name="ITEM3DEFAULTSUPONSENIORSECURITIES_376496"/>
      <w:bookmarkEnd w:id="1471"/>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472" w:name="ITEM4MINESAFETYDISCLOSURES_109581"/>
      <w:bookmarkStart w:id="1473" w:name="_e378c2e3_2295_440d_a6ff_8a6863102ec5"/>
      <w:bookmarkEnd w:id="1472"/>
      <w:bookmarkEnd w:id="1473"/>
      <w:r>
        <w:rPr>
          <w:rFonts w:ascii="Times New Roman;Times;serif" w:hAnsi="Times New Roman;Times;serif"/>
          <w:b/>
          <w:sz w:val="20"/>
        </w:rPr>
        <w:t>ITEM 4. MINE SAFETY DISCLOSURES</w:t>
      </w:r>
    </w:p>
    <w:p>
      <w:pPr>
        <w:pStyle w:val="TextBody"/>
        <w:bidi w:val="0"/>
        <w:spacing w:before="12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120" w:after="240"/>
        <w:ind w:left="0" w:right="0" w:hanging="0"/>
        <w:jc w:val="left"/>
        <w:rPr>
          <w:rFonts w:ascii="Times New Roman;Times;serif" w:hAnsi="Times New Roman;Times;serif"/>
          <w:b/>
          <w:sz w:val="20"/>
        </w:rPr>
      </w:pPr>
      <w:bookmarkStart w:id="1474" w:name="ITEM5OTHERINFORMATION_915711"/>
      <w:bookmarkStart w:id="1475" w:name="_c36231e8_e380_4232_af1f_9eac2ad21a38"/>
      <w:bookmarkEnd w:id="1474"/>
      <w:bookmarkEnd w:id="1475"/>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4"/>
        <w:ind w:left="0" w:right="0" w:hanging="0"/>
        <w:jc w:val="left"/>
        <w:rPr>
          <w:rFonts w:ascii="Times New Roman;Times;serif" w:hAnsi="Times New Roman;Times;serif"/>
          <w:b/>
          <w:sz w:val="20"/>
        </w:rPr>
      </w:pPr>
      <w:bookmarkStart w:id="1476" w:name="ITEM6EXHIBITS_110802"/>
      <w:bookmarkStart w:id="1477" w:name="_d8ecd054_c3ba_4cf1_9e5a_a8db889a21df"/>
      <w:bookmarkEnd w:id="1476"/>
      <w:bookmarkEnd w:id="1477"/>
      <w:r>
        <w:rPr>
          <w:rFonts w:ascii="Times New Roman;Times;serif" w:hAnsi="Times New Roman;Times;serif"/>
          <w:b/>
          <w:sz w:val="20"/>
        </w:rPr>
        <w:t>ITEM 6. EXHIBITS</w:t>
      </w:r>
    </w:p>
    <w:p>
      <w:pPr>
        <w:pStyle w:val="TextBody"/>
        <w:bidi w:val="0"/>
        <w:spacing w:before="0" w:after="240"/>
        <w:ind w:left="0" w:right="0" w:hanging="0"/>
        <w:jc w:val="left"/>
        <w:rPr/>
      </w:pPr>
      <w:r>
        <w:rPr/>
        <w:t>​</w:t>
      </w:r>
    </w:p>
    <w:tbl>
      <w:tblPr>
        <w:tblW w:w="1232" w:type="dxa"/>
        <w:jc w:val="left"/>
        <w:tblInd w:w="0" w:type="dxa"/>
        <w:tblLayout w:type="fixed"/>
        <w:tblCellMar>
          <w:top w:w="0" w:type="dxa"/>
          <w:left w:w="0" w:type="dxa"/>
          <w:bottom w:w="0" w:type="dxa"/>
          <w:right w:w="0" w:type="dxa"/>
        </w:tblCellMar>
      </w:tblPr>
      <w:tblGrid>
        <w:gridCol w:w="331"/>
        <w:gridCol w:w="90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tbl>
      <w:tblPr>
        <w:tblW w:w="10205" w:type="dxa"/>
        <w:jc w:val="left"/>
        <w:tblInd w:w="0" w:type="dxa"/>
        <w:tblLayout w:type="fixed"/>
        <w:tblCellMar>
          <w:top w:w="0" w:type="dxa"/>
          <w:left w:w="0" w:type="dxa"/>
          <w:bottom w:w="0" w:type="dxa"/>
          <w:right w:w="0" w:type="dxa"/>
        </w:tblCellMar>
      </w:tblPr>
      <w:tblGrid>
        <w:gridCol w:w="1269"/>
        <w:gridCol w:w="24"/>
        <w:gridCol w:w="109"/>
        <w:gridCol w:w="8626"/>
        <w:gridCol w:w="177"/>
      </w:tblGrid>
      <w:tr>
        <w:trPr/>
        <w:tc>
          <w:tcPr>
            <w:tcW w:w="1293"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3" w:type="dxa"/>
            <w:gridSpan w:val="2"/>
            <w:tcBorders/>
            <w:vAlign w:val="center"/>
          </w:tcPr>
          <w:p>
            <w:pPr>
              <w:pStyle w:val="TableContents"/>
              <w:bidi w:val="0"/>
              <w:spacing w:before="0" w:after="0"/>
              <w:ind w:left="0" w:right="0" w:hanging="0"/>
              <w:jc w:val="left"/>
              <w:rPr/>
            </w:pPr>
            <w:r>
              <w:rPr/>
              <w:t>​</w:t>
            </w:r>
          </w:p>
        </w:tc>
      </w:tr>
      <w:tr>
        <w:trPr/>
        <w:tc>
          <w:tcPr>
            <w:tcW w:w="1293" w:type="dxa"/>
            <w:gridSpan w:val="2"/>
            <w:tcBorders/>
            <w:vAlign w:val="center"/>
          </w:tcPr>
          <w:p>
            <w:pPr>
              <w:pStyle w:val="TableContents"/>
              <w:bidi w:val="0"/>
              <w:spacing w:lineRule="auto" w:line="256" w:before="4" w:after="4"/>
              <w:ind w:left="0" w:right="0" w:hanging="0"/>
              <w:jc w:val="left"/>
              <w:rPr/>
            </w:pPr>
            <w:r>
              <w:rPr/>
              <w:t>​</w:t>
            </w:r>
          </w:p>
        </w:tc>
        <w:tc>
          <w:tcPr>
            <w:tcW w:w="109" w:type="dxa"/>
            <w:tcBorders/>
            <w:vAlign w:val="center"/>
          </w:tcPr>
          <w:p>
            <w:pPr>
              <w:pStyle w:val="TableContents"/>
              <w:bidi w:val="0"/>
              <w:spacing w:lineRule="auto" w:line="256" w:before="4" w:after="4"/>
              <w:ind w:left="0" w:right="0" w:hanging="0"/>
              <w:jc w:val="left"/>
              <w:rPr/>
            </w:pPr>
            <w:r>
              <w:rPr/>
              <w:t>​</w:t>
            </w:r>
          </w:p>
        </w:tc>
        <w:tc>
          <w:tcPr>
            <w:tcW w:w="8803" w:type="dxa"/>
            <w:gridSpan w:val="2"/>
            <w:tcBorders/>
            <w:vAlign w:val="center"/>
          </w:tcPr>
          <w:p>
            <w:pPr>
              <w:pStyle w:val="TableContents"/>
              <w:bidi w:val="0"/>
              <w:spacing w:lineRule="auto" w:line="256" w:before="4" w:after="4"/>
              <w:ind w:left="0" w:right="0" w:hanging="0"/>
              <w:jc w:val="left"/>
              <w:rPr/>
            </w:pPr>
            <w:r>
              <w:rPr/>
              <w:t>​</w:t>
            </w:r>
          </w:p>
        </w:tc>
      </w:tr>
      <w:tr>
        <w:trPr/>
        <w:tc>
          <w:tcPr>
            <w:tcW w:w="1293" w:type="dxa"/>
            <w:gridSpan w:val="2"/>
            <w:tcBorders/>
            <w:vAlign w:val="center"/>
          </w:tcPr>
          <w:p>
            <w:pPr>
              <w:pStyle w:val="TableContents"/>
              <w:bidi w:val="0"/>
              <w:spacing w:lineRule="auto" w:line="256" w:before="4" w:after="4"/>
              <w:ind w:left="0" w:right="0" w:hanging="0"/>
              <w:jc w:val="left"/>
              <w:rPr/>
            </w:pPr>
            <w:r>
              <w:rPr/>
              <w:t>​</w:t>
            </w:r>
          </w:p>
        </w:tc>
        <w:tc>
          <w:tcPr>
            <w:tcW w:w="109" w:type="dxa"/>
            <w:tcBorders/>
            <w:vAlign w:val="center"/>
          </w:tcPr>
          <w:p>
            <w:pPr>
              <w:pStyle w:val="TableContents"/>
              <w:bidi w:val="0"/>
              <w:spacing w:lineRule="auto" w:line="256" w:before="4" w:after="4"/>
              <w:ind w:left="0" w:right="0" w:hanging="0"/>
              <w:jc w:val="left"/>
              <w:rPr/>
            </w:pPr>
            <w:r>
              <w:rPr/>
              <w:t>​</w:t>
            </w:r>
          </w:p>
        </w:tc>
        <w:tc>
          <w:tcPr>
            <w:tcW w:w="8803" w:type="dxa"/>
            <w:gridSpan w:val="2"/>
            <w:tcBorders/>
            <w:vAlign w:val="center"/>
          </w:tcPr>
          <w:p>
            <w:pPr>
              <w:pStyle w:val="TableContents"/>
              <w:bidi w:val="0"/>
              <w:spacing w:lineRule="auto" w:line="256" w:before="4" w:after="4"/>
              <w:ind w:left="0" w:right="0" w:hanging="0"/>
              <w:jc w:val="left"/>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Amendment and Restatement of Alpine Income Property Trust, Inc. (incorporated by reference to Exhibit 3.1 to the Company’s Current Report on Form 8-K filed on December 3, 2019).</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r:id="rId3">
              <w:r>
                <w:rPr>
                  <w:rStyle w:val="InternetLink"/>
                  <w:rFonts w:ascii="Times New Roman;Times;serif" w:hAnsi="Times New Roman;Times;serif"/>
                  <w:b w:val="false"/>
                  <w:i w:val="false"/>
                  <w:caps w:val="false"/>
                  <w:smallCaps w:val="false"/>
                  <w:sz w:val="20"/>
                </w:rPr>
                <w:t xml:space="preserve">Third </w:t>
              </w:r>
            </w:hyperlink>
            <w:hyperlink r:id="rId4">
              <w:r>
                <w:rPr>
                  <w:rStyle w:val="InternetLink"/>
                  <w:rFonts w:ascii="Times New Roman;Times;serif" w:hAnsi="Times New Roman;Times;serif"/>
                  <w:b w:val="false"/>
                  <w:i w:val="false"/>
                  <w:caps w:val="false"/>
                  <w:smallCaps w:val="false"/>
                  <w:sz w:val="19"/>
                </w:rPr>
                <w:t>Amended and Restated Bylaws of Alpine Income Property Trust, Inc. (incorporated by reference to Exhibit 3.1 to the Company’s Current Report on Form 8-K filed on February 3, 2023).</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4.1</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r:id="rId5">
              <w:r>
                <w:rPr>
                  <w:rStyle w:val="InternetLink"/>
                  <w:rFonts w:ascii="Times New Roman;Times;serif" w:hAnsi="Times New Roman;Times;serif"/>
                  <w:b w:val="false"/>
                  <w:i w:val="false"/>
                  <w:caps w:val="false"/>
                  <w:smallCaps w:val="false"/>
                  <w:sz w:val="20"/>
                </w:rPr>
                <w:t>Specimen Common Stock Certificate of Alpine Income Property Trust, Inc. (incorporated by reference to Exhibit 4.1 to the Registrant’s Registration Statement on Form S-11/A (File No. 333-234304) filed with the Commission on October 29, 2019).</w:t>
              </w:r>
            </w:hyperlink>
          </w:p>
          <w:p>
            <w:pPr>
              <w:pStyle w:val="TableContents"/>
              <w:bidi w:val="0"/>
              <w:spacing w:lineRule="auto" w:line="256" w:before="0" w:after="0"/>
              <w:ind w:left="0" w:right="0" w:hanging="0"/>
              <w:jc w:val="both"/>
              <w:rPr>
                <w:color w:val="FF0000"/>
              </w:rPr>
            </w:pPr>
            <w:r>
              <w:rPr>
                <w:color w:val="FF0000"/>
              </w:rPr>
              <w:t>​</w:t>
            </w:r>
          </w:p>
        </w:tc>
      </w:tr>
      <w:tr>
        <w:trPr/>
        <w:tc>
          <w:tcPr>
            <w:tcW w:w="1269"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w:t>
            </w:r>
          </w:p>
        </w:tc>
        <w:tc>
          <w:tcPr>
            <w:tcW w:w="133" w:type="dxa"/>
            <w:gridSpan w:val="2"/>
            <w:tcBorders/>
            <w:vAlign w:val="center"/>
          </w:tcPr>
          <w:p>
            <w:pPr>
              <w:pStyle w:val="TableContents"/>
              <w:bidi w:val="0"/>
              <w:spacing w:lineRule="auto" w:line="256" w:before="0" w:after="0"/>
              <w:ind w:left="0" w:right="0" w:hanging="0"/>
              <w:jc w:val="both"/>
              <w:rPr/>
            </w:pPr>
            <w:r>
              <w:rPr/>
              <w:t>​</w:t>
            </w:r>
          </w:p>
        </w:tc>
        <w:tc>
          <w:tcPr>
            <w:tcW w:w="8626" w:type="dxa"/>
            <w:tcBorders/>
            <w:vAlign w:val="center"/>
          </w:tcPr>
          <w:p>
            <w:pPr>
              <w:pStyle w:val="TableContents"/>
              <w:bidi w:val="0"/>
              <w:spacing w:lineRule="auto" w:line="256" w:before="0" w:after="0"/>
              <w:ind w:left="0" w:right="0" w:hanging="0"/>
              <w:jc w:val="both"/>
              <w:rPr/>
            </w:pPr>
            <w:hyperlink r:id="rId6">
              <w:r>
                <w:rPr>
                  <w:rStyle w:val="InternetLink"/>
                  <w:rFonts w:ascii="Times New Roman;Times;serif" w:hAnsi="Times New Roman;Times;serif"/>
                  <w:b w:val="false"/>
                  <w:i w:val="false"/>
                  <w:caps w:val="false"/>
                  <w:smallCaps w:val="false"/>
                  <w:sz w:val="20"/>
                </w:rPr>
                <w:t>Amendment No. 1 to Management Agreement dated July 18, 2024 (incorporated by reference to Exhibit 10.1 to the Company’s Current Report on Form 8-K filed on July 19, 2024).</w:t>
              </w:r>
            </w:hyperlink>
          </w:p>
        </w:tc>
        <w:tc>
          <w:tcPr>
            <w:tcW w:w="177"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31.1*</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w:anchor="pine-20240930xex31d1.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31.2*</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w:anchor="pine-20240930xex31d2.htm">
              <w:r>
                <w:rPr>
                  <w:rStyle w:val="InternetLink"/>
                  <w:rFonts w:ascii="Times New Roman;Times;serif" w:hAnsi="Times New Roman;Times;serif"/>
                  <w:b w:val="false"/>
                  <w:i w:val="false"/>
                  <w:caps w:val="false"/>
                  <w:smallCaps w:val="false"/>
                  <w:sz w:val="20"/>
                </w:rPr>
                <w:t>Certification filed pursuant to Section 302 of the Sarbanes-Oxley Act of 2002.</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32.1**</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w:anchor="pine-20240930xex32d1.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32.2**</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hyperlink w:anchor="pine-20240930xex32d2.htm">
              <w:r>
                <w:rPr>
                  <w:rStyle w:val="InternetLink"/>
                  <w:rFonts w:ascii="Times New Roman;Times;serif" w:hAnsi="Times New Roman;Times;serif"/>
                  <w:b w:val="false"/>
                  <w:i w:val="false"/>
                  <w:caps w:val="false"/>
                  <w:smallCaps w:val="false"/>
                  <w:sz w:val="20"/>
                </w:rPr>
                <w:t>Certification furnished pursuant to 18 U.S.C. Section 1350, as Adopted pursuant to Section 906 of the Sarbanes-Oxley Act of 2002.</w:t>
              </w:r>
            </w:hyperlink>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101.INS</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Instance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101.SCH</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Schema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101.CAL</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Calculation Linkbase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101.DEF</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Definition Linkbase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101.LAB</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Label Linkbase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101.PRE</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Inline XBRL Taxonomy Extension Presentation Linkbase Document</w:t>
            </w:r>
          </w:p>
        </w:tc>
      </w:tr>
      <w:tr>
        <w:trPr/>
        <w:tc>
          <w:tcPr>
            <w:tcW w:w="1293" w:type="dxa"/>
            <w:gridSpan w:val="2"/>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lineRule="auto" w:line="256" w:before="0" w:after="0"/>
              <w:ind w:left="0" w:right="0" w:hanging="0"/>
              <w:jc w:val="both"/>
              <w:rPr/>
            </w:pPr>
            <w:r>
              <w:rPr/>
              <w:t>​</w:t>
            </w:r>
          </w:p>
        </w:tc>
      </w:tr>
      <w:tr>
        <w:trPr/>
        <w:tc>
          <w:tcPr>
            <w:tcW w:w="1293" w:type="dxa"/>
            <w:gridSpan w:val="2"/>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Exhibit 104</w:t>
            </w:r>
          </w:p>
        </w:tc>
        <w:tc>
          <w:tcPr>
            <w:tcW w:w="109" w:type="dxa"/>
            <w:tcBorders/>
            <w:vAlign w:val="center"/>
          </w:tcPr>
          <w:p>
            <w:pPr>
              <w:pStyle w:val="TableContents"/>
              <w:bidi w:val="0"/>
              <w:spacing w:lineRule="auto" w:line="256" w:before="0" w:after="0"/>
              <w:ind w:left="0" w:right="0" w:hanging="0"/>
              <w:jc w:val="both"/>
              <w:rPr/>
            </w:pPr>
            <w:r>
              <w:rPr/>
              <w:t>​</w:t>
            </w:r>
          </w:p>
        </w:tc>
        <w:tc>
          <w:tcPr>
            <w:tcW w:w="8803" w:type="dxa"/>
            <w:gridSpan w:val="2"/>
            <w:tcBorders/>
            <w:vAlign w:val="center"/>
          </w:tcPr>
          <w:p>
            <w:pPr>
              <w:pStyle w:val="TableContents"/>
              <w:bidi w:val="0"/>
              <w:spacing w:before="0" w:after="0"/>
              <w:ind w:left="0" w:right="0" w:hanging="0"/>
              <w:jc w:val="both"/>
              <w:rPr>
                <w:rFonts w:ascii="Times New Roman;Times;serif" w:hAnsi="Times New Roman;Times;serif"/>
                <w:sz w:val="19"/>
              </w:rPr>
            </w:pPr>
            <w:r>
              <w:rPr>
                <w:rFonts w:ascii="Times New Roman;Times;serif" w:hAnsi="Times New Roman;Times;serif"/>
                <w:sz w:val="19"/>
              </w:rPr>
              <w:t>Cover Page Interactive Data File (embedded within the Inline XBRL document)</w:t>
            </w:r>
          </w:p>
        </w:tc>
      </w:tr>
    </w:tbl>
    <w:p>
      <w:pPr>
        <w:pStyle w:val="TextBody"/>
        <w:bidi w:val="0"/>
        <w:spacing w:before="0" w:after="0"/>
        <w:ind w:left="0" w:right="0" w:hanging="0"/>
        <w:jc w:val="both"/>
        <w:rPr/>
      </w:pPr>
      <w:r>
        <w:rPr/>
        <w:t>​</w:t>
      </w:r>
    </w:p>
    <w:tbl>
      <w:tblPr>
        <w:tblW w:w="1704" w:type="dxa"/>
        <w:jc w:val="left"/>
        <w:tblInd w:w="0" w:type="dxa"/>
        <w:tblLayout w:type="fixed"/>
        <w:tblCellMar>
          <w:top w:w="0" w:type="dxa"/>
          <w:left w:w="0" w:type="dxa"/>
          <w:bottom w:w="0" w:type="dxa"/>
          <w:right w:w="0" w:type="dxa"/>
        </w:tblCellMar>
      </w:tblPr>
      <w:tblGrid>
        <w:gridCol w:w="1441"/>
        <w:gridCol w:w="109"/>
        <w:gridCol w:w="154"/>
      </w:tblGrid>
      <w:tr>
        <w:trPr/>
        <w:tc>
          <w:tcPr>
            <w:tcW w:w="14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1441"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lineRule="auto" w:line="256" w:before="0" w:after="0"/>
              <w:ind w:left="0" w:right="0" w:hanging="0"/>
              <w:jc w:val="both"/>
              <w:rPr/>
            </w:pPr>
            <w:r>
              <w:rPr/>
              <w:t>​</w:t>
            </w:r>
          </w:p>
        </w:tc>
      </w:tr>
      <w:tr>
        <w:trPr/>
        <w:tc>
          <w:tcPr>
            <w:tcW w:w="1441" w:type="dxa"/>
            <w:tcBorders/>
            <w:vAlign w:val="center"/>
          </w:tcPr>
          <w:p>
            <w:pPr>
              <w:pStyle w:val="TableContents"/>
              <w:bidi w:val="0"/>
              <w:spacing w:lineRule="auto" w:line="256" w:before="0" w:after="0"/>
              <w:ind w:left="0" w:right="0" w:hanging="0"/>
              <w:jc w:val="both"/>
              <w:rPr>
                <w:rFonts w:ascii="Times New Roman;Times;serif" w:hAnsi="Times New Roman;Times;serif"/>
                <w:sz w:val="19"/>
              </w:rPr>
            </w:pPr>
            <w:r>
              <w:rPr>
                <w:rFonts w:ascii="Times New Roman;Times;serif" w:hAnsi="Times New Roman;Times;serif"/>
                <w:sz w:val="19"/>
              </w:rPr>
              <w:t>* Filed herewith</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1441" w:type="dxa"/>
            <w:tcBorders/>
            <w:vAlign w:val="center"/>
          </w:tcPr>
          <w:p>
            <w:pPr>
              <w:pStyle w:val="TableContents"/>
              <w:bidi w:val="0"/>
              <w:spacing w:lineRule="auto" w:line="256" w:before="0" w:after="0"/>
              <w:ind w:left="0" w:right="0" w:hanging="0"/>
              <w:jc w:val="both"/>
              <w:rPr/>
            </w:pPr>
            <w:r>
              <w:rPr/>
              <w:t>​</w:t>
            </w:r>
          </w:p>
        </w:tc>
        <w:tc>
          <w:tcPr>
            <w:tcW w:w="109" w:type="dxa"/>
            <w:tcBorders/>
            <w:vAlign w:val="center"/>
          </w:tcPr>
          <w:p>
            <w:pPr>
              <w:pStyle w:val="TableContents"/>
              <w:bidi w:val="0"/>
              <w:spacing w:lineRule="auto" w:line="256" w:before="0" w:after="0"/>
              <w:ind w:left="0" w:right="0" w:hanging="0"/>
              <w:jc w:val="both"/>
              <w:rPr/>
            </w:pPr>
            <w:r>
              <w:rPr/>
              <w:t>​</w:t>
            </w:r>
          </w:p>
        </w:tc>
        <w:tc>
          <w:tcPr>
            <w:tcW w:w="154" w:type="dxa"/>
            <w:tcBorders/>
            <w:vAlign w:val="center"/>
          </w:tcPr>
          <w:p>
            <w:pPr>
              <w:pStyle w:val="TableContents"/>
              <w:bidi w:val="0"/>
              <w:spacing w:lineRule="auto" w:line="256"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9"/>
        </w:rPr>
        <w:t>** Furnished herewith</w:t>
      </w:r>
      <w:r>
        <w:rPr>
          <w:rFonts w:ascii="Times New Roman;Times;serif" w:hAnsi="Times New Roman;Times;serif"/>
          <w:sz w:val="18"/>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78" w:name="Signatures_946901"/>
      <w:bookmarkStart w:id="1479" w:name="_881f0f7b_367f_45d8_9b43_2b3549bbd291"/>
      <w:bookmarkEnd w:id="1478"/>
      <w:bookmarkEnd w:id="1479"/>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838" w:type="dxa"/>
        <w:jc w:val="left"/>
        <w:tblInd w:w="0" w:type="dxa"/>
        <w:tblLayout w:type="fixed"/>
        <w:tblCellMar>
          <w:top w:w="0" w:type="dxa"/>
          <w:left w:w="0" w:type="dxa"/>
          <w:bottom w:w="0" w:type="dxa"/>
          <w:right w:w="0" w:type="dxa"/>
        </w:tblCellMar>
      </w:tblPr>
      <w:tblGrid>
        <w:gridCol w:w="1531"/>
        <w:gridCol w:w="146"/>
        <w:gridCol w:w="406"/>
        <w:gridCol w:w="109"/>
        <w:gridCol w:w="364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972185" cy="175260"/>
                      <wp:effectExtent l="0" t="0" r="0" b="0"/>
                      <wp:wrapNone/>
                      <wp:docPr id="425" name="Frame42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92710" cy="175260"/>
                      <wp:effectExtent l="0" t="0" r="0" b="0"/>
                      <wp:wrapNone/>
                      <wp:docPr id="426" name="Frame42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57810" cy="175260"/>
                      <wp:effectExtent l="0" t="0" r="0" b="0"/>
                      <wp:wrapNone/>
                      <wp:docPr id="427" name="Frame42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9215" cy="175260"/>
                      <wp:effectExtent l="0" t="0" r="0" b="0"/>
                      <wp:wrapNone/>
                      <wp:docPr id="428" name="Frame4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315210" cy="175260"/>
                      <wp:effectExtent l="0" t="0" r="0" b="0"/>
                      <wp:wrapNone/>
                      <wp:docPr id="429" name="Frame429"/>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ALPINE INCOME PROPERTY TRUST, INC.</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16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17,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John P. Albright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President and Chief Executive Officer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Executive Officer)</w:t>
            </w:r>
          </w:p>
        </w:tc>
      </w:tr>
      <w:tr>
        <w:trPr/>
        <w:tc>
          <w:tcPr>
            <w:tcW w:w="1531" w:type="dxa"/>
            <w:tcBorders/>
            <w:vAlign w:val="center"/>
          </w:tcPr>
          <w:p>
            <w:pPr>
              <w:pStyle w:val="TableContents"/>
              <w:bidi w:val="0"/>
              <w:spacing w:before="0" w:after="0"/>
              <w:ind w:left="0" w:right="0" w:hanging="0"/>
              <w:jc w:val="left"/>
              <w:rPr/>
            </w:pPr>
            <w:r>
              <w:rPr/>
              <w:t>​</w:t>
            </w:r>
          </w:p>
        </w:tc>
        <w:tc>
          <w:tcPr>
            <w:tcW w:w="552" w:type="dxa"/>
            <w:gridSpan w:val="2"/>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17,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Philip R. Mays, Senior Vice President,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Financial Officer and Treasurer</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Financial Officer)</w:t>
            </w:r>
          </w:p>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17, 2024</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Lisa M. Vorakoun</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Lisa M. Vorakoun, Senior Vice President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and Chief Accounting Officer </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Accounting Officer)</w:t>
            </w:r>
          </w:p>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tLeast" w:line="142" w:before="0" w:after="0"/>
        <w:ind w:left="0" w:right="0" w:hanging="0"/>
        <w:jc w:val="left"/>
        <w:rPr/>
      </w:pPr>
      <w:bookmarkStart w:id="1480" w:name="pine-20240930xex31d1.htm"/>
      <w:bookmarkStart w:id="1481" w:name="kspine20240930xex31d1"/>
      <w:bookmarkEnd w:id="1480"/>
      <w:bookmarkEnd w:id="1481"/>
      <w:r>
        <w:rPr/>
        <w:t>​</w:t>
      </w:r>
      <w:r>
        <w:br w:type="page"/>
      </w:r>
    </w:p>
    <w:p>
      <w:pPr>
        <w:pStyle w:val="TextBody"/>
        <w:bidi w:val="0"/>
        <w:spacing w:before="0" w:after="20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John P. Albright,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17, 2024</w:t>
      </w:r>
    </w:p>
    <w:tbl>
      <w:tblPr>
        <w:tblW w:w="3886" w:type="dxa"/>
        <w:jc w:val="left"/>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92710" cy="175260"/>
                      <wp:effectExtent l="0" t="0" r="0" b="0"/>
                      <wp:wrapNone/>
                      <wp:docPr id="430" name="Frame4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0"/>
              <w:ind w:left="0" w:right="0" w:hanging="0"/>
              <w:jc w:val="left"/>
              <w:rPr/>
            </w:pPr>
            <w:r>
              <w:rPr/>
              <w:t>​</w:t>
            </w:r>
          </w:p>
        </w:tc>
        <w:tc>
          <w:tcPr>
            <w:tcW w:w="705"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482" w:name="pine-20240930xex31d2.htm"/>
      <w:bookmarkStart w:id="1483" w:name="kspine20240930xex31d2"/>
      <w:bookmarkEnd w:id="1482"/>
      <w:bookmarkEnd w:id="1483"/>
      <w:r>
        <w:rPr>
          <w:rFonts w:ascii="Times New Roman;Times;serif" w:hAnsi="Times New Roman;Times;serif"/>
          <w:b/>
          <w:sz w:val="20"/>
        </w:rPr>
        <w:t>Exhibit 31.2</w:t>
      </w:r>
      <w:r>
        <w:br w:type="page"/>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Philip R. Mays, certify that:</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Alpine Income Property Trust,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Date: October 17, 2024</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67335" cy="175260"/>
                      <wp:effectExtent l="0" t="0" r="0" b="0"/>
                      <wp:wrapNone/>
                      <wp:docPr id="431" name="Frame431"/>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2710" cy="175260"/>
                      <wp:effectExtent l="0" t="0" r="0" b="0"/>
                      <wp:wrapNone/>
                      <wp:docPr id="432" name="Frame4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698625" cy="175260"/>
                      <wp:effectExtent l="0" t="0" r="0" b="0"/>
                      <wp:wrapNone/>
                      <wp:docPr id="433" name="Frame433"/>
                      <a:graphic xmlns:a="http://schemas.openxmlformats.org/drawingml/2006/main">
                        <a:graphicData uri="http://schemas.microsoft.com/office/word/2010/wordprocessingShape">
                          <wps:wsp>
                            <wps:cNvSpPr txBox="1"/>
                            <wps:spPr>
                              <a:xfrm>
                                <a:off x="0" y="0"/>
                                <a:ext cx="1698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56565" cy="175260"/>
                      <wp:effectExtent l="0" t="0" r="0" b="0"/>
                      <wp:wrapNone/>
                      <wp:docPr id="434" name="Frame434"/>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4" w:name="pine-20240930xex32d1.htm"/>
      <w:bookmarkStart w:id="1485" w:name="kspine20240930xex32d1"/>
      <w:bookmarkEnd w:id="1484"/>
      <w:bookmarkEnd w:id="148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September 30,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17, 2024</w:t>
      </w:r>
    </w:p>
    <w:tbl>
      <w:tblPr>
        <w:tblW w:w="3886" w:type="dxa"/>
        <w:jc w:val="center"/>
        <w:tblInd w:w="0" w:type="dxa"/>
        <w:tblLayout w:type="fixed"/>
        <w:tblCellMar>
          <w:top w:w="0" w:type="dxa"/>
          <w:left w:w="0" w:type="dxa"/>
          <w:bottom w:w="0" w:type="dxa"/>
          <w:right w:w="0" w:type="dxa"/>
        </w:tblCellMar>
      </w:tblPr>
      <w:tblGrid>
        <w:gridCol w:w="421"/>
        <w:gridCol w:w="146"/>
        <w:gridCol w:w="2614"/>
        <w:gridCol w:w="551"/>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67335" cy="175260"/>
                      <wp:effectExtent l="0" t="0" r="0" b="0"/>
                      <wp:wrapNone/>
                      <wp:docPr id="435" name="Frame43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92710" cy="175260"/>
                      <wp:effectExtent l="0" t="0" r="0" b="0"/>
                      <wp:wrapNone/>
                      <wp:docPr id="436" name="Frame4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659890" cy="175260"/>
                      <wp:effectExtent l="0" t="0" r="0" b="0"/>
                      <wp:wrapNone/>
                      <wp:docPr id="437" name="Frame437"/>
                      <a:graphic xmlns:a="http://schemas.openxmlformats.org/drawingml/2006/main">
                        <a:graphicData uri="http://schemas.microsoft.com/office/word/2010/wordprocessingShape">
                          <wps:wsp>
                            <wps:cNvSpPr txBox="1"/>
                            <wps:spPr>
                              <a:xfrm>
                                <a:off x="0" y="0"/>
                                <a:ext cx="165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48310" cy="175260"/>
                      <wp:effectExtent l="0" t="0" r="0" b="0"/>
                      <wp:wrapNone/>
                      <wp:docPr id="438" name="Frame438"/>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P. Albright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P. Albright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486" w:name="pine-20240930xex32d2.htm"/>
      <w:bookmarkStart w:id="1487" w:name="kspine20240930xex32d2"/>
      <w:bookmarkEnd w:id="1486"/>
      <w:bookmarkEnd w:id="148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Alpine Income Property Trust, Inc. (the “Company”) on Form 10-Q for the period ended September 30,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October 17, 2024</w:t>
      </w:r>
    </w:p>
    <w:tbl>
      <w:tblPr>
        <w:tblW w:w="3961" w:type="dxa"/>
        <w:jc w:val="left"/>
        <w:tblInd w:w="0" w:type="dxa"/>
        <w:tblLayout w:type="fixed"/>
        <w:tblCellMar>
          <w:top w:w="0" w:type="dxa"/>
          <w:left w:w="0" w:type="dxa"/>
          <w:bottom w:w="0" w:type="dxa"/>
          <w:right w:w="0" w:type="dxa"/>
        </w:tblCellMar>
      </w:tblPr>
      <w:tblGrid>
        <w:gridCol w:w="421"/>
        <w:gridCol w:w="146"/>
        <w:gridCol w:w="2675"/>
        <w:gridCol w:w="565"/>
        <w:gridCol w:w="154"/>
      </w:tblGrid>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92710" cy="175260"/>
                      <wp:effectExtent l="0" t="0" r="0" b="0"/>
                      <wp:wrapNone/>
                      <wp:docPr id="439" name="Frame4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5" w:type="dxa"/>
            <w:tcBorders/>
            <w:vAlign w:val="center"/>
          </w:tcPr>
          <w:p>
            <w:pPr>
              <w:pStyle w:val="TableContents"/>
              <w:bidi w:val="0"/>
              <w:spacing w:before="0" w:after="0"/>
              <w:ind w:left="0" w:right="0" w:hanging="0"/>
              <w:jc w:val="left"/>
              <w:rPr/>
            </w:pPr>
            <w:r>
              <w:rPr/>
              <w:t>​</w:t>
            </w:r>
          </w:p>
        </w:tc>
        <w:tc>
          <w:tcPr>
            <w:tcW w:w="719" w:type="dxa"/>
            <w:gridSpan w:val="2"/>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Mays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Philip R. Mays, Senior Vice President, </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6117/000155837019011294/ex-3d1.htm" TargetMode="External"/><Relationship Id="rId3" Type="http://schemas.openxmlformats.org/officeDocument/2006/relationships/hyperlink" Target="https://www.sec.gov/Archives/edgar/data/1786117/000155837023000881/pine-20230201xex3d1.htm" TargetMode="External"/><Relationship Id="rId4" Type="http://schemas.openxmlformats.org/officeDocument/2006/relationships/hyperlink" Target="https://www.sec.gov/Archives/edgar/data/1786117/000155837023000881/pine-20230201xex3d1.htm" TargetMode="External"/><Relationship Id="rId5" Type="http://schemas.openxmlformats.org/officeDocument/2006/relationships/hyperlink" Target="https://www.sec.gov/Archives/edgar/data/0001786117/000119312519277917/d793798dex41.htm" TargetMode="External"/><Relationship Id="rId6" Type="http://schemas.openxmlformats.org/officeDocument/2006/relationships/hyperlink" Target="https://www.sec.gov/Archives/edgar/data/1786117/000155837024009917/pine-20240718xex10d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24133</Words>
  <Characters>131749</Characters>
  <CharactersWithSpaces>157409</CharactersWithSpaces>
  <Paragraphs>6682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