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w w:val="99"/>
              </w:rPr>
              <w:t>369 N. New York Avenue, Suite 201</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584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80" w:type="dxa"/>
            <w:vAlign w:val="bottom"/>
          </w:tcPr>
          <w:p>
            <w:pPr>
              <w:spacing w:after="0"/>
              <w:rPr>
                <w:sz w:val="22"/>
                <w:szCs w:val="22"/>
                <w:color w:val="auto"/>
              </w:rPr>
            </w:pPr>
          </w:p>
        </w:tc>
      </w:tr>
      <w:tr>
        <w:trPr>
          <w:trHeight w:val="212"/>
        </w:trPr>
        <w:tc>
          <w:tcPr>
            <w:tcW w:w="584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351"/>
        </w:trPr>
        <w:tc>
          <w:tcPr>
            <w:tcW w:w="41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14"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July 17, 2025 was 14,158,190.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10"/>
          </w:tcPr>
          <w:p>
            <w:pPr>
              <w:ind w:left="112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9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1"/>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4"/>
            <w:vMerge w:val="continue"/>
          </w:tcPr>
          <w:p>
            <w:pPr>
              <w:spacing w:after="0"/>
              <w:rPr>
                <w:sz w:val="13"/>
                <w:szCs w:val="13"/>
                <w:color w:val="auto"/>
              </w:rPr>
            </w:pPr>
          </w:p>
        </w:tc>
        <w:tc>
          <w:tcPr>
            <w:tcW w:w="5080" w:type="dxa"/>
            <w:vAlign w:val="bottom"/>
            <w:gridSpan w:val="11"/>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Balance Sheets – June 30, 2025 (Unaudited) and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and six months ended June 30, 2025 and 2024</w:t>
            </w:r>
          </w:p>
        </w:tc>
        <w:tc>
          <w:tcPr>
            <w:tcW w:w="9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and six months ended June 30, 2025 and</w:t>
            </w:r>
          </w:p>
        </w:tc>
        <w:tc>
          <w:tcPr>
            <w:tcW w:w="4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2024 (Unaudited)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5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and six months ended June 30, 2025 and 2024</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Cash Flows – Six months ended June 30, 2025 and 2024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940" w:type="dxa"/>
            <w:vAlign w:val="bottom"/>
            <w:tcBorders>
              <w:top w:val="single" w:sz="8" w:color="0000EE"/>
            </w:tcBorders>
            <w:gridSpan w:val="6"/>
          </w:tcPr>
          <w:p>
            <w:pPr>
              <w:spacing w:after="0"/>
              <w:rPr>
                <w:sz w:val="24"/>
                <w:szCs w:val="24"/>
                <w:color w:val="auto"/>
              </w:rPr>
            </w:pPr>
          </w:p>
        </w:tc>
        <w:tc>
          <w:tcPr>
            <w:tcW w:w="7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7"/>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2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20" w:type="dxa"/>
            <w:vAlign w:val="bottom"/>
          </w:tcPr>
          <w:p>
            <w:pPr>
              <w:spacing w:after="0"/>
              <w:rPr>
                <w:sz w:val="16"/>
                <w:szCs w:val="16"/>
                <w:color w:val="auto"/>
              </w:rPr>
            </w:pPr>
          </w:p>
        </w:tc>
        <w:tc>
          <w:tcPr>
            <w:tcW w:w="11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356,835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(50,791)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628,446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 Under Participation Agreement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Debt—Net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376,359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20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100 million shares authorized, no shares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14,151,914 shares issued and outstanding as of June 30, 2025 and 14,691,982 shares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in Excess of Net Income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(26,721)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628,446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1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12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Loss (Income) Attributable to</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Alpine Income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1"/>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6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Alpine Income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14,202,796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13,624,932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14,414,682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14,848,786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15,638,536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80" w:right="170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(Unaudited,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Flow Hedging Derivative - Interest Rate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Swaps</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(1,310)</w:t>
            </w:r>
          </w:p>
        </w:tc>
        <w:tc>
          <w:tcPr>
            <w:tcW w:w="7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(715)</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(3,703)</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(715)</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(6,763)</w:t>
            </w: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7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Less: Comprehensive Loss (Income) Attributable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Noncontrolling Interest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178"/>
        </w:trPr>
        <w:tc>
          <w:tcPr>
            <w:tcW w:w="37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Comprehensive Loss (Income) Attributable to</w:t>
            </w: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8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8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6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(2,847)</w:t>
            </w:r>
          </w:p>
        </w:tc>
        <w:tc>
          <w:tcPr>
            <w:tcW w:w="760" w:type="dxa"/>
            <w:vAlign w:val="bottom"/>
            <w:vMerge w:val="restart"/>
          </w:tcPr>
          <w:p>
            <w:pPr>
              <w:jc w:val="right"/>
              <w:ind w:right="571"/>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(452)</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(6,234)</w:t>
            </w:r>
          </w:p>
        </w:tc>
        <w:tc>
          <w:tcPr>
            <w:tcW w:w="660" w:type="dxa"/>
            <w:vAlign w:val="bottom"/>
            <w:vMerge w:val="restart"/>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Alpine Income Property Trust, Inc.</w:t>
            </w:r>
          </w:p>
        </w:tc>
        <w:tc>
          <w:tcPr>
            <w:tcW w:w="26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June 30, 2025:</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Excess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8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Stockholders'</w:t>
            </w:r>
          </w:p>
        </w:tc>
        <w:tc>
          <w:tcPr>
            <w:tcW w:w="14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120" w:type="dxa"/>
            <w:vAlign w:val="bottom"/>
          </w:tcPr>
          <w:p>
            <w:pPr>
              <w:spacing w:after="0"/>
              <w:rPr>
                <w:sz w:val="17"/>
                <w:szCs w:val="17"/>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6"/>
        </w:trPr>
        <w:tc>
          <w:tcPr>
            <w:tcW w:w="1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Par</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9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April 1, 2025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257,290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(21,048)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240,949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$ 263,785</w:t>
            </w: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(1,782)</w:t>
            </w:r>
          </w:p>
        </w:tc>
      </w:tr>
      <w:tr>
        <w:trPr>
          <w:trHeight w:val="20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Repurchases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(4,316)</w:t>
            </w:r>
          </w:p>
        </w:tc>
      </w:tr>
      <w:tr>
        <w:trPr>
          <w:trHeight w:val="181"/>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2"/>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183"/>
        </w:trPr>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Cash Dividends ($0.285</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r>
      <w:tr>
        <w:trPr>
          <w:trHeight w:val="181"/>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Other Comprehensive</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3"/>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Loss</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(1,310)</w:t>
            </w:r>
          </w:p>
        </w:tc>
      </w:tr>
      <w:tr>
        <w:trPr>
          <w:trHeight w:val="197"/>
        </w:trPr>
        <w:tc>
          <w:tcPr>
            <w:tcW w:w="1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June 30, 2025</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253,067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(26,721)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229,845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$ 252,087</w:t>
            </w:r>
          </w:p>
        </w:tc>
      </w:tr>
      <w:tr>
        <w:trPr>
          <w:trHeight w:val="20"/>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June 30, 2024:</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Excess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300" w:type="dxa"/>
            <w:vAlign w:val="bottom"/>
            <w:gridSpan w:val="3"/>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w w:val="98"/>
              </w:rPr>
              <w:t>Stockholders'</w:t>
            </w:r>
          </w:p>
        </w:tc>
        <w:tc>
          <w:tcPr>
            <w:tcW w:w="14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140" w:type="dxa"/>
            <w:vAlign w:val="bottom"/>
          </w:tcPr>
          <w:p>
            <w:pPr>
              <w:spacing w:after="0"/>
              <w:rPr>
                <w:sz w:val="17"/>
                <w:szCs w:val="17"/>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6"/>
        </w:trPr>
        <w:tc>
          <w:tcPr>
            <w:tcW w:w="1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Par</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98"/>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April 1, 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248,152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$ 272,856</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181"/>
        </w:trPr>
        <w:tc>
          <w:tcPr>
            <w:tcW w:w="1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181"/>
        </w:trPr>
        <w:tc>
          <w:tcPr>
            <w:tcW w:w="18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Payment of Equity</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2"/>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83"/>
        </w:trPr>
        <w:tc>
          <w:tcPr>
            <w:tcW w:w="18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Cash Dividends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($0.275 per share)</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(4,084)</w:t>
            </w:r>
          </w:p>
        </w:tc>
      </w:tr>
      <w:tr>
        <w:trPr>
          <w:trHeight w:val="181"/>
        </w:trPr>
        <w:tc>
          <w:tcPr>
            <w:tcW w:w="18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Other Comprehensive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3"/>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Loss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197"/>
        </w:trPr>
        <w:tc>
          <w:tcPr>
            <w:tcW w:w="1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June 30, 2024</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244,028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$ 268,354</w:t>
            </w:r>
          </w:p>
        </w:tc>
      </w:tr>
      <w:tr>
        <w:trPr>
          <w:trHeight w:val="20"/>
        </w:trPr>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600"/>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(Continued)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six months ended June 30, 2025:</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Dividends</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Excess</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Stock at</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7"/>
        </w:trPr>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Par</w:t>
            </w:r>
          </w:p>
        </w:tc>
        <w:tc>
          <w:tcPr>
            <w:tcW w:w="1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62"/>
        </w:trPr>
        <w:tc>
          <w:tcPr>
            <w:tcW w:w="18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Balance January 1,</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261,831</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(15,722)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$ 276,495</w:t>
            </w:r>
          </w:p>
        </w:tc>
      </w:tr>
      <w:tr>
        <w:trPr>
          <w:trHeight w:val="202"/>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(2,820)</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w:t>
            </w:r>
          </w:p>
        </w:tc>
      </w:tr>
      <w:tr>
        <w:trPr>
          <w:trHeight w:val="20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Repurchases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(8,793)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(8,798)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(8,798)</w:t>
            </w:r>
          </w:p>
        </w:tc>
      </w:tr>
      <w:tr>
        <w:trPr>
          <w:trHeight w:val="181"/>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182"/>
        </w:trPr>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Payment of Equity</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Costs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181"/>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Cash Dividends ($0.570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(8,179)</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(8,179)</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(8,876)</w:t>
            </w:r>
          </w:p>
        </w:tc>
      </w:tr>
      <w:tr>
        <w:trPr>
          <w:trHeight w:val="182"/>
        </w:trPr>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Other Comprehensive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(3,414)</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(3,414)</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253,067</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(26,721)</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229,845</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22,242</w:t>
            </w:r>
          </w:p>
        </w:tc>
        <w:tc>
          <w:tcPr>
            <w:tcW w:w="1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$ 252,087</w:t>
            </w:r>
          </w:p>
        </w:tc>
      </w:tr>
      <w:tr>
        <w:trPr>
          <w:trHeight w:val="20"/>
        </w:trPr>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six months ended June 30, 2024:</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in Excess</w:t>
            </w: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Stock at</w:t>
            </w: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120" w:type="dxa"/>
            <w:vAlign w:val="bottom"/>
          </w:tcPr>
          <w:p>
            <w:pPr>
              <w:spacing w:after="0"/>
              <w:rPr>
                <w:sz w:val="17"/>
                <w:szCs w:val="17"/>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Par</w:t>
            </w:r>
          </w:p>
        </w:tc>
        <w:tc>
          <w:tcPr>
            <w:tcW w:w="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0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8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2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20" w:type="dxa"/>
            <w:vAlign w:val="bottom"/>
          </w:tcPr>
          <w:p>
            <w:pPr>
              <w:spacing w:after="0"/>
              <w:rPr>
                <w:sz w:val="19"/>
                <w:szCs w:val="19"/>
                <w:color w:val="auto"/>
              </w:rPr>
            </w:pPr>
          </w:p>
        </w:tc>
        <w:tc>
          <w:tcPr>
            <w:tcW w:w="6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62"/>
        </w:trPr>
        <w:tc>
          <w:tcPr>
            <w:tcW w:w="14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Balance January</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275,613</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81"/>
        </w:trPr>
        <w:tc>
          <w:tcPr>
            <w:tcW w:w="1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Stock</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181"/>
        </w:trPr>
        <w:tc>
          <w:tcPr>
            <w:tcW w:w="14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82"/>
        </w:trPr>
        <w:tc>
          <w:tcPr>
            <w:tcW w:w="14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Payment of</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Issuance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181"/>
        </w:trPr>
        <w:tc>
          <w:tcPr>
            <w:tcW w:w="14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Cash Dividends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($0.550 per share)</w:t>
            </w: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(7,492)</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(7,492)</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(674)</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(8,166)</w:t>
            </w:r>
          </w:p>
        </w:tc>
        <w:tc>
          <w:tcPr>
            <w:tcW w:w="0" w:type="dxa"/>
            <w:vAlign w:val="bottom"/>
          </w:tcPr>
          <w:p>
            <w:pPr>
              <w:spacing w:after="0"/>
              <w:rPr>
                <w:sz w:val="1"/>
                <w:szCs w:val="1"/>
                <w:color w:val="auto"/>
              </w:rPr>
            </w:pPr>
          </w:p>
        </w:tc>
      </w:tr>
      <w:tr>
        <w:trPr>
          <w:trHeight w:val="182"/>
        </w:trPr>
        <w:tc>
          <w:tcPr>
            <w:tcW w:w="14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0" w:type="dxa"/>
            <w:vAlign w:val="bottom"/>
          </w:tcPr>
          <w:p>
            <w:pPr>
              <w:spacing w:after="0"/>
              <w:rPr>
                <w:sz w:val="1"/>
                <w:szCs w:val="1"/>
                <w:color w:val="auto"/>
              </w:rPr>
            </w:pPr>
          </w:p>
        </w:tc>
      </w:tr>
      <w:tr>
        <w:trPr>
          <w:trHeight w:val="161"/>
        </w:trPr>
        <w:tc>
          <w:tcPr>
            <w:tcW w:w="146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Balance June 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243,019</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(9,907)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10,780</w:t>
            </w:r>
          </w:p>
        </w:tc>
        <w:tc>
          <w:tcPr>
            <w:tcW w:w="140" w:type="dxa"/>
            <w:vAlign w:val="bottom"/>
          </w:tcPr>
          <w:p>
            <w:pPr>
              <w:spacing w:after="0"/>
              <w:rPr>
                <w:sz w:val="13"/>
                <w:szCs w:val="13"/>
                <w:color w:val="auto"/>
              </w:rPr>
            </w:pPr>
          </w:p>
        </w:tc>
        <w:tc>
          <w:tcPr>
            <w:tcW w:w="1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244,028</w:t>
            </w:r>
          </w:p>
        </w:tc>
        <w:tc>
          <w:tcPr>
            <w:tcW w:w="140" w:type="dxa"/>
            <w:vAlign w:val="bottom"/>
          </w:tcPr>
          <w:p>
            <w:pPr>
              <w:spacing w:after="0"/>
              <w:rPr>
                <w:sz w:val="13"/>
                <w:szCs w:val="13"/>
                <w:color w:val="auto"/>
              </w:rPr>
            </w:pPr>
          </w:p>
        </w:tc>
        <w:tc>
          <w:tcPr>
            <w:tcW w:w="2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24,326</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268,354</w:t>
            </w:r>
          </w:p>
        </w:tc>
        <w:tc>
          <w:tcPr>
            <w:tcW w:w="0" w:type="dxa"/>
            <w:vAlign w:val="bottom"/>
          </w:tcPr>
          <w:p>
            <w:pPr>
              <w:spacing w:after="0"/>
              <w:rPr>
                <w:sz w:val="1"/>
                <w:szCs w:val="1"/>
                <w:color w:val="auto"/>
              </w:rPr>
            </w:pP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11" w:lineRule="exact"/>
        <w:rPr>
          <w:sz w:val="20"/>
          <w:szCs w:val="20"/>
          <w:color w:val="auto"/>
        </w:rPr>
      </w:pPr>
    </w:p>
    <w:tbl>
      <w:tblPr>
        <w:tblLayout w:type="fixed"/>
        <w:tblInd w:w="5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2"/>
                <w:szCs w:val="12"/>
                <w:color w:val="auto"/>
              </w:rPr>
            </w:pPr>
          </w:p>
        </w:tc>
      </w:tr>
      <w:tr>
        <w:trPr>
          <w:trHeight w:val="142"/>
        </w:trPr>
        <w:tc>
          <w:tcPr>
            <w:tcW w:w="562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2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(3,060)</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12,734</w:t>
            </w: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(2,089)</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20" w:type="dxa"/>
            <w:vAlign w:val="bottom"/>
          </w:tcPr>
          <w:p>
            <w:pPr>
              <w:spacing w:after="0"/>
              <w:rPr>
                <w:sz w:val="12"/>
                <w:szCs w:val="12"/>
                <w:color w:val="auto"/>
              </w:rPr>
            </w:pPr>
          </w:p>
        </w:tc>
      </w:tr>
      <w:tr>
        <w:trPr>
          <w:trHeight w:val="149"/>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w:t>
            </w:r>
          </w:p>
        </w:tc>
        <w:tc>
          <w:tcPr>
            <w:tcW w:w="20" w:type="dxa"/>
            <w:vAlign w:val="bottom"/>
          </w:tcPr>
          <w:p>
            <w:pPr>
              <w:spacing w:after="0"/>
              <w:rPr>
                <w:sz w:val="12"/>
                <w:szCs w:val="12"/>
                <w:color w:val="auto"/>
              </w:rPr>
            </w:pPr>
          </w:p>
        </w:tc>
      </w:tr>
      <w:tr>
        <w:trPr>
          <w:trHeight w:val="149"/>
        </w:trPr>
        <w:tc>
          <w:tcPr>
            <w:tcW w:w="562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tcBorders>
            <w:gridSpan w:val="2"/>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14,924</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14,791</w:t>
            </w:r>
          </w:p>
        </w:tc>
        <w:tc>
          <w:tcPr>
            <w:tcW w:w="20" w:type="dxa"/>
            <w:vAlign w:val="bottom"/>
          </w:tcPr>
          <w:p>
            <w:pPr>
              <w:spacing w:after="0"/>
              <w:rPr>
                <w:sz w:val="12"/>
                <w:szCs w:val="12"/>
                <w:color w:val="auto"/>
              </w:rPr>
            </w:pPr>
          </w:p>
        </w:tc>
      </w:tr>
      <w:tr>
        <w:trPr>
          <w:trHeight w:val="142"/>
        </w:trPr>
        <w:tc>
          <w:tcPr>
            <w:tcW w:w="5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Real Estate, Including Capitalized Expenditures</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(40,339)</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(15,946)</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Disposition of Assets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6,384</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(33,098)</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(10,315)</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14,263</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Participation Obligation</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(9,131)</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562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(43,892)</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(5,614)</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23,500</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(14,500)</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(31,000)</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(8,798)</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20" w:type="dxa"/>
            <w:vAlign w:val="bottom"/>
          </w:tcPr>
          <w:p>
            <w:pPr>
              <w:spacing w:after="0"/>
              <w:rPr>
                <w:sz w:val="12"/>
                <w:szCs w:val="12"/>
                <w:color w:val="auto"/>
              </w:rPr>
            </w:pPr>
          </w:p>
        </w:tc>
      </w:tr>
      <w:tr>
        <w:trPr>
          <w:trHeight w:val="148"/>
        </w:trPr>
        <w:tc>
          <w:tcPr>
            <w:tcW w:w="56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2"/>
                <w:szCs w:val="12"/>
                <w:color w:val="auto"/>
              </w:rPr>
            </w:pPr>
          </w:p>
        </w:tc>
      </w:tr>
      <w:tr>
        <w:trPr>
          <w:trHeight w:val="148"/>
        </w:trPr>
        <w:tc>
          <w:tcPr>
            <w:tcW w:w="56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(8,876)</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(8,166)</w:t>
            </w:r>
          </w:p>
        </w:tc>
        <w:tc>
          <w:tcPr>
            <w:tcW w:w="20" w:type="dxa"/>
            <w:vAlign w:val="bottom"/>
          </w:tcPr>
          <w:p>
            <w:pPr>
              <w:spacing w:after="0"/>
              <w:rPr>
                <w:sz w:val="12"/>
                <w:szCs w:val="12"/>
                <w:color w:val="auto"/>
              </w:rPr>
            </w:pPr>
          </w:p>
        </w:tc>
      </w:tr>
      <w:tr>
        <w:trPr>
          <w:trHeight w:val="142"/>
        </w:trPr>
        <w:tc>
          <w:tcPr>
            <w:tcW w:w="562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33,144</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(16,512)</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(7,335)</w:t>
            </w:r>
          </w:p>
        </w:tc>
        <w:tc>
          <w:tcPr>
            <w:tcW w:w="20" w:type="dxa"/>
            <w:vAlign w:val="bottom"/>
          </w:tcPr>
          <w:p>
            <w:pPr>
              <w:spacing w:after="0"/>
              <w:rPr>
                <w:sz w:val="12"/>
                <w:szCs w:val="12"/>
                <w:color w:val="auto"/>
              </w:rPr>
            </w:pPr>
          </w:p>
        </w:tc>
      </w:tr>
      <w:tr>
        <w:trPr>
          <w:trHeight w:val="148"/>
        </w:trPr>
        <w:tc>
          <w:tcPr>
            <w:tcW w:w="56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13,731</w:t>
            </w:r>
          </w:p>
        </w:tc>
        <w:tc>
          <w:tcPr>
            <w:tcW w:w="20" w:type="dxa"/>
            <w:vAlign w:val="bottom"/>
          </w:tcPr>
          <w:p>
            <w:pPr>
              <w:spacing w:after="0"/>
              <w:rPr>
                <w:sz w:val="12"/>
                <w:szCs w:val="12"/>
                <w:color w:val="auto"/>
              </w:rPr>
            </w:pPr>
          </w:p>
        </w:tc>
      </w:tr>
      <w:tr>
        <w:trPr>
          <w:trHeight w:val="142"/>
        </w:trPr>
        <w:tc>
          <w:tcPr>
            <w:tcW w:w="562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12,127</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6,396</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6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w:t>
            </w:r>
          </w:p>
        </w:tc>
        <w:tc>
          <w:tcPr>
            <w:tcW w:w="16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3,260</w:t>
            </w:r>
          </w:p>
        </w:tc>
        <w:tc>
          <w:tcPr>
            <w:tcW w:w="20" w:type="dxa"/>
            <w:vAlign w:val="bottom"/>
          </w:tcPr>
          <w:p>
            <w:pPr>
              <w:spacing w:after="0"/>
              <w:rPr>
                <w:sz w:val="12"/>
                <w:szCs w:val="12"/>
                <w:color w:val="auto"/>
              </w:rPr>
            </w:pPr>
          </w:p>
        </w:tc>
      </w:tr>
      <w:tr>
        <w:trPr>
          <w:trHeight w:val="149"/>
        </w:trPr>
        <w:tc>
          <w:tcPr>
            <w:tcW w:w="56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7,127</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3,136</w:t>
            </w:r>
          </w:p>
        </w:tc>
        <w:tc>
          <w:tcPr>
            <w:tcW w:w="20" w:type="dxa"/>
            <w:vAlign w:val="bottom"/>
          </w:tcPr>
          <w:p>
            <w:pPr>
              <w:spacing w:after="0"/>
              <w:rPr>
                <w:sz w:val="12"/>
                <w:szCs w:val="12"/>
                <w:color w:val="auto"/>
              </w:rPr>
            </w:pPr>
          </w:p>
        </w:tc>
      </w:tr>
      <w:tr>
        <w:trPr>
          <w:trHeight w:val="142"/>
        </w:trPr>
        <w:tc>
          <w:tcPr>
            <w:tcW w:w="5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12,127</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6,396</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40" w:right="184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CASH FLOWS (Continued) (Unaudited,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2"/>
                <w:szCs w:val="12"/>
                <w:color w:val="auto"/>
              </w:rPr>
            </w:pPr>
          </w:p>
        </w:tc>
        <w:tc>
          <w:tcPr>
            <w:tcW w:w="126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42"/>
        </w:trPr>
        <w:tc>
          <w:tcPr>
            <w:tcW w:w="5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r>
      <w:tr>
        <w:trPr>
          <w:trHeight w:val="148"/>
        </w:trPr>
        <w:tc>
          <w:tcPr>
            <w:tcW w:w="5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6,683</w:t>
            </w:r>
          </w:p>
        </w:tc>
        <w:tc>
          <w:tcPr>
            <w:tcW w:w="160" w:type="dxa"/>
            <w:vAlign w:val="bottom"/>
          </w:tcPr>
          <w:p>
            <w:pPr>
              <w:spacing w:after="0"/>
              <w:rPr>
                <w:sz w:val="12"/>
                <w:szCs w:val="12"/>
                <w:color w:val="auto"/>
              </w:rPr>
            </w:pP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5,503</w:t>
            </w:r>
          </w:p>
        </w:tc>
      </w:tr>
      <w:tr>
        <w:trPr>
          <w:trHeight w:val="148"/>
        </w:trPr>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49"/>
        </w:trPr>
        <w:tc>
          <w:tcPr>
            <w:tcW w:w="5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8"/>
        </w:trPr>
        <w:tc>
          <w:tcPr>
            <w:tcW w:w="5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(Loss) on Cash Flow Hedge</w:t>
            </w:r>
          </w:p>
        </w:tc>
        <w:tc>
          <w:tcPr>
            <w:tcW w:w="2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(3,703)</w:t>
            </w:r>
          </w:p>
        </w:tc>
        <w:tc>
          <w:tcPr>
            <w:tcW w:w="2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w:t>
            </w:r>
          </w:p>
        </w:tc>
      </w:tr>
      <w:tr>
        <w:trPr>
          <w:trHeight w:val="188"/>
        </w:trPr>
        <w:tc>
          <w:tcPr>
            <w:tcW w:w="5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Tenant Improvements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income property portfolio consists of 129 net leased properties located in 34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As more fully described in Note 4, “Commercial Loans and Investments,” the three Tampa Properties (defined in Note 4 below), which were purchased during the year ended December 31, 2024 through a sale-leaseback transaction that includes a tenant repurchase option are, for GAAP purposes, accounted for as a financing arrangement. However, as the Tampa Properties constitute real estate assets for both legal and tax purposes, we include the Tampa Properties in the property portfolio when describing our property portfolio and for purposes of providing statistics related thereto.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We are externally managed by our Manager and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June 30, 2025, we have a total ownership interest in the Operating Partnership of 92.0%, with CTO holding, directly and indirectly, an 8.0%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85"/>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All inter-company balances and transactions have been eliminated in the consolidated financial statements.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12"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Financial Accounting Standards Board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(“FASB ASC”) Topic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establishes standards related to the manner in which enterprises report operating segment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7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jc w:val="both"/>
        <w:ind w:left="60" w:right="59" w:firstLine="324"/>
        <w:spacing w:after="0" w:line="248" w:lineRule="auto"/>
        <w:rPr>
          <w:sz w:val="20"/>
          <w:szCs w:val="20"/>
          <w:color w:val="auto"/>
        </w:rPr>
      </w:pPr>
      <w:r>
        <w:rPr>
          <w:rFonts w:ascii="Times New Roman" w:cs="Times New Roman" w:eastAsia="Times New Roman" w:hAnsi="Times New Roman"/>
          <w:sz w:val="18"/>
          <w:szCs w:val="18"/>
          <w:color w:val="auto"/>
        </w:rPr>
        <w:t>The Company’s real estate assets are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June 30, 2025 and 2024, was $4.6 million and $4.2 million, respectively. The amount of depreciation of real estate, exclusive of amortization related to intangible assets, recognized for the six months ended June 30, 2025 and 2024, was $9.4 million and $8.4 million, respectively.</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5" w:lineRule="exact"/>
        <w:rPr>
          <w:sz w:val="20"/>
          <w:szCs w:val="20"/>
          <w:color w:val="auto"/>
        </w:rPr>
      </w:pPr>
    </w:p>
    <w:p>
      <w:pPr>
        <w:jc w:val="both"/>
        <w:ind w:left="60" w:right="59" w:firstLine="396"/>
        <w:spacing w:after="0" w:line="265" w:lineRule="auto"/>
        <w:rPr>
          <w:sz w:val="20"/>
          <w:szCs w:val="20"/>
          <w:color w:val="auto"/>
        </w:rPr>
      </w:pPr>
      <w:r>
        <w:rPr>
          <w:rFonts w:ascii="Times New Roman" w:cs="Times New Roman" w:eastAsia="Times New Roman" w:hAnsi="Times New Roman"/>
          <w:sz w:val="17"/>
          <w:szCs w:val="17"/>
          <w:color w:val="auto"/>
        </w:rPr>
        <w:t xml:space="preserve">The Company follows FASB ASC Topic 360-10,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the difference of carrying value and fair value less cost to sell.</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376"/>
        <w:spacing w:after="0" w:line="253" w:lineRule="auto"/>
        <w:rPr>
          <w:sz w:val="20"/>
          <w:szCs w:val="20"/>
          <w:color w:val="auto"/>
        </w:rPr>
      </w:pPr>
      <w:r>
        <w:rPr>
          <w:rFonts w:ascii="Times New Roman" w:cs="Times New Roman" w:eastAsia="Times New Roman" w:hAnsi="Times New Roman"/>
          <w:sz w:val="18"/>
          <w:szCs w:val="18"/>
          <w:color w:val="auto"/>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Investments in real estate which are determined to be “held for sale” pursuant to FASB Topic 360-10,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Equipment </w:t>
      </w:r>
      <w:r>
        <w:rPr>
          <w:rFonts w:ascii="Times New Roman" w:cs="Times New Roman" w:eastAsia="Times New Roman" w:hAnsi="Times New Roman"/>
          <w:sz w:val="18"/>
          <w:szCs w:val="18"/>
          <w:color w:val="auto"/>
        </w:rPr>
        <w:t>are reported separately on the consolidated balance sheets at the lesser of carrying value or fair value,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to sell. Real estate investments classified as held for sale are not depreciated.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June 30, 2025 and December 31, 2024, the Company’s allowance for doubtful accounts totaled $0.5 million and $0.3 million,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LOANS AND INVESTMENTS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Investments in commercial loans and investments held for investment are recorded at historical cost, net of unaccreted origination costs and current expected credit losses (“CECL”) reserve.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Sales of participations in commercial loans and investments are evaluated for achievement of the characteristics of participating interest pursuant to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June 30, 2025, the Company’s participation in commercial loans and investments purchased by a third-party did not achieve sale accounting and has been presented as an Obligation under Participation Agreement within the liabilities portion of the Company’s consolidated balance sheets.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RECOGNITION OF INTEREST INCOME FROM COMMERCIAL LOANS AND INVESTMENTS</w:t>
      </w:r>
    </w:p>
    <w:p>
      <w:pPr>
        <w:spacing w:after="0" w:line="227"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June 30, 2025 and December 31, 2024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Restricted cash totaled $7.1 million as of June 30, 2025, of which $4.3 million is being held in three escrow accounts to be reinvested through the like-kind exchange structure into other income properties and $2.8 million is being held in interest, real estate tax, insurance, and/or capital expenditure reserve accounts related to the Company’s portfolio of commercial loans and investments.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included in other assets, accounts payable, and accrued expenses and other liabilities at June 30, 2025 and December 31, 2024,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7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14"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the Company for the period by the weighted average number of shares outstanding for the period. Diluted earnings per common share is based on the assumption that the OP Units issued are redeemed for shares of our common stock on a one-for-one basis.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Certain individual tenants in the Company’s portfolio of properties accounted for more than 10% of lease income from the Company’s income properties during the six months ended June 30, 2025 and 2024.</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six months ended June 30, 2025, Dick’s Sporting Goods accounted for 12% of lease income revenue.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six months ended June 30, 2024, Walgreens accounted for 11% of lease income revenue.</w:t>
      </w:r>
    </w:p>
    <w:p>
      <w:pPr>
        <w:spacing w:after="0" w:line="20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10% and 11% of the Company’s income property portfolio, based on square footage, was located in the states of New Jersey and Michigan, respectively. As of December 31, 2024, 11% of the Company’s income property portfolio, based on square footage, was located in each of the states of New Jersey and Michigan.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Company’s income property portfolio consisted of 129 properties, including three properties classified as commercial loans and investments, with total square footage of 3.9 million.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2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w:t>
            </w:r>
          </w:p>
        </w:tc>
      </w:tr>
      <w:tr>
        <w:trPr>
          <w:trHeight w:val="216"/>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w:t>
            </w: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June 30, 2025,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20,447</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40,159</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37,025</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32,687</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28,227</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24,791</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106,553</w:t>
            </w:r>
          </w:p>
        </w:tc>
      </w:tr>
      <w:tr>
        <w:trPr>
          <w:trHeight w:val="21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289,889</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six months ended June 30, 2025, the Company acquired three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$39.7 million, or a cost of $39.9 million including capitalized acquisition costs. The properties are located in three different states, leased to three different tenants, and had a weighted average remaining lease term of 14.3 years at the time of acquisition. Of the total acquisition cost, $4.7 million was allocated to land, $28.8 million was allocated to buildings and improvements, and $6.4 million was allocated to intangible assets pertaining to the in-place lease value, leasing fees, and above market lease value. The weighted average amortization period for the intangible assets was 14.1 years at acquisition.</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sold eight properties for an aggregate sales price of $28.2 million, generating aggregate gains on sale of $2.1 million.</w:t>
      </w:r>
    </w:p>
    <w:p>
      <w:pPr>
        <w:spacing w:after="0" w:line="160"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2024 Activity. </w:t>
      </w:r>
      <w:r>
        <w:rPr>
          <w:rFonts w:ascii="Times New Roman" w:cs="Times New Roman" w:eastAsia="Times New Roman" w:hAnsi="Times New Roman"/>
          <w:sz w:val="17"/>
          <w:szCs w:val="17"/>
          <w:color w:val="auto"/>
        </w:rPr>
        <w:t>During the six months ended June 30, 2024, the Company acquired two properties for a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price of $15.6 million, or a cost of $15.7 million including capitalized acquisition costs. The properties are located in two different states, leased to three different tenants, and had a weighted average remaining lease term of 4.5 years at the time of acquisition. Of the total acquisition cost, $5.0 million was allocated to land, $10.2 million was allocated to buildings and improvements, $1.4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4.6 years at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sold two properties for an aggregate sales price of $6.6 million, generating aggregate gains on sale of $0.9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six months ended June 30, 2025, the Company originated four commercial loans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volume of $28.4 million at a weighted average initial cash yield of 9.7% and one, $2.0 million short-term mortgage note with an initial cash yield of 16.5%, that was repaid in full on July 2, 2025. Additionally, during the six months ended June 30, 2025, the Company amended four existing commercial loan investments whereby certain maturity dates were extended and two loan investments total face amounts were upsized by an aggregate of $17.8 million. In the aggregate, during the six months ended June 30, 2025, commercial loan and investment volume totaled $48.2 million, of which $32.2 million was funded during the same period. Additionally, the Company funded $0.9 million for existing construction loans and received $11.9 million of principal repayments from borrowers during the six months ended June 30, 2025.</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During the six months ended June 30, 2024, the Company originated two commercial loans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volume of $13.3 million at a weighted average initial cash yield of 11.4%. During the six months ended June 30, 2024, the Company disbursed a total of $10.3 million to borrowers and received $14.3 million of principal repayments from borrowers.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Activity. </w:t>
      </w:r>
      <w:r>
        <w:rPr>
          <w:rFonts w:ascii="Times New Roman" w:cs="Times New Roman" w:eastAsia="Times New Roman" w:hAnsi="Times New Roman"/>
          <w:sz w:val="18"/>
          <w:szCs w:val="18"/>
          <w:color w:val="auto"/>
        </w:rPr>
        <w:t>During the year ended December 31, 2024, the Company acquired three single-tenant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properties (the “Tampa Properties”) in the greater Tampa Bay, Florida area, which acquisition was structured as a sale-leaseback transaction whereby the Company entered into three new 30-year lease agreements which include annual base rent escalations and a repurchase right by the tenant upon completion of the fifth lease year, i.e., on August 1, 2029.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future repurchase rights present in the lease agreements preclude the transaction from being accounted for as a real estate acquisition. Accordingly, for GAAP purposes, the acquisition of the Tampa Properties is accounted for as a financing arrangement, and the related assets and corresponding revenue are included in the Company’s commercial loans and investments on its consolidated balance sheets and consolidated statements of operations. The Company has imputed interest on the 30-year leases which is recognized as interest income from commercial loans and investments on the accompanying consolidated statements of operations.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originated a $24.0 million first mortgage secured by a portfolio of assets and related improvements (the “Mortgage Note”). The Mortgage Note is being repaid by the borrower as the underlying assets within the portfolio are sold. During the year ended December 31, 2024, the Company sold a $13.6 million A-1 participation interest (the “Loan Participation Sale”) in its Mortgage Note, which is entitled to an 8.0% yield on its respective portion of the outstanding principal balance and has priority preference with respect to all principal and interest payments of the Mortgage Note. This sale did not achieve sale accounting pursuant to ASC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and accordingly, is treated as a secured borrowing. See Note 12, “Obligation Under Participation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information. As of June 30, 2025, after adjusting for the Loan Participation Sale, the Company’s remaining investment in the Mortgage Note is $9.7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June 30, 2025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Original</w:t>
            </w:r>
          </w:p>
        </w:tc>
        <w:tc>
          <w:tcPr>
            <w:tcW w:w="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Date of</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0" w:type="dxa"/>
            <w:vAlign w:val="bottom"/>
          </w:tcPr>
          <w:p>
            <w:pPr>
              <w:spacing w:after="0"/>
              <w:rPr>
                <w:sz w:val="14"/>
                <w:szCs w:val="14"/>
                <w:color w:val="auto"/>
              </w:rPr>
            </w:pPr>
          </w:p>
        </w:tc>
        <w:tc>
          <w:tcPr>
            <w:tcW w:w="8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6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c>
          <w:tcPr>
            <w:tcW w:w="0" w:type="dxa"/>
            <w:vAlign w:val="bottom"/>
          </w:tcPr>
          <w:p>
            <w:pPr>
              <w:spacing w:after="0"/>
              <w:rPr>
                <w:sz w:val="1"/>
                <w:szCs w:val="1"/>
                <w:color w:val="auto"/>
              </w:rPr>
            </w:pPr>
          </w:p>
        </w:tc>
      </w:tr>
      <w:tr>
        <w:trPr>
          <w:trHeight w:val="138"/>
        </w:trPr>
        <w:tc>
          <w:tcPr>
            <w:tcW w:w="2740" w:type="dxa"/>
            <w:vAlign w:val="bottom"/>
            <w:tcBorders>
              <w:top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July 2023</w:t>
            </w:r>
          </w:p>
        </w:tc>
        <w:tc>
          <w:tcPr>
            <w:tcW w:w="1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7,385</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9.25%</w:t>
            </w:r>
          </w:p>
        </w:tc>
        <w:tc>
          <w:tcPr>
            <w:tcW w:w="0" w:type="dxa"/>
            <w:vAlign w:val="bottom"/>
          </w:tcPr>
          <w:p>
            <w:pPr>
              <w:spacing w:after="0"/>
              <w:rPr>
                <w:sz w:val="1"/>
                <w:szCs w:val="1"/>
                <w:color w:val="auto"/>
              </w:rPr>
            </w:pPr>
          </w:p>
        </w:tc>
      </w:tr>
      <w:tr>
        <w:trPr>
          <w:trHeight w:val="145"/>
        </w:trPr>
        <w:tc>
          <w:tcPr>
            <w:tcW w:w="29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October 2023</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4,706</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9.50%</w:t>
            </w:r>
          </w:p>
        </w:tc>
        <w:tc>
          <w:tcPr>
            <w:tcW w:w="0" w:type="dxa"/>
            <w:vAlign w:val="bottom"/>
          </w:tcPr>
          <w:p>
            <w:pPr>
              <w:spacing w:after="0"/>
              <w:rPr>
                <w:sz w:val="1"/>
                <w:szCs w:val="1"/>
                <w:color w:val="auto"/>
              </w:rPr>
            </w:pPr>
          </w:p>
        </w:tc>
      </w:tr>
      <w:tr>
        <w:trPr>
          <w:trHeight w:val="162"/>
        </w:trPr>
        <w:tc>
          <w:tcPr>
            <w:tcW w:w="290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320" w:type="dxa"/>
            <w:vAlign w:val="bottom"/>
            <w:gridSpan w:val="2"/>
            <w:shd w:val="clear" w:color="auto" w:fill="CCEEFF"/>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12,009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11,954</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9.00%</w:t>
            </w:r>
          </w:p>
        </w:tc>
        <w:tc>
          <w:tcPr>
            <w:tcW w:w="0" w:type="dxa"/>
            <w:vAlign w:val="bottom"/>
          </w:tcPr>
          <w:p>
            <w:pPr>
              <w:spacing w:after="0"/>
              <w:rPr>
                <w:sz w:val="1"/>
                <w:szCs w:val="1"/>
                <w:color w:val="auto"/>
              </w:rPr>
            </w:pPr>
          </w:p>
        </w:tc>
      </w:tr>
      <w:tr>
        <w:trPr>
          <w:trHeight w:val="145"/>
        </w:trPr>
        <w:tc>
          <w:tcPr>
            <w:tcW w:w="29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2024</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January 2026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3,974</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11.25%</w:t>
            </w:r>
          </w:p>
        </w:tc>
        <w:tc>
          <w:tcPr>
            <w:tcW w:w="0" w:type="dxa"/>
            <w:vAlign w:val="bottom"/>
          </w:tcPr>
          <w:p>
            <w:pPr>
              <w:spacing w:after="0"/>
              <w:rPr>
                <w:sz w:val="1"/>
                <w:szCs w:val="1"/>
                <w:color w:val="auto"/>
              </w:rPr>
            </w:pPr>
          </w:p>
        </w:tc>
      </w:tr>
      <w:tr>
        <w:trPr>
          <w:trHeight w:val="145"/>
        </w:trPr>
        <w:tc>
          <w:tcPr>
            <w:tcW w:w="290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June 2024</w:t>
            </w:r>
          </w:p>
        </w:tc>
        <w:tc>
          <w:tcPr>
            <w:tcW w:w="1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September 2026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11.50%</w:t>
            </w:r>
          </w:p>
        </w:tc>
        <w:tc>
          <w:tcPr>
            <w:tcW w:w="0" w:type="dxa"/>
            <w:vAlign w:val="bottom"/>
          </w:tcPr>
          <w:p>
            <w:pPr>
              <w:spacing w:after="0"/>
              <w:rPr>
                <w:sz w:val="1"/>
                <w:szCs w:val="1"/>
                <w:color w:val="auto"/>
              </w:rPr>
            </w:pPr>
          </w:p>
        </w:tc>
      </w:tr>
      <w:tr>
        <w:trPr>
          <w:trHeight w:val="203"/>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Sale-Leaseback - Bradenton Beach,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August 2024</w:t>
            </w:r>
          </w:p>
        </w:tc>
        <w:tc>
          <w:tcPr>
            <w:tcW w:w="1320" w:type="dxa"/>
            <w:vAlign w:val="bottom"/>
            <w:gridSpan w:val="2"/>
          </w:tcPr>
          <w:p>
            <w:pPr>
              <w:jc w:val="center"/>
              <w:ind w:right="160"/>
              <w:spacing w:after="0" w:line="203" w:lineRule="exact"/>
              <w:rPr>
                <w:sz w:val="20"/>
                <w:szCs w:val="20"/>
                <w:color w:val="auto"/>
              </w:rPr>
            </w:pPr>
            <w:r>
              <w:rPr>
                <w:rFonts w:ascii="Times New Roman" w:cs="Times New Roman" w:eastAsia="Times New Roman" w:hAnsi="Times New Roman"/>
                <w:sz w:val="15"/>
                <w:szCs w:val="15"/>
                <w:color w:val="auto"/>
                <w:w w:val="97"/>
              </w:rPr>
              <w:t xml:space="preserve">August 2029 </w:t>
            </w:r>
            <w:r>
              <w:rPr>
                <w:rFonts w:ascii="Times New Roman" w:cs="Times New Roman" w:eastAsia="Times New Roman" w:hAnsi="Times New Roman"/>
                <w:sz w:val="22"/>
                <w:szCs w:val="22"/>
                <w:color w:val="auto"/>
                <w:w w:val="97"/>
                <w:vertAlign w:val="superscript"/>
              </w:rPr>
              <w:t>(1)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9,554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9,554</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8.30%</w:t>
            </w:r>
          </w:p>
        </w:tc>
        <w:tc>
          <w:tcPr>
            <w:tcW w:w="0" w:type="dxa"/>
            <w:vAlign w:val="bottom"/>
          </w:tcPr>
          <w:p>
            <w:pPr>
              <w:spacing w:after="0"/>
              <w:rPr>
                <w:sz w:val="1"/>
                <w:szCs w:val="1"/>
                <w:color w:val="auto"/>
              </w:rPr>
            </w:pPr>
          </w:p>
        </w:tc>
      </w:tr>
      <w:tr>
        <w:trPr>
          <w:trHeight w:val="162"/>
        </w:trPr>
        <w:tc>
          <w:tcPr>
            <w:tcW w:w="290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32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16,315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16,315</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8.30%</w:t>
            </w:r>
          </w:p>
        </w:tc>
        <w:tc>
          <w:tcPr>
            <w:tcW w:w="0" w:type="dxa"/>
            <w:vAlign w:val="bottom"/>
          </w:tcPr>
          <w:p>
            <w:pPr>
              <w:spacing w:after="0"/>
              <w:rPr>
                <w:sz w:val="1"/>
                <w:szCs w:val="1"/>
                <w:color w:val="auto"/>
              </w:rPr>
            </w:pPr>
          </w:p>
        </w:tc>
      </w:tr>
      <w:tr>
        <w:trPr>
          <w:trHeight w:val="162"/>
        </w:trPr>
        <w:tc>
          <w:tcPr>
            <w:tcW w:w="29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5,377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5,377</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8.30%</w:t>
            </w:r>
          </w:p>
        </w:tc>
        <w:tc>
          <w:tcPr>
            <w:tcW w:w="0" w:type="dxa"/>
            <w:vAlign w:val="bottom"/>
          </w:tcPr>
          <w:p>
            <w:pPr>
              <w:spacing w:after="0"/>
              <w:rPr>
                <w:sz w:val="1"/>
                <w:szCs w:val="1"/>
                <w:color w:val="auto"/>
              </w:rPr>
            </w:pPr>
          </w:p>
        </w:tc>
      </w:tr>
      <w:tr>
        <w:trPr>
          <w:trHeight w:val="145"/>
        </w:trPr>
        <w:tc>
          <w:tcPr>
            <w:tcW w:w="290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Publix Land</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7"/>
              </w:rPr>
              <w:t xml:space="preserve">September 2025 </w:t>
            </w:r>
            <w:r>
              <w:rPr>
                <w:rFonts w:ascii="Times New Roman" w:cs="Times New Roman" w:eastAsia="Times New Roman" w:hAnsi="Times New Roman"/>
                <w:sz w:val="22"/>
                <w:szCs w:val="22"/>
                <w:color w:val="auto"/>
                <w:w w:val="97"/>
                <w:vertAlign w:val="superscript"/>
              </w:rPr>
              <w:t>(2)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Charlotte, NC</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September 2024</w:t>
            </w:r>
          </w:p>
        </w:tc>
        <w:tc>
          <w:tcPr>
            <w:tcW w:w="13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25,506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25,469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9.50%</w:t>
            </w:r>
          </w:p>
        </w:tc>
        <w:tc>
          <w:tcPr>
            <w:tcW w:w="0" w:type="dxa"/>
            <w:vAlign w:val="bottom"/>
          </w:tcPr>
          <w:p>
            <w:pPr>
              <w:spacing w:after="0"/>
              <w:rPr>
                <w:sz w:val="1"/>
                <w:szCs w:val="1"/>
                <w:color w:val="auto"/>
              </w:rPr>
            </w:pPr>
          </w:p>
        </w:tc>
      </w:tr>
      <w:tr>
        <w:trPr>
          <w:trHeight w:val="145"/>
        </w:trPr>
        <w:tc>
          <w:tcPr>
            <w:tcW w:w="29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At Home Plaza - North</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Canton, OH</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2025</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March 2028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8.65%</w:t>
            </w:r>
          </w:p>
        </w:tc>
        <w:tc>
          <w:tcPr>
            <w:tcW w:w="0" w:type="dxa"/>
            <w:vAlign w:val="bottom"/>
          </w:tcPr>
          <w:p>
            <w:pPr>
              <w:spacing w:after="0"/>
              <w:rPr>
                <w:sz w:val="1"/>
                <w:szCs w:val="1"/>
                <w:color w:val="auto"/>
              </w:rPr>
            </w:pPr>
          </w:p>
        </w:tc>
      </w:tr>
      <w:tr>
        <w:trPr>
          <w:trHeight w:val="145"/>
        </w:trPr>
        <w:tc>
          <w:tcPr>
            <w:tcW w:w="290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Land</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Stuart, FL</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March 2025</w:t>
            </w:r>
          </w:p>
        </w:tc>
        <w:tc>
          <w:tcPr>
            <w:tcW w:w="1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March 2027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10.00%</w:t>
            </w:r>
          </w:p>
        </w:tc>
        <w:tc>
          <w:tcPr>
            <w:tcW w:w="0" w:type="dxa"/>
            <w:vAlign w:val="bottom"/>
          </w:tcPr>
          <w:p>
            <w:pPr>
              <w:spacing w:after="0"/>
              <w:rPr>
                <w:sz w:val="1"/>
                <w:szCs w:val="1"/>
                <w:color w:val="auto"/>
              </w:rPr>
            </w:pPr>
          </w:p>
        </w:tc>
      </w:tr>
      <w:tr>
        <w:trPr>
          <w:trHeight w:val="145"/>
        </w:trPr>
        <w:tc>
          <w:tcPr>
            <w:tcW w:w="29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Cornerstone Exchange –</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Daytona Beach,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May 2025</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May 2026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2,623</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12.50%</w:t>
            </w:r>
          </w:p>
        </w:tc>
        <w:tc>
          <w:tcPr>
            <w:tcW w:w="0" w:type="dxa"/>
            <w:vAlign w:val="bottom"/>
          </w:tcPr>
          <w:p>
            <w:pPr>
              <w:spacing w:after="0"/>
              <w:rPr>
                <w:sz w:val="1"/>
                <w:szCs w:val="1"/>
                <w:color w:val="auto"/>
              </w:rPr>
            </w:pPr>
          </w:p>
        </w:tc>
      </w:tr>
      <w:tr>
        <w:trPr>
          <w:trHeight w:val="162"/>
        </w:trPr>
        <w:tc>
          <w:tcPr>
            <w:tcW w:w="290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Verizon – Turnersville, NJ</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2025</w:t>
            </w:r>
          </w:p>
        </w:tc>
        <w:tc>
          <w:tcPr>
            <w:tcW w:w="1320" w:type="dxa"/>
            <w:vAlign w:val="bottom"/>
            <w:gridSpan w:val="2"/>
            <w:shd w:val="clear" w:color="auto" w:fill="CCEEFF"/>
          </w:tcPr>
          <w:p>
            <w:pPr>
              <w:jc w:val="center"/>
              <w:ind w:right="180"/>
              <w:spacing w:after="0" w:line="162" w:lineRule="exact"/>
              <w:rPr>
                <w:sz w:val="20"/>
                <w:szCs w:val="20"/>
                <w:color w:val="auto"/>
              </w:rPr>
            </w:pPr>
            <w:r>
              <w:rPr>
                <w:rFonts w:ascii="Times New Roman" w:cs="Times New Roman" w:eastAsia="Times New Roman" w:hAnsi="Times New Roman"/>
                <w:sz w:val="13"/>
                <w:szCs w:val="13"/>
                <w:color w:val="auto"/>
              </w:rPr>
              <w:t xml:space="preserve">June 2025 </w:t>
            </w:r>
            <w:r>
              <w:rPr>
                <w:rFonts w:ascii="Times New Roman" w:cs="Times New Roman" w:eastAsia="Times New Roman" w:hAnsi="Times New Roman"/>
                <w:sz w:val="18"/>
                <w:szCs w:val="18"/>
                <w:color w:val="auto"/>
                <w:vertAlign w:val="superscript"/>
              </w:rPr>
              <w:t>(2)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16.50%</w:t>
            </w:r>
          </w:p>
        </w:tc>
        <w:tc>
          <w:tcPr>
            <w:tcW w:w="0" w:type="dxa"/>
            <w:vAlign w:val="bottom"/>
          </w:tcPr>
          <w:p>
            <w:pPr>
              <w:spacing w:after="0"/>
              <w:rPr>
                <w:sz w:val="1"/>
                <w:szCs w:val="1"/>
                <w:color w:val="auto"/>
              </w:rPr>
            </w:pPr>
          </w:p>
        </w:tc>
      </w:tr>
      <w:tr>
        <w:trPr>
          <w:trHeight w:val="145"/>
        </w:trPr>
        <w:tc>
          <w:tcPr>
            <w:tcW w:w="29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Old Time Pottery –</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Orange Park, FL</w:t>
            </w:r>
          </w:p>
        </w:tc>
        <w:tc>
          <w:tcPr>
            <w:tcW w:w="118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June 2025</w:t>
            </w:r>
          </w:p>
        </w:tc>
        <w:tc>
          <w:tcPr>
            <w:tcW w:w="13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June 2028</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7"/>
              </w:rPr>
              <w:t>8.00%</w:t>
            </w: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149,322</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112,264</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111,979</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(1,103)</w:t>
            </w: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0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00" w:type="dxa"/>
            <w:vAlign w:val="bottom"/>
            <w:tcBorders>
              <w:bottom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110,876</w:t>
            </w: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22, “Subsequent Events” for details on principal repayments made by the respective borrowers.</w:t>
      </w:r>
    </w:p>
    <w:p>
      <w:pPr>
        <w:spacing w:after="0" w:line="192"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2024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Original</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Current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9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860" w:type="dxa"/>
            <w:vAlign w:val="bottom"/>
          </w:tcPr>
          <w:p>
            <w:pPr>
              <w:spacing w:after="0"/>
              <w:rPr>
                <w:sz w:val="14"/>
                <w:szCs w:val="14"/>
                <w:color w:val="auto"/>
              </w:rPr>
            </w:pPr>
          </w:p>
        </w:tc>
      </w:tr>
      <w:tr>
        <w:trPr>
          <w:trHeight w:val="183"/>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4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r>
      <w:tr>
        <w:trPr>
          <w:trHeight w:val="138"/>
        </w:trPr>
        <w:tc>
          <w:tcPr>
            <w:tcW w:w="2780" w:type="dxa"/>
            <w:vAlign w:val="bottom"/>
            <w:tcBorders>
              <w:top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79"/>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2023</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7,138</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w:t>
            </w:r>
          </w:p>
        </w:tc>
      </w:tr>
      <w:tr>
        <w:trPr>
          <w:trHeight w:val="145"/>
        </w:trPr>
        <w:tc>
          <w:tcPr>
            <w:tcW w:w="29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2023</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October 2025</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4,673</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162"/>
        </w:trPr>
        <w:tc>
          <w:tcPr>
            <w:tcW w:w="296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21,066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9.00%</w:t>
            </w:r>
          </w:p>
        </w:tc>
      </w:tr>
      <w:tr>
        <w:trPr>
          <w:trHeight w:val="145"/>
        </w:trPr>
        <w:tc>
          <w:tcPr>
            <w:tcW w:w="29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January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2026</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6,569</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w:t>
            </w:r>
          </w:p>
        </w:tc>
      </w:tr>
      <w:tr>
        <w:trPr>
          <w:trHeight w:val="145"/>
        </w:trPr>
        <w:tc>
          <w:tcPr>
            <w:tcW w:w="29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9"/>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June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5,162</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w:t>
            </w:r>
          </w:p>
        </w:tc>
      </w:tr>
      <w:tr>
        <w:trPr>
          <w:trHeight w:val="162"/>
        </w:trPr>
        <w:tc>
          <w:tcPr>
            <w:tcW w:w="29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Bradenton Beach,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9,586</w:t>
            </w: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62"/>
        </w:trPr>
        <w:tc>
          <w:tcPr>
            <w:tcW w:w="296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16,371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16,371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62"/>
        </w:trPr>
        <w:tc>
          <w:tcPr>
            <w:tcW w:w="29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5,396</w:t>
            </w: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45"/>
        </w:trPr>
        <w:tc>
          <w:tcPr>
            <w:tcW w:w="29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Publix Land</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9"/>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Charlotte, NC</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September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17,760</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14,576</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195"/>
        </w:trPr>
        <w:tc>
          <w:tcPr>
            <w:tcW w:w="22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101,136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90,790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90,537</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r>
      <w:tr>
        <w:trPr>
          <w:trHeight w:val="156"/>
        </w:trPr>
        <w:tc>
          <w:tcPr>
            <w:tcW w:w="296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(908)</w:t>
            </w:r>
          </w:p>
        </w:tc>
        <w:tc>
          <w:tcPr>
            <w:tcW w:w="860" w:type="dxa"/>
            <w:vAlign w:val="bottom"/>
            <w:shd w:val="clear" w:color="auto" w:fill="CCEEFF"/>
          </w:tcPr>
          <w:p>
            <w:pPr>
              <w:spacing w:after="0"/>
              <w:rPr>
                <w:sz w:val="13"/>
                <w:szCs w:val="13"/>
                <w:color w:val="auto"/>
              </w:rPr>
            </w:pPr>
          </w:p>
        </w:tc>
      </w:tr>
      <w:tr>
        <w:trPr>
          <w:trHeight w:val="169"/>
        </w:trPr>
        <w:tc>
          <w:tcPr>
            <w:tcW w:w="29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89,629</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firstLine="389"/>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consisted of the following at June 30, 2025 and December 31,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112,264</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90,790</w:t>
            </w:r>
          </w:p>
        </w:tc>
        <w:tc>
          <w:tcPr>
            <w:tcW w:w="20" w:type="dxa"/>
            <w:vAlign w:val="bottom"/>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(1,103)</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 w:type="dxa"/>
            <w:vAlign w:val="bottom"/>
          </w:tcPr>
          <w:p>
            <w:pPr>
              <w:spacing w:after="0"/>
              <w:rPr>
                <w:sz w:val="18"/>
                <w:szCs w:val="18"/>
                <w:color w:val="auto"/>
              </w:rPr>
            </w:pP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110,876</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FAIR VALUE OF FINANCIAL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June 30, 2025 and December 31, 2024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40" w:type="dxa"/>
            <w:vAlign w:val="bottom"/>
          </w:tcPr>
          <w:p>
            <w:pPr>
              <w:spacing w:after="0"/>
              <w:rPr>
                <w:sz w:val="20"/>
                <w:szCs w:val="20"/>
                <w:color w:val="auto"/>
              </w:rPr>
            </w:pPr>
          </w:p>
        </w:tc>
        <w:tc>
          <w:tcPr>
            <w:tcW w:w="23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3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34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198"/>
        </w:trPr>
        <w:tc>
          <w:tcPr>
            <w:tcW w:w="3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Commercial Loans and Investments -</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118,002</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98,830</w:t>
            </w:r>
          </w:p>
        </w:tc>
      </w:tr>
      <w:tr>
        <w:trPr>
          <w:trHeight w:val="198"/>
        </w:trPr>
        <w:tc>
          <w:tcPr>
            <w:tcW w:w="3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 Under Participation Agreement</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Level 2</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348,292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294,808</w:t>
            </w:r>
          </w:p>
        </w:tc>
      </w:tr>
    </w:tbl>
    <w:p>
      <w:pPr>
        <w:spacing w:after="0" w:line="225"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6" w:lineRule="exact"/>
        <w:rPr>
          <w:sz w:val="20"/>
          <w:szCs w:val="20"/>
          <w:color w:val="auto"/>
        </w:rPr>
      </w:pPr>
    </w:p>
    <w:p>
      <w:pPr>
        <w:jc w:val="both"/>
        <w:ind w:left="60" w:right="79" w:firstLine="324"/>
        <w:spacing w:after="0" w:line="236"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June 30, 2025 and December 31, 2024 (in thousands). See Note 14, “Interest Rate Swaps” for further disclosure related to the Company’s interest rate swaps.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7"/>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Fair Value at Reporting Date Using</w:t>
            </w:r>
          </w:p>
        </w:tc>
      </w:tr>
      <w:tr>
        <w:trPr>
          <w:trHeight w:val="171"/>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7"/>
                <w:szCs w:val="17"/>
                <w:b w:val="1"/>
                <w:bCs w:val="1"/>
                <w:color w:val="auto"/>
              </w:rPr>
              <w:t>Quoted Prices in</w:t>
            </w:r>
          </w:p>
        </w:tc>
        <w:tc>
          <w:tcPr>
            <w:tcW w:w="160" w:type="dxa"/>
            <w:vAlign w:val="bottom"/>
          </w:tcPr>
          <w:p>
            <w:pPr>
              <w:spacing w:after="0"/>
              <w:rPr>
                <w:sz w:val="14"/>
                <w:szCs w:val="14"/>
                <w:color w:val="auto"/>
              </w:rPr>
            </w:pPr>
          </w:p>
        </w:tc>
        <w:tc>
          <w:tcPr>
            <w:tcW w:w="128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7"/>
                <w:szCs w:val="17"/>
                <w:b w:val="1"/>
                <w:bCs w:val="1"/>
                <w:color w:val="auto"/>
                <w:w w:val="99"/>
              </w:rPr>
              <w:t>Significant</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7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Active Markets</w:t>
            </w:r>
          </w:p>
        </w:tc>
        <w:tc>
          <w:tcPr>
            <w:tcW w:w="16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0" w:type="dxa"/>
            <w:vAlign w:val="bottom"/>
          </w:tcPr>
          <w:p>
            <w:pPr>
              <w:spacing w:after="0"/>
              <w:rPr>
                <w:sz w:val="17"/>
                <w:szCs w:val="17"/>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r>
      <w:tr>
        <w:trPr>
          <w:trHeight w:val="203"/>
        </w:trPr>
        <w:tc>
          <w:tcPr>
            <w:tcW w:w="7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for Identical</w:t>
            </w:r>
          </w:p>
        </w:tc>
        <w:tc>
          <w:tcPr>
            <w:tcW w:w="16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00" w:type="dxa"/>
            <w:vAlign w:val="bottom"/>
          </w:tcPr>
          <w:p>
            <w:pPr>
              <w:spacing w:after="0"/>
              <w:rPr>
                <w:sz w:val="17"/>
                <w:szCs w:val="17"/>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Unobservable</w:t>
            </w:r>
          </w:p>
        </w:tc>
      </w:tr>
      <w:tr>
        <w:trPr>
          <w:trHeight w:val="227"/>
        </w:trPr>
        <w:tc>
          <w:tcPr>
            <w:tcW w:w="7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Inputs (Level 3)</w:t>
            </w:r>
          </w:p>
        </w:tc>
      </w:tr>
      <w:tr>
        <w:trPr>
          <w:trHeight w:val="197"/>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03"/>
        </w:trPr>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9"/>
              </w:rPr>
              <w:t>2026</w:t>
            </w:r>
          </w:p>
        </w:tc>
        <w:tc>
          <w:tcPr>
            <w:tcW w:w="264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Interest Rate Swap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2027</w:t>
            </w:r>
          </w:p>
        </w:tc>
        <w:tc>
          <w:tcPr>
            <w:tcW w:w="26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Interest Rate Swap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334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6"/>
                <w:szCs w:val="16"/>
                <w:color w:val="auto"/>
              </w:rPr>
              <w:t xml:space="preserve">Credit Facility Interest Rate Swap </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9"/>
              </w:rPr>
              <w:t>2026</w:t>
            </w:r>
          </w:p>
        </w:tc>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2027</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Interest Rate Swap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Credit Facility 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47625</wp:posOffset>
            </wp:positionV>
            <wp:extent cx="141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6" w:lineRule="exact"/>
        <w:rPr>
          <w:sz w:val="20"/>
          <w:szCs w:val="20"/>
          <w:color w:val="auto"/>
        </w:rPr>
      </w:pPr>
    </w:p>
    <w:p>
      <w:pPr>
        <w:jc w:val="both"/>
        <w:ind w:left="380" w:right="79" w:hanging="330"/>
        <w:spacing w:after="0" w:line="229"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interest rate swaps to fix SOFR and achieve a weighted average fixed interest rate of 2.05% plus 0.10% and the applicable spread on the $100.0 million 2026 Term Loan (hereinafter defined) balance. See Note 14, “Interest Rate Swaps” for further disclosure related to the Company’s interest rate swaps.</w:t>
      </w:r>
    </w:p>
    <w:p>
      <w:pPr>
        <w:jc w:val="both"/>
        <w:ind w:left="380" w:right="79" w:hanging="330"/>
        <w:spacing w:after="0" w:line="221"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interest rate swaps to fix SOFR and achieve a weighted average fixed interest rate of 2.05% plus 0.10% and the applicable spread on the $100.0 million 2027 Term Loan (hereinafter defined) balance. See Note 14, “Interest Rate Swaps” for further disclosure related to the Company’s interest rate swaps.</w:t>
      </w:r>
    </w:p>
    <w:p>
      <w:pPr>
        <w:jc w:val="both"/>
        <w:ind w:left="380" w:right="79" w:hanging="330"/>
        <w:spacing w:after="0" w:line="233"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interest rate swaps to fix SOFR and achieve a weighted average fixed interest rate of 3.32% plus 0.10% and the applicable spread on $100.0 million of the outstanding balance on the Credit Facility (hereinafter defined). See Note 14, “Interest Rate Swaps” for further disclosure related to the Company’s interest rate swaps.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Intangible assets and liabilities consisted of the following as of June 30, 2025 and December 31, 2024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49,640</w:t>
            </w:r>
          </w:p>
        </w:tc>
        <w:tc>
          <w:tcPr>
            <w:tcW w:w="200" w:type="dxa"/>
            <w:vAlign w:val="bottom"/>
          </w:tcPr>
          <w:p>
            <w:pPr>
              <w:spacing w:after="0"/>
              <w:rPr>
                <w:sz w:val="18"/>
                <w:szCs w:val="18"/>
                <w:color w:val="auto"/>
              </w:rPr>
            </w:pP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48,768</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70,001</w:t>
            </w: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(27,834)</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20" w:type="dxa"/>
            <w:vAlign w:val="bottom"/>
          </w:tcPr>
          <w:p>
            <w:pPr>
              <w:spacing w:after="0"/>
              <w:rPr>
                <w:sz w:val="18"/>
                <w:szCs w:val="18"/>
                <w:color w:val="auto"/>
              </w:rPr>
            </w:pPr>
          </w:p>
        </w:tc>
      </w:tr>
      <w:tr>
        <w:trPr>
          <w:trHeight w:val="210"/>
        </w:trPr>
        <w:tc>
          <w:tcPr>
            <w:tcW w:w="5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43,176</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20" w:type="dxa"/>
            <w:vAlign w:val="bottom"/>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 w:type="dxa"/>
            <w:vAlign w:val="bottom"/>
          </w:tcPr>
          <w:p>
            <w:pPr>
              <w:spacing w:after="0"/>
              <w:rPr>
                <w:sz w:val="18"/>
                <w:szCs w:val="18"/>
                <w:color w:val="auto"/>
              </w:rPr>
            </w:pPr>
          </w:p>
        </w:tc>
      </w:tr>
      <w:tr>
        <w:trPr>
          <w:trHeight w:val="21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0" w:type="dxa"/>
            <w:vAlign w:val="bottom"/>
          </w:tcPr>
          <w:p>
            <w:pPr>
              <w:spacing w:after="0"/>
              <w:rPr>
                <w:sz w:val="18"/>
                <w:szCs w:val="18"/>
                <w:color w:val="auto"/>
              </w:rPr>
            </w:pPr>
          </w:p>
        </w:tc>
      </w:tr>
      <w:tr>
        <w:trPr>
          <w:trHeight w:val="209"/>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8"/>
                <w:szCs w:val="18"/>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w:t>
            </w:r>
          </w:p>
        </w:tc>
        <w:tc>
          <w:tcPr>
            <w:tcW w:w="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8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and six months ended June 30,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Amortization of Intangible Assets and</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0"/>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w:t>
            </w:r>
          </w:p>
        </w:tc>
      </w:tr>
      <w:tr>
        <w:trPr>
          <w:trHeight w:val="20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39,079</w:t>
            </w: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weighted average amortization period of both the total intangible assets and liabilities was 9.1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PROVISION FOR IMPAIRMENT</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Income Properties</w:t>
      </w:r>
      <w:r>
        <w:rPr>
          <w:rFonts w:ascii="Times New Roman" w:cs="Times New Roman" w:eastAsia="Times New Roman" w:hAnsi="Times New Roman"/>
          <w:sz w:val="18"/>
          <w:szCs w:val="18"/>
          <w:color w:val="auto"/>
        </w:rPr>
        <w:t>. 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$2.8 million and $4.6 million of impairment charges, respectively, as provision for losses with respect to certain properties within the Company’s income properties segment. The impairment charges are a result of the execution during the respective periods of letters of intent and/or purchase and sale agreements under which the contemplated sales price, less the carrying value of the respective assets, less estimated costs to sell result in an impairment. The impairments during the six months ended June 30, 2025 are related to the following properties: (i) three convenience store properties, which are classified as held for sale; (ii) a property formerly leased to Party City; (iii) a property leased to At Home; (iv) a property formerly leased to Century Theater Center; and (v) two properties leased to Walgreens. The two properties leased to Walgreens were classified as held for sale as of March 31, 2025, and subsequently sold during the three months ended June 30, 2025. The Company’s execution of the above-referenced letters of intent and/or purchase and sale agreements are consistent with the Company’s current intent to dispose of such properties at a price less than their carrying values to facilitate the re-investment of the proceeds therefrom into new investment opportunities.</w:t>
      </w:r>
    </w:p>
    <w:p>
      <w:pPr>
        <w:spacing w:after="0" w:line="19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a $0.6 million impairment charge representing the provision for losses related to three assets within the Company’s income properties segment, which were classified as held for sale. The impairment charge of $0.6 million is equal to the estimated sales prices for these three assets pursuant to a letter of intent for sale executed during the six months ended June 30, 2024, less the book value of the assets as of June 30, 2024, less estimated costs to sell.</w:t>
      </w:r>
    </w:p>
    <w:p>
      <w:pPr>
        <w:spacing w:after="0" w:line="18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The Company evaluates the collectability of its commercial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Changes in the Company’s allowance for credit losses are presented within the provision for impairment in the accompanying consolidated statements of operations.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the Company recorded an impairment charge of $0.2 million, which was incurred during the three months ended March 31, 2025, representing the provision for credit losses related to our commercial loans and investments. The impairment charges were driven by the initial estimated CECL allowance based on our investment activity as well as loan repayments during the three and six months ended June 30, 2025.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charges of less than $0.1 million and $0.1 million, respectively, representing the provision for credit losses related to our commercial loans and investments. The impairment charges were driven by the initial estimated CECL allowance based on our investment activity during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582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5820" w:type="dxa"/>
            <w:vAlign w:val="bottom"/>
            <w:tcBorders>
              <w:bottom w:val="single" w:sz="8" w:color="CCEEFF"/>
            </w:tcBorders>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10"/>
        </w:trPr>
        <w:tc>
          <w:tcPr>
            <w:tcW w:w="58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a $0.5 million and $0.3 million allowance for doubtful accounts as of June 30, 2025 and December 31, 2024, respectively.</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right-of-use asset balance as of June 30, 2025.</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OPERATING LAND LEASES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June 30, 2025 and December 31, 2024, the Company’s right-of-use assets totaled $3.1 million and $3.2 million, respectively, and the corresponding lease liabilities totaled $3.2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during each of the three and six months ended June 30, 2025, and less than $0.1 million and $0.1 million during the three and six month periods ended June 30, 2024, respectively.</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and six months ended June 30,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10"/>
        </w:trPr>
        <w:tc>
          <w:tcPr>
            <w:tcW w:w="3560" w:type="dxa"/>
            <w:vAlign w:val="bottom"/>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 w:type="dxa"/>
            <w:vAlign w:val="bottom"/>
          </w:tcPr>
          <w:p>
            <w:pPr>
              <w:spacing w:after="0"/>
              <w:rPr>
                <w:sz w:val="18"/>
                <w:szCs w:val="18"/>
                <w:color w:val="auto"/>
              </w:rPr>
            </w:pPr>
          </w:p>
        </w:tc>
      </w:tr>
      <w:tr>
        <w:trPr>
          <w:trHeight w:val="196"/>
        </w:trPr>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648"/>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June 30, 2025,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ASSETS HELD FOR SALE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Assets held for sale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8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Prior to Provision for Impairment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Impairment</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(2,614)</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1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Accrued Expenses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 Reserves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5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operating lease liability balance as of June 30, 2025.</w:t>
      </w:r>
    </w:p>
    <w:p>
      <w:pPr>
        <w:spacing w:after="0" w:line="3" w:lineRule="exact"/>
        <w:rPr>
          <w:rFonts w:ascii="Times New Roman" w:cs="Times New Roman" w:eastAsia="Times New Roman" w:hAnsi="Times New Roman"/>
          <w:sz w:val="11"/>
          <w:szCs w:val="11"/>
          <w:color w:val="auto"/>
        </w:rPr>
      </w:pPr>
    </w:p>
    <w:p>
      <w:pPr>
        <w:jc w:val="both"/>
        <w:ind w:left="380" w:right="79" w:hanging="330"/>
        <w:spacing w:after="0" w:line="233" w:lineRule="auto"/>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$5.0 million in tenant improvements for a property were completed and accordingly were accrued for through an increase to Building and Improvements, at Cost and Accounts Payable, Accrued Expenses, and Other Liabilities in the Company’s consolidated Balance Sheet. Payment was made subsequent to June 30,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OBLIGATION UNDER PARTICIPATION AGREEMENT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 xml:space="preserve">As discussed in Note 2, “Summary of Significant Accounting Policies,” the Company follows the guidance in FASB Topic ASC 860, </w:t>
      </w:r>
      <w:r>
        <w:rPr>
          <w:rFonts w:ascii="Times New Roman" w:cs="Times New Roman" w:eastAsia="Times New Roman" w:hAnsi="Times New Roman"/>
          <w:sz w:val="17"/>
          <w:szCs w:val="17"/>
          <w:i w:val="1"/>
          <w:iCs w:val="1"/>
          <w:color w:val="auto"/>
        </w:rPr>
        <w:t>Transfers and Servicing</w:t>
      </w:r>
      <w:r>
        <w:rPr>
          <w:rFonts w:ascii="Times New Roman" w:cs="Times New Roman" w:eastAsia="Times New Roman" w:hAnsi="Times New Roman"/>
          <w:sz w:val="17"/>
          <w:szCs w:val="17"/>
          <w:color w:val="auto"/>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 As described in Note 4, “Commercial Loans and Investments”, the Company’s Loan Participation Sale for $13.6 million at an 8.0% interest rate did not achieve sale accounting. As of June 30, 2025, the Company’s obligation under participation agreement had a face value of $2.3 million, and the carrying value of the loan that is associated with this obligation under participation agreement was $2.2 million, net of a CECL reserve of $0.1 million. As of December 31, 2024, the Company’s obligation under participation agreement had a face value of $11.4 million, and the carrying value of the loan that is associated with this obligation under participation agreement was $11.3 million, net of a CECL reserve of $0.1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the Company’s outstanding indebtedness, at face value, was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Wtd. Avg. Rate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Face Value Debt</w:t>
            </w:r>
          </w:p>
        </w:tc>
        <w:tc>
          <w:tcPr>
            <w:tcW w:w="140" w:type="dxa"/>
            <w:vAlign w:val="bottom"/>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Stated Interest</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75"/>
        </w:trPr>
        <w:tc>
          <w:tcPr>
            <w:tcW w:w="33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Credit Facility </w:t>
            </w:r>
            <w:r>
              <w:rPr>
                <w:rFonts w:ascii="Times New Roman" w:cs="Times New Roman" w:eastAsia="Times New Roman" w:hAnsi="Times New Roman"/>
                <w:sz w:val="25"/>
                <w:szCs w:val="25"/>
                <w:color w:val="auto"/>
                <w:vertAlign w:val="superscript"/>
              </w:rPr>
              <w:t>(1)</w:t>
            </w: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SOFR + 0.10% +</w:t>
            </w: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153,000</w:t>
            </w:r>
          </w:p>
        </w:tc>
        <w:tc>
          <w:tcPr>
            <w:tcW w:w="160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[1.25% - 2.20%]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2027</w:t>
            </w:r>
          </w:p>
        </w:tc>
        <w:tc>
          <w:tcPr>
            <w:tcW w:w="0" w:type="dxa"/>
            <w:vAlign w:val="bottom"/>
          </w:tcPr>
          <w:p>
            <w:pPr>
              <w:spacing w:after="0"/>
              <w:rPr>
                <w:sz w:val="1"/>
                <w:szCs w:val="1"/>
                <w:color w:val="auto"/>
              </w:rPr>
            </w:pPr>
          </w:p>
        </w:tc>
      </w:tr>
      <w:tr>
        <w:trPr>
          <w:trHeight w:val="18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2026 Term Loan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7"/>
                <w:szCs w:val="17"/>
                <w:color w:val="auto"/>
              </w:rPr>
              <w:t>SOFR + 0.10% +</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0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[1.35% - 1.95%]</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3.80%</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2026</w:t>
            </w:r>
          </w:p>
        </w:tc>
        <w:tc>
          <w:tcPr>
            <w:tcW w:w="0" w:type="dxa"/>
            <w:vAlign w:val="bottom"/>
          </w:tcPr>
          <w:p>
            <w:pPr>
              <w:spacing w:after="0"/>
              <w:rPr>
                <w:sz w:val="1"/>
                <w:szCs w:val="1"/>
                <w:color w:val="auto"/>
              </w:rPr>
            </w:pPr>
          </w:p>
        </w:tc>
      </w:tr>
      <w:tr>
        <w:trPr>
          <w:trHeight w:val="181"/>
        </w:trPr>
        <w:tc>
          <w:tcPr>
            <w:tcW w:w="3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2027 Term Loan </w:t>
            </w:r>
            <w:r>
              <w:rPr>
                <w:rFonts w:ascii="Times New Roman" w:cs="Times New Roman" w:eastAsia="Times New Roman" w:hAnsi="Times New Roman"/>
                <w:sz w:val="25"/>
                <w:szCs w:val="25"/>
                <w:color w:val="auto"/>
                <w:vertAlign w:val="superscript"/>
              </w:rPr>
              <w:t>(3)</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right="140"/>
              <w:spacing w:after="0" w:line="181" w:lineRule="exact"/>
              <w:rPr>
                <w:sz w:val="20"/>
                <w:szCs w:val="20"/>
                <w:color w:val="auto"/>
              </w:rPr>
            </w:pPr>
            <w:r>
              <w:rPr>
                <w:rFonts w:ascii="Times New Roman" w:cs="Times New Roman" w:eastAsia="Times New Roman" w:hAnsi="Times New Roman"/>
                <w:sz w:val="17"/>
                <w:szCs w:val="17"/>
                <w:color w:val="auto"/>
              </w:rPr>
              <w:t>SOFR + 0.10% +</w:t>
            </w: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20" w:type="dxa"/>
            <w:vAlign w:val="bottom"/>
            <w:gridSpan w:val="2"/>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0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[1.25% - 1.90%]</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2027</w:t>
            </w:r>
          </w:p>
        </w:tc>
        <w:tc>
          <w:tcPr>
            <w:tcW w:w="0" w:type="dxa"/>
            <w:vAlign w:val="bottom"/>
          </w:tcPr>
          <w:p>
            <w:pPr>
              <w:spacing w:after="0"/>
              <w:rPr>
                <w:sz w:val="1"/>
                <w:szCs w:val="1"/>
                <w:color w:val="auto"/>
              </w:rPr>
            </w:pPr>
          </w:p>
        </w:tc>
      </w:tr>
      <w:tr>
        <w:trPr>
          <w:trHeight w:val="19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Debt/Weighted-Average Rate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353,000</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9"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an interest rate swap to fix SOFR and achieve a weighted average fixed interest rate of 3.32% plus 0.10% and the applicable spread on $100 million of the outstanding balance on the Credit Facility (hereinafter defined). See Note 14, “Interest Rate Swaps” for further disclosure related to the Company’s interest rate swaps.</w:t>
      </w:r>
    </w:p>
    <w:p>
      <w:pPr>
        <w:jc w:val="both"/>
        <w:ind w:left="380" w:right="79" w:hanging="330"/>
        <w:spacing w:after="0" w:line="22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interest rate swaps to fix SOFR and achieve a weighted average fixed interest rate of 2.05% plus 0.10% and the applicable spread on the $100 million 2026 Term Loan (hereinafter defined) balance. See Note 14, “Interest Rate Swaps” for further disclosure related to the Company’s interest rate swaps.</w:t>
      </w:r>
    </w:p>
    <w:p>
      <w:pPr>
        <w:jc w:val="both"/>
        <w:ind w:left="380" w:right="79" w:hanging="330"/>
        <w:spacing w:after="0" w:line="233"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interest rate swaps to fix SOFR and achieve a weighted average fixed interest rate of 2.05% plus 0.10% and the applicable spread on the $100 million 2027 Term Loan (hereinafter defined) balance. See Note 14, “Interest Rate Swaps” for further disclosure related to the Company’s interest rate swaps.</w:t>
      </w:r>
    </w:p>
    <w:p>
      <w:pPr>
        <w:spacing w:after="0" w:line="166" w:lineRule="exact"/>
        <w:rPr>
          <w:sz w:val="20"/>
          <w:szCs w:val="20"/>
          <w:color w:val="auto"/>
        </w:rPr>
      </w:pPr>
    </w:p>
    <w:p>
      <w:pPr>
        <w:ind w:left="60" w:right="239" w:firstLine="36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September 30, 2022, the Company and the Operating Partnership entered into a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spacing w:after="0" w:line="114" w:lineRule="exact"/>
        <w:rPr>
          <w:sz w:val="20"/>
          <w:szCs w:val="20"/>
          <w:color w:val="auto"/>
        </w:rPr>
      </w:pPr>
    </w:p>
    <w:p>
      <w:pPr>
        <w:ind w:left="1040" w:right="559" w:hanging="315"/>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a new senior unsecured revolving credit facility in the amount of $250 million which matures on January 31, 2027, with the option to extend for one year;</w:t>
      </w:r>
    </w:p>
    <w:p>
      <w:pPr>
        <w:jc w:val="both"/>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certain financial covenants;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sustainability-linked pricing component pursuant to which the Company will receive interest rate reductions up to 0.025% based on performance against sustainability performance targets.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20" w:lineRule="exact"/>
        <w:rPr>
          <w:sz w:val="20"/>
          <w:szCs w:val="20"/>
          <w:color w:val="auto"/>
        </w:rPr>
      </w:pPr>
    </w:p>
    <w:p>
      <w:pPr>
        <w:jc w:val="both"/>
        <w:ind w:left="60" w:right="59" w:firstLine="369"/>
        <w:spacing w:after="0" w:line="256" w:lineRule="auto"/>
        <w:rPr>
          <w:sz w:val="20"/>
          <w:szCs w:val="20"/>
          <w:color w:val="auto"/>
        </w:rPr>
      </w:pPr>
      <w:r>
        <w:rPr>
          <w:rFonts w:ascii="Times New Roman" w:cs="Times New Roman" w:eastAsia="Times New Roman" w:hAnsi="Times New Roman"/>
          <w:sz w:val="18"/>
          <w:szCs w:val="18"/>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2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At June 30, 2025, the commitment level under the Credit Facility was $250.0 million and the Company had an outstanding balance of $153.0 million. The available borrowing capacity, subject to borrowing base restrictions, was $48.0 million as of June 30, 2025.</w:t>
      </w:r>
    </w:p>
    <w:p>
      <w:pPr>
        <w:spacing w:after="0" w:line="1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2026 Term Loan. </w:t>
      </w:r>
      <w:r>
        <w:rPr>
          <w:rFonts w:ascii="Times New Roman" w:cs="Times New Roman" w:eastAsia="Times New Roman" w:hAnsi="Times New Roman"/>
          <w:sz w:val="18"/>
          <w:szCs w:val="18"/>
          <w:color w:val="auto"/>
        </w:rPr>
        <w:t>On May 21, 2021, the Operating Partnership, the Company and certain subsidiaries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$40.0 million to an aggregate of $100.0 million. The 2026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spacing w:after="0" w:line="10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2027 Term Loan. </w:t>
      </w:r>
      <w:r>
        <w:rPr>
          <w:rFonts w:ascii="Times New Roman" w:cs="Times New Roman" w:eastAsia="Times New Roman" w:hAnsi="Times New Roman"/>
          <w:sz w:val="18"/>
          <w:szCs w:val="18"/>
          <w:color w:val="auto"/>
        </w:rPr>
        <w:t>On September 30, 2021, the Operating Partnership, the Company and certain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June 30, 2025 and December 31, 2024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4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One Year</w:t>
            </w:r>
          </w:p>
        </w:tc>
        <w:tc>
          <w:tcPr>
            <w:tcW w:w="2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Payments applicable to reduction of principal amounts as of June 30, 2025 will be required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353,000</w:t>
            </w: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June 30, 2025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353,000</w:t>
            </w:r>
          </w:p>
        </w:tc>
      </w:tr>
      <w:tr>
        <w:trPr>
          <w:trHeight w:val="216"/>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1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352,570</w:t>
            </w:r>
          </w:p>
        </w:tc>
      </w:tr>
      <w:tr>
        <w:trPr>
          <w:trHeight w:val="20"/>
        </w:trPr>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$0.4 million of financing costs, net of accumulated amortization included in the table above, as of June 30, 2025, the Company also had financing costs, net of accumulated amortization related to the Credit Facility of $0.7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and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and 2024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428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198"/>
        </w:trPr>
        <w:tc>
          <w:tcPr>
            <w:tcW w:w="4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Expense from Obligation Under Participation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198"/>
        </w:trPr>
        <w:tc>
          <w:tcPr>
            <w:tcW w:w="4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Costs to Interest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4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w:t>
            </w:r>
          </w:p>
        </w:tc>
      </w:tr>
      <w:tr>
        <w:trPr>
          <w:trHeight w:val="197"/>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June 30, 2025.</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INTEREST RATE SWAPS</w:t>
      </w:r>
    </w:p>
    <w:p>
      <w:pPr>
        <w:spacing w:after="0" w:line="121" w:lineRule="exact"/>
        <w:rPr>
          <w:sz w:val="20"/>
          <w:szCs w:val="20"/>
          <w:color w:val="auto"/>
        </w:rPr>
      </w:pPr>
    </w:p>
    <w:p>
      <w:pPr>
        <w:jc w:val="both"/>
        <w:ind w:left="60" w:right="59" w:firstLine="389"/>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2025 and 2024. Accordingly, the changes in fair value on the interest rate swaps have been classified in other comprehensive income. The fair value of the interest rate swap agreements are included in other assets and accounts payable, accrued expenses and other liabilities, respectively,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related to the Company’s interest rate swap agreements is noted below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25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2540" w:type="dxa"/>
            <w:vAlign w:val="bottom"/>
            <w:gridSpan w:val="3"/>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5/21/2026</w:t>
            </w:r>
          </w:p>
        </w:tc>
        <w:tc>
          <w:tcPr>
            <w:tcW w:w="1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(2)</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1.61%+ 0.10%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40" w:type="dxa"/>
            <w:vAlign w:val="bottom"/>
            <w:gridSpan w:val="3"/>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11/29/2024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1/31/2027</w:t>
            </w:r>
          </w:p>
        </w:tc>
        <w:tc>
          <w:tcPr>
            <w:tcW w:w="120" w:type="dxa"/>
            <w:vAlign w:val="bottom"/>
          </w:tcPr>
          <w:p>
            <w:pPr>
              <w:spacing w:after="0"/>
              <w:rPr>
                <w:sz w:val="18"/>
                <w:szCs w:val="18"/>
                <w:color w:val="auto"/>
              </w:rPr>
            </w:pPr>
          </w:p>
        </w:tc>
        <w:tc>
          <w:tcPr>
            <w:tcW w:w="20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5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(3)</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3.84%+ 0.10%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40" w:type="dxa"/>
            <w:vAlign w:val="bottom"/>
            <w:gridSpan w:val="3"/>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1/31/2027</w:t>
            </w:r>
          </w:p>
        </w:tc>
        <w:tc>
          <w:tcPr>
            <w:tcW w:w="1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9"/>
        </w:trPr>
        <w:tc>
          <w:tcPr>
            <w:tcW w:w="2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4"/>
                <w:szCs w:val="24"/>
                <w:color w:val="auto"/>
                <w:vertAlign w:val="superscript"/>
              </w:rPr>
              <w:t>(4)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4"/>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3/1/2028</w:t>
            </w:r>
          </w:p>
        </w:tc>
        <w:tc>
          <w:tcPr>
            <w:tcW w:w="120" w:type="dxa"/>
            <w:vAlign w:val="bottom"/>
          </w:tcPr>
          <w:p>
            <w:pPr>
              <w:spacing w:after="0"/>
              <w:rPr>
                <w:sz w:val="18"/>
                <w:szCs w:val="18"/>
                <w:color w:val="auto"/>
              </w:rPr>
            </w:pPr>
          </w:p>
        </w:tc>
        <w:tc>
          <w:tcPr>
            <w:tcW w:w="20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89"/>
        </w:trPr>
        <w:tc>
          <w:tcPr>
            <w:tcW w:w="29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4"/>
                <w:szCs w:val="24"/>
                <w:color w:val="auto"/>
                <w:vertAlign w:val="superscript"/>
              </w:rPr>
              <w:t>(5)</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4"/>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1/1/2027</w:t>
            </w:r>
          </w:p>
        </w:tc>
        <w:tc>
          <w:tcPr>
            <w:tcW w:w="1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interest rate swaps to fix SOFR and achieve a weighted average fixed interest rate of 2.05% plus</w:t>
      </w:r>
    </w:p>
    <w:p>
      <w:pPr>
        <w:spacing w:after="0" w:line="3" w:lineRule="exact"/>
        <w:rPr>
          <w:rFonts w:ascii="Times New Roman" w:cs="Times New Roman" w:eastAsia="Times New Roman" w:hAnsi="Times New Roman"/>
          <w:sz w:val="11"/>
          <w:szCs w:val="11"/>
          <w:color w:val="auto"/>
        </w:rPr>
      </w:pPr>
    </w:p>
    <w:p>
      <w:pPr>
        <w:ind w:left="380"/>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0.10% and the applicable spread on the $100.0 million 2026 Term Loan balance. The weighted average fixed interest rate of 2.05%, is comprised of:</w:t>
      </w:r>
    </w:p>
    <w:p>
      <w:pPr>
        <w:jc w:val="both"/>
        <w:ind w:left="380" w:right="79"/>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 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interest rate swaps to fix SOFR and achieve a fixed interest rate of 1.61% plus 0.10% and the applicable spread on $80.0 million of the $100.0 million 2027 Term Loan balance.</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an interest rate swap to fix SOFR and achieve a fixed interest rate of 3.84% plus 0.10% and the applicable spread on $20.0 million of the $100.0 million 2027 Term Loan balance.</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an interest rate swap to fix SOFR and achieve a fixed interest rate of 3.21% plus 0.10% and the applicable spread on $50.0 million of the outstanding balance on the Credit Facility.</w:t>
      </w:r>
    </w:p>
    <w:p>
      <w:pPr>
        <w:ind w:left="380" w:right="79" w:hanging="330"/>
        <w:spacing w:after="0" w:line="239"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2025, the Company has utilized an interest rate swap to fix SOFR and achieve a fixed interest rate of 3.43% plus 0.10% and the applicable spread on $50.0 million of the outstanding balance on the Credit Facility.</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June 30, 2025 and December 31, 2024, there were no events of default related to the Company's interest rate swap agreements.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EQUITY</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1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October 21, 2022, the Company implemented a $150.0 million “at-the-market” equity offering program (the “2022 ATM Program”) pursuant to which the Company may sell, from time to time, shares of the Company’s common stock. The Company was not active under the 2022 ATM Program during the three and six months ended June 30, 2025. During the three and six months ended June 30, 2024, the Company sold 3,350 shares under the 2022 ATM Program for gross proceeds of $0.1 million at a weighted average price of $16.02 per share, generating net proceeds of $0.1 million after deducting transaction fees totaling less than $0.1 million.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CTO holds, directly and indirectly, an 8.0% noncontrolling ownership interest in the Operating Partnership as a result of 1,223,854 OP Units issued to CTO at the time of the Company’s IPO.</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six months ended June 30, 2025 and 2024, the Company declared and paid cash dividends on its common stock and OP Units of $0.570 and $0.550 per share,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COMMON STOCK AND EARNINGS PER SHARE</w:t>
      </w:r>
    </w:p>
    <w:p>
      <w:pPr>
        <w:spacing w:after="0" w:line="21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redemption of OP Units on a one-for-one basis using the treasury stock method at average market prices for the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4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0" w:type="dxa"/>
            <w:vAlign w:val="bottom"/>
          </w:tcPr>
          <w:p>
            <w:pPr>
              <w:spacing w:after="0"/>
              <w:rPr>
                <w:sz w:val="1"/>
                <w:szCs w:val="1"/>
                <w:color w:val="auto"/>
              </w:rPr>
            </w:pPr>
          </w:p>
        </w:tc>
      </w:tr>
      <w:tr>
        <w:trPr>
          <w:trHeight w:val="178"/>
        </w:trPr>
        <w:tc>
          <w:tcPr>
            <w:tcW w:w="45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Alpine Income Property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13,624,932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14,414,682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13,623,070</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 Applicable</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00" w:type="dxa"/>
            <w:vAlign w:val="bottom"/>
            <w:tcBorders>
              <w:bottom w:val="single" w:sz="8" w:color="CCEEFF"/>
            </w:tcBorders>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to OP Units using Treasury Stock Method </w:t>
            </w:r>
            <w:r>
              <w:rPr>
                <w:rFonts w:ascii="Times New Roman" w:cs="Times New Roman" w:eastAsia="Times New Roman" w:hAnsi="Times New Roman"/>
                <w:sz w:val="26"/>
                <w:szCs w:val="26"/>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15,426,650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14,848,786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15,638,536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14,846,924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Alpine Income Property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OP Units issued to CTO in connection with our formation transactions (See Note 19, “Related Party Management Company”).</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SHARE REPURCHASES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spacing w:after="0" w:line="180" w:lineRule="exact"/>
        <w:rPr>
          <w:sz w:val="20"/>
          <w:szCs w:val="20"/>
          <w:color w:val="auto"/>
        </w:rPr>
      </w:pPr>
    </w:p>
    <w:p>
      <w:pPr>
        <w:jc w:val="both"/>
        <w:ind w:left="60" w:right="59" w:firstLine="383"/>
        <w:spacing w:after="0" w:line="261" w:lineRule="auto"/>
        <w:rPr>
          <w:sz w:val="20"/>
          <w:szCs w:val="20"/>
          <w:color w:val="auto"/>
        </w:rPr>
      </w:pPr>
      <w:r>
        <w:rPr>
          <w:rFonts w:ascii="Times New Roman" w:cs="Times New Roman" w:eastAsia="Times New Roman" w:hAnsi="Times New Roman"/>
          <w:sz w:val="18"/>
          <w:szCs w:val="18"/>
          <w:color w:val="auto"/>
        </w:rPr>
        <w:t>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aggregate, the Company repurchased 899,011 shares of its common stock on the open market for a total cost of $14.6 million, or an average price per share of $16.23, during the year ended December 31, 2023.</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February 2025, the Board approved a $10.0 million stock repurchase program (the “2025 $10.0 Million Repurchase Program”). Under the 2025 $10.0 Million Repurchase Program, the Company repurchased 546,390 shares of its common stock on the open market for a total cost of $8.8 million, or an average price per share of $16.07,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18. STOCK-BASED COMPENSATION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the Company’s non-employee director compensation policy, each non-employee member of the Board receives a portion of their annual retainer fee in shares of Company common stock, and a portion in cash; and, with respect to the cash portion, each director may elect to receive such portion in shares of Company common stock rather than cash. The number of shares issued to the directors is calculated quarterly by dividing (i) the amount of the quarterly retainer fee payment due to such director by (ii) the 20-day trailing average closing price of the Company’s common stock as of the last business day of the quarter for which such payment applied, rounded down to the nearest whole number of shares. During the six months ended June 30, 2025, the expense recognized for the value of the Company’s common stock received by non-employee directors totaled $0.2 million, or 12,082 shares, of which 5,806 shares were issued on April 1, 2025 and 6,276 shares were issued on July 1, 2025. During the six months ended June 30, 2024, the expense recognized for the value of the Company’s common stock received by non-employee directors totaled $0.2 million, or 10,299 shares, of which 5,131 shares were issued on April 1, 2024 and 5,168 shares were issued on July 1, 2024.</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RELATED PARTY MANAGEMENT COMPANY</w:t>
      </w:r>
    </w:p>
    <w:p>
      <w:pPr>
        <w:spacing w:after="0" w:line="21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through June 30, 2025, CTO has purchased an aggregate of 322,831 shares of PINE common stock in the open market including (i) 29,807 shares purchased during the year ended December 31, 2024 for $0.4 million, or an average price per share of $14.97, (ii) 129,271 shares purchased during the year ended December 31, 2023 for $2.1 million, or an average price per share of $16.21, (iii) 155,665 shares purchased during the year ended December 31, 2022 for $2.7 million, or an average price per share of $17.57 and (iv) 8,088 shares purchased during the year ended December 31, 2021 for $0.1 million, or an average price per share of $17.65.</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June 30, 2025, CTO owns, in the aggregate, 1,223,854 OP Units and 1,138,621 shares of PINE common stock, inclusive of (i) 394,737 shares of common stock totaling $7.5 million issued in connection with a private placement that closed concurrently with the IPO, (ii) 421,053 shares of common stock totaling $8.0 million issued in connection with the IPO, and (iii) 322,831 shares of common stock totaling $5.4 million purchased by CTO subsequent to the IPO. The aggregate 1,223,854 OP Units and 1,138,621 shares of PINE common stock held by CTO represent an investment totaling $34.8 million, or 15.4% of PINE’s outstanding equity, as of June 30,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2024.</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on that date the term of the agreement automatically renewed for a one-year term. The current term of the agreement expires on January 31, 2026 and will automatically renew for an unlimited number of successive one-year periods thereafter, unless the agreement is not renewed or is terminated in accordance with its terms.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incurred management fee expenses totaling $1.1 million and $2.2 million during the three and six months ended June 30, 2025, respectively. The Company also paid dividends on the common stock and OP Units owned by affiliates of the Manager in the amount of $0.7 million and $1.3 million for the three and six months ended June 30, 2025, respectively. The Company incurred management fee expenses totaling $1.0 million and $2.1 million during the three and six months ended June 30, 2024, respectively. The Company also paid dividends on the common stock and OP Units owned by affiliates of the Manager in the amount of $0.6 million and $1.3 million for the three and six months ended June 30, 2024, respectively.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11, “Accounts Payable, Accrued Expenses, and Other Liabilities”.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0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8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Sharing Agreement</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is expected to receive a share of the asset management fees, disposition management fees, leasing commissions, and other fees related to CTO’s management and administration of the portfolio (the “Revenue Sharing Agreement”). The Company’s share of the fees under the Revenue Sharing Agreement is based on fees earned by CTO associated with the single tenant properties within the portfolio.</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$0.1 million and $0.2 million of revenue pursuant to the Revenue Sharing Agreement during the three and six months ended June 30, 2025, respectively, which is included in other revenue on the Company’s consolidated statements of operations. The Company recognized $0.2 million and $0.3 million of revenue pursuant to the Revenue Sharing Agreement during the three and six months ended June 30, 2024, respectively, which is included in other revenue on the Company’s consolidated statements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COMMITMENTS AND CONTINGENCIES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00" w:lineRule="exact"/>
        <w:rPr>
          <w:sz w:val="20"/>
          <w:szCs w:val="20"/>
          <w:color w:val="auto"/>
        </w:rPr>
      </w:pPr>
    </w:p>
    <w:p>
      <w:pPr>
        <w:jc w:val="both"/>
        <w:ind w:left="60" w:right="79" w:firstLine="38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COMMITMENTS – EXPENDITURES</w:t>
      </w:r>
    </w:p>
    <w:p>
      <w:pPr>
        <w:spacing w:after="0" w:line="227" w:lineRule="exact"/>
        <w:rPr>
          <w:sz w:val="20"/>
          <w:szCs w:val="20"/>
          <w:color w:val="auto"/>
        </w:rPr>
      </w:pPr>
    </w:p>
    <w:p>
      <w:pPr>
        <w:jc w:val="both"/>
        <w:ind w:left="60" w:right="79" w:firstLine="389"/>
        <w:spacing w:after="0" w:line="282" w:lineRule="auto"/>
        <w:rPr>
          <w:sz w:val="20"/>
          <w:szCs w:val="20"/>
          <w:color w:val="auto"/>
        </w:rPr>
      </w:pPr>
      <w:r>
        <w:rPr>
          <w:rFonts w:ascii="Times New Roman" w:cs="Times New Roman" w:eastAsia="Times New Roman" w:hAnsi="Times New Roman"/>
          <w:sz w:val="18"/>
          <w:szCs w:val="18"/>
          <w:color w:val="auto"/>
        </w:rPr>
        <w:t>The Company is committed to fund six construction loans as described in Note 4, “Commercial Loans and Investments”. The unfunded portion of the construction loans totaled $22.3 million as of June 30, 2025.</w:t>
      </w:r>
    </w:p>
    <w:p>
      <w:pPr>
        <w:spacing w:after="0" w:line="162"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color w:val="auto"/>
        </w:rPr>
        <w:t>Pursuant to a certain lease agreement executed during the year ended December 31, 2024, the Company is committed to funding $5.0 million in tenant improvements for a certain property. Such improvements were completed during the six months ended June 30, 2025, and accordingly were accrued for as of June 30, 2025 as an increase to Building and Improvements, at Cost and Accounts Payable, Accrued Expenses, and Other Liabilities in the Company’s consolidated Balance Sheet. Payment was made subsequent to June 30, 2025.</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BUSINESS SEGMENT DATA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income property operations consist of lease income from income producing properties and our business plan is focused on investing in additional income-producing properties. Our income property operations accounted for 79% and 82% of our identifiable assets as of June 30, 2025 and December 31, 2024, respectively, and 82% and 91% of our consolidated revenues for the six months ended June 30, 2025 and 2024, respectively. Our commercial loans and investment operations accounted for 18% and 15% of our identifiable assets as of June 30, 2025 and December 31, 2024, respectively, and 17% and 8% of our consolidated revenues for the six months ended June 30, 2025 and 2024, respectively. As of June 30, 2025, our commercial loans investment portfolio consisted of 14 commercial loan investments, of which three are related to properties acquired through a sale-leaseback transaction whereby the tenant has a future repurchase right.</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June 30, 2025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1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w:t>
            </w:r>
          </w:p>
        </w:tc>
      </w:tr>
      <w:tr>
        <w:trPr>
          <w:trHeight w:val="230"/>
        </w:trPr>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14,863</w:t>
            </w:r>
          </w:p>
        </w:tc>
      </w:tr>
      <w:tr>
        <w:trPr>
          <w:trHeight w:val="197"/>
        </w:trPr>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178"/>
        </w:trPr>
        <w:tc>
          <w:tcPr>
            <w:tcW w:w="4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Reconciliation to 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Revenues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489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104</w:t>
      </w:r>
    </w:p>
    <w:p>
      <w:pPr>
        <w:spacing w:after="0" w:line="2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(1,697)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(4,320)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489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3" w:lineRule="exact"/>
        <w:rPr>
          <w:sz w:val="20"/>
          <w:szCs w:val="20"/>
          <w:color w:val="auto"/>
        </w:rPr>
      </w:pPr>
    </w:p>
    <w:p>
      <w:pPr>
        <w:ind w:left="787" w:hanging="787"/>
        <w:spacing w:after="0"/>
        <w:tabs>
          <w:tab w:leader="none" w:pos="7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wp:posOffset>
            </wp:positionV>
            <wp:extent cx="8489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38735</wp:posOffset>
            </wp:positionV>
            <wp:extent cx="8489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13" w:space="720"/>
            <w:col w:w="1386"/>
          </w:cols>
          <w:pgMar w:left="1440" w:top="51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June 30, 2024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3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six months ended June 30, 2025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4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28,886</w:t>
            </w:r>
          </w:p>
        </w:tc>
      </w:tr>
      <w:tr>
        <w:trPr>
          <w:trHeight w:val="230"/>
        </w:trPr>
        <w:tc>
          <w:tcPr>
            <w:tcW w:w="4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29,069</w:t>
            </w:r>
          </w:p>
        </w:tc>
      </w:tr>
      <w:tr>
        <w:trPr>
          <w:trHeight w:val="197"/>
        </w:trPr>
        <w:tc>
          <w:tcPr>
            <w:tcW w:w="4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24,747</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r>
      <w:tr>
        <w:trPr>
          <w:trHeight w:val="178"/>
        </w:trPr>
        <w:tc>
          <w:tcPr>
            <w:tcW w:w="464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0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Reconciliation to 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wp:posOffset>
            </wp:positionV>
            <wp:extent cx="56489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183</w:t>
      </w:r>
    </w:p>
    <w:p>
      <w:pPr>
        <w:spacing w:after="0" w:line="2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(3,413)</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92</w:t>
      </w:r>
    </w:p>
    <w:p>
      <w:pPr>
        <w:spacing w:after="0" w:line="2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(7,912)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572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ind w:left="800" w:hanging="800"/>
        <w:spacing w:after="0"/>
        <w:tabs>
          <w:tab w:leader="none" w:pos="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wp:posOffset>
            </wp:positionV>
            <wp:extent cx="8572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38735</wp:posOffset>
            </wp:positionV>
            <wp:extent cx="8572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1400"/>
          </w:cols>
          <w:pgMar w:left="1440" w:top="51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six months ended June 30, 2024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4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24,683</w:t>
            </w:r>
          </w:p>
        </w:tc>
      </w:tr>
      <w:tr>
        <w:trPr>
          <w:trHeight w:val="230"/>
        </w:trPr>
        <w:tc>
          <w:tcPr>
            <w:tcW w:w="4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24,956</w:t>
            </w:r>
          </w:p>
        </w:tc>
      </w:tr>
      <w:tr>
        <w:trPr>
          <w:trHeight w:val="197"/>
        </w:trPr>
        <w:tc>
          <w:tcPr>
            <w:tcW w:w="4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20,955</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r>
      <w:tr>
        <w:trPr>
          <w:trHeight w:val="178"/>
        </w:trPr>
        <w:tc>
          <w:tcPr>
            <w:tcW w:w="464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r>
      <w:tr>
        <w:trPr>
          <w:trHeight w:val="230"/>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Loss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of each segment for the three and six months ended June 30, 2025 and 2024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4000" w:type="dxa"/>
            <w:vAlign w:val="bottom"/>
          </w:tcPr>
          <w:p>
            <w:pPr>
              <w:spacing w:after="0"/>
              <w:rPr>
                <w:sz w:val="18"/>
                <w:szCs w:val="18"/>
                <w:color w:val="auto"/>
              </w:rPr>
            </w:pPr>
          </w:p>
        </w:tc>
        <w:tc>
          <w:tcPr>
            <w:tcW w:w="12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18"/>
                <w:szCs w:val="18"/>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40,339</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20" w:type="dxa"/>
            <w:vAlign w:val="bottom"/>
          </w:tcPr>
          <w:p>
            <w:pPr>
              <w:spacing w:after="0"/>
              <w:rPr>
                <w:sz w:val="18"/>
                <w:szCs w:val="18"/>
                <w:color w:val="auto"/>
              </w:rPr>
            </w:pPr>
          </w:p>
        </w:tc>
      </w:tr>
      <w:tr>
        <w:trPr>
          <w:trHeight w:val="210"/>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 of each segment as of June 30, 2025 and December 31, 2024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499,545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497,765</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92,358</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628,446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604,995</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Identifiable assets by segment are those assets that are used in the Company’s operations in each segment. Corporate and other assets consist primarily of cash and restricted cash as well as the interest rate swaps.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SUBSEQUENT EVENTS</w:t>
      </w:r>
    </w:p>
    <w:p>
      <w:pPr>
        <w:spacing w:after="0" w:line="24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July 24, 2025, the date the consolidated financial statements were issued.</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July 2, 2025, the current face amount of the Publix Land Development loan of $25.5 million, and the current face amount of the Verizon Turnersville, NJ loan of $2.0 million, were both repaid in full. Total proceeds to the Company were $27.6 million, including accrued interest, and were utilized to pay down the balance on the Company’s Credit Facility.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“Part I, Item 1A. Risk Factors” of the Company’s Annual Report on Form 10-K for the year ended December 31, 2024, and in “Part II, Item 1A. Risk Factors” of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higher interest rates, and tariffs and international trade policies;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See “Part I, Item 1A. Risk Factors” of the Company’s Annual Report on Form 10-K for the year ended December 31, 2024 and “Part II, Item 1A. Risk Factors” of this Quarterly Report on Form 10-Q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Alpine Income Property Trust, Inc. is a Maryland corporation that conducts its operations so as to qualify as a REIT for U.S. federal income tax purposes. Substantially all of our operations are conducted through our Operating Partnership.</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acquired three properties for a combined purchase price of $39.7 million, or a cost of $39.9 million including capitalized acquisition costs. During the six months ended June 30, 2025, the Company sold eight properties for an aggregate sales price of $28.2 million, generating aggregate gains on sale of $2.1 million.</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we owned 129 properties, including the three properties classified as commercial loans and investments, with an aggregate gross leasable area of 3.9 million square feet, located in 34 states, with a weighted average remaining lease term of 8.9 years. Our portfolio was 98% occupied as of June 30, 2025.</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As of June 30, 2025, the Company’s commercial loan investments portfolio had a total carrying value of $110.9 million and was comprised of six construction loans, five mortgage notes, and three properties acquired pursuant to a sale-leaseback transaction whereby the tenant has a future repurchase right. On July 2, 2025, the current face amount of the Publix Land Development loan of $25.5 million, and the current face amount of the Verizon Turnersville, NJ loan of $2.0 million, were both repaid in full. Total proceeds to the Company were $27.6 million, including accrued interest, and were utilized to pay down the balance on the Company’s Credit Facility.</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2025 AND 2024</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June 30, 2025, as compared to the three months ended June 30, 2024 (in thousands):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20"/>
                <w:szCs w:val="20"/>
                <w:b w:val="1"/>
                <w:bCs w:val="1"/>
                <w:color w:val="auto"/>
              </w:rPr>
              <w:t>June 30,</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81"/>
              <w:spacing w:after="0" w:line="196" w:lineRule="exact"/>
              <w:rPr>
                <w:sz w:val="20"/>
                <w:szCs w:val="20"/>
                <w:color w:val="auto"/>
              </w:rPr>
            </w:pPr>
            <w:r>
              <w:rPr>
                <w:rFonts w:ascii="Times New Roman" w:cs="Times New Roman" w:eastAsia="Times New Roman" w:hAnsi="Times New Roman"/>
                <w:sz w:val="20"/>
                <w:szCs w:val="20"/>
                <w:b w:val="1"/>
                <w:bCs w:val="1"/>
                <w:color w:val="auto"/>
              </w:rPr>
              <w:t>June 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Variance</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Variance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Revenues:</w:t>
            </w: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11,330</w:t>
            </w:r>
          </w:p>
        </w:tc>
        <w:tc>
          <w:tcPr>
            <w:tcW w:w="120" w:type="dxa"/>
            <w:vAlign w:val="bottom"/>
          </w:tcPr>
          <w:p>
            <w:pPr>
              <w:spacing w:after="0"/>
              <w:rPr>
                <w:sz w:val="19"/>
                <w:szCs w:val="19"/>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20"/>
                <w:szCs w:val="20"/>
                <w:color w:val="auto"/>
              </w:rPr>
              <w:t>Interest Income from Commercial Loans and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177.6%</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Revenue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(70)</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14,863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12,490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2,373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Expenses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Provision for Impairment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326.6%</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10,411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2,899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Gain on Disposition of 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from Operations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2,491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(506)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and Other Income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(4,320)</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(2,831)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(1,489)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(Loss)</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(1,782)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(2,004)</w:t>
            </w: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(902.7)%</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20"/>
                <w:szCs w:val="20"/>
                <w:color w:val="auto"/>
              </w:rPr>
              <w:t>Less: Net Loss (Income) Attributable to</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Noncontrolling Interest</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883.3%</w:t>
            </w:r>
          </w:p>
        </w:tc>
        <w:tc>
          <w:tcPr>
            <w:tcW w:w="0" w:type="dxa"/>
            <w:vAlign w:val="bottom"/>
          </w:tcPr>
          <w:p>
            <w:pPr>
              <w:spacing w:after="0"/>
              <w:rPr>
                <w:sz w:val="1"/>
                <w:szCs w:val="1"/>
                <w:color w:val="auto"/>
              </w:rPr>
            </w:pPr>
          </w:p>
        </w:tc>
      </w:tr>
      <w:tr>
        <w:trPr>
          <w:trHeight w:val="187"/>
        </w:trPr>
        <w:tc>
          <w:tcPr>
            <w:tcW w:w="43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Net Income (Loss) Attributable to Alpine Income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(1,641)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120" w:type="dxa"/>
            <w:vAlign w:val="bottom"/>
          </w:tcPr>
          <w:p>
            <w:pPr>
              <w:spacing w:after="0"/>
              <w:rPr>
                <w:sz w:val="16"/>
                <w:szCs w:val="16"/>
                <w:color w:val="auto"/>
              </w:rPr>
            </w:pPr>
          </w:p>
        </w:tc>
        <w:tc>
          <w:tcPr>
            <w:tcW w:w="22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(1,845)</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(904.4)%</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Trust, Inc.</w:t>
            </w:r>
          </w:p>
        </w:tc>
        <w:tc>
          <w:tcPr>
            <w:tcW w:w="14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totaled $12.0 million and $11.3 million during the three months ended June 30, 2025 and 2024, respectively. The $0.7 million increase in lease income is primarily attributable to an increase in rents due to the volume of property acquisitions versus dispositions. The direct costs of revenues for our income properties totaled $2.1 million and $1.8 million during the three months ended June 30, 2025 and 2024, respectively. The $0.3 million increase in the direct cost of revenues is reflective of increased reimbursable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89"/>
        <w:spacing w:after="0" w:line="254"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$2.7 million and $1.0 million for the three months ended June 30, 2025 and 2024, respectively. The $1.7 million increase in income is attributable to the expanded portfolio of commercial loans and investments which, as of June 30, 2025, was comprised of six construction loans, five mortgage notes, and three properties acquired pursuant to a sale-leaseback transaction whereby the tenant has a future repurchase right. As of June 30, 2024, the Company’s portfolio of commercial loans and investments was comprised of four construction loans and one mortgage note. On July 2, 2025, the current face amount of the Publix Land Development loan of $25.5 million, and the current face amount of the Verizon Turnersville, NJ loan of $2.0 million, were both repaid in full. Total proceeds to the Company were $27.6 million, including accrued interest, and were utilized to pay down the balance on the Company’s Credit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revenue totaled $0.1 million and $0.2 million for the three months ended June 30, 2025 and 2024, respectively. The revenue is attributable to fees earned from a revenue sharing agreement the Company entered into with CTO as further described in Note 19, “Related Party Management Company” in the Notes to the Financial Statements. The $0.1 million decrease is attributable to leasing commissions earned during the three months ended June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 June 30, 2025, as compared to the three months ended June 30,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$1.7 million and $1.6 million during the three months ended June 30, 2025 and 2024, respectively. The $0.1 million increase is primarily the result of increases in the management fee due to an increase in the weighted average of the Company’s equity base and director compensation.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As further described in Note 7, “Provision for Impairment,” d</w:t>
      </w:r>
      <w:r>
        <w:rPr>
          <w:rFonts w:ascii="Times New Roman" w:cs="Times New Roman" w:eastAsia="Times New Roman" w:hAnsi="Times New Roman"/>
          <w:sz w:val="18"/>
          <w:szCs w:val="18"/>
          <w:color w:val="000000"/>
        </w:rPr>
        <w:t>uring the three months ended June 30, 2025,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recorded a $2.8 million impairment charge r</w:t>
      </w:r>
      <w:r>
        <w:rPr>
          <w:rFonts w:ascii="Times New Roman" w:cs="Times New Roman" w:eastAsia="Times New Roman" w:hAnsi="Times New Roman"/>
          <w:sz w:val="18"/>
          <w:szCs w:val="18"/>
          <w:color w:val="212529"/>
        </w:rPr>
        <w:t>epresenting the provision for losses related to certain income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properties, for which the Company’s current intent is to dispose of such properties in </w:t>
      </w:r>
      <w:r>
        <w:rPr>
          <w:rFonts w:ascii="Times New Roman" w:cs="Times New Roman" w:eastAsia="Times New Roman" w:hAnsi="Times New Roman"/>
          <w:sz w:val="18"/>
          <w:szCs w:val="18"/>
          <w:color w:val="000000"/>
        </w:rPr>
        <w:t>order to facilitate the re-investment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the proceeds therefrom into new investment opportunities. During the three months ended June 30, 2024, </w:t>
      </w:r>
      <w:r>
        <w:rPr>
          <w:rFonts w:ascii="Times New Roman" w:cs="Times New Roman" w:eastAsia="Times New Roman" w:hAnsi="Times New Roman"/>
          <w:sz w:val="18"/>
          <w:szCs w:val="18"/>
          <w:color w:val="212529"/>
        </w:rPr>
        <w:t>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recorded a $0.6 million impairment charge representing the provision for losses related to our income properties, and a $0.1 million impairment charge </w:t>
      </w:r>
      <w:r>
        <w:rPr>
          <w:rFonts w:ascii="Times New Roman" w:cs="Times New Roman" w:eastAsia="Times New Roman" w:hAnsi="Times New Roman"/>
          <w:sz w:val="18"/>
          <w:szCs w:val="18"/>
          <w:color w:val="000000"/>
        </w:rPr>
        <w:t>which represents the current expected credit losses (“CECL”) reserve related to our commercial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loans and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$6.7 million and $6.4 million during the three months ended June 30, 2025 and 2024, respectively. The $0.3 million increase in depreciation and amortization expense is reflective of the increase in asset cost basis of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sold five properties for an aggregate sales price of $16.5 million, generating aggregate gains on sale of $0.9 million. During the three months ended June 30, 2024, the Company sold two properties for an aggregate sales price of $6.6 million, generating aggregate gains on sale of $0.9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59" w:firstLine="342"/>
        <w:spacing w:after="0" w:line="282" w:lineRule="auto"/>
        <w:rPr>
          <w:sz w:val="20"/>
          <w:szCs w:val="20"/>
          <w:color w:val="auto"/>
        </w:rPr>
      </w:pPr>
      <w:r>
        <w:rPr>
          <w:rFonts w:ascii="Times New Roman" w:cs="Times New Roman" w:eastAsia="Times New Roman" w:hAnsi="Times New Roman"/>
          <w:sz w:val="18"/>
          <w:szCs w:val="18"/>
          <w:color w:val="auto"/>
        </w:rPr>
        <w:t>Investment and other income was relatively flat during the three months ended June 30, 2025 and 2024, which totaled less than $0.1 million and $0.1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totaled $4.3 million and $2.8 million during the three months ended June 30, 2025 and 2024, respectively. The $1.5 million increase in interest expense is attributable to the higher average outstanding balance on the Company’s Credit Facility as well as an increase in the fixed interest for the 2027 Term Loan effective in November of 2024. The overall increase in the Company’s long-term debt was primarily utilized to fund the acquisition of properties and commercial loans and investments during the six months ended June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Net loss totaled $1.8 million and net income totaled $0.2 million during the three months ended June 30, 2025 and 2024, respectively. The $2.0 million decrease in net income is attributable to the factors described above, most notably the $2.1 million increase of provision for impairment and the $1.5 million increase in interest expense, partially offset by the increase in interest income from commercial loans and investments of $1.7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six months ended June 30, 2025, as compared to the six months ended June 30, 2024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Six Months Ended</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0"/>
              <w:spacing w:after="0" w:line="196" w:lineRule="exact"/>
              <w:rPr>
                <w:sz w:val="20"/>
                <w:szCs w:val="20"/>
                <w:color w:val="auto"/>
              </w:rPr>
            </w:pPr>
            <w:r>
              <w:rPr>
                <w:rFonts w:ascii="Times New Roman" w:cs="Times New Roman" w:eastAsia="Times New Roman" w:hAnsi="Times New Roman"/>
                <w:sz w:val="20"/>
                <w:szCs w:val="20"/>
                <w:b w:val="1"/>
                <w:bCs w:val="1"/>
                <w:color w:val="auto"/>
                <w:w w:val="98"/>
              </w:rPr>
              <w:t>June 30,</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
              <w:spacing w:after="0" w:line="196" w:lineRule="exact"/>
              <w:rPr>
                <w:sz w:val="20"/>
                <w:szCs w:val="20"/>
                <w:color w:val="auto"/>
              </w:rPr>
            </w:pPr>
            <w:r>
              <w:rPr>
                <w:rFonts w:ascii="Times New Roman" w:cs="Times New Roman" w:eastAsia="Times New Roman" w:hAnsi="Times New Roman"/>
                <w:sz w:val="20"/>
                <w:szCs w:val="20"/>
                <w:b w:val="1"/>
                <w:bCs w:val="1"/>
                <w:color w:val="auto"/>
                <w:w w:val="95"/>
              </w:rPr>
              <w:t>June 30,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Variance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Variance</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Revenues:</w:t>
            </w: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22,794</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1,054</w:t>
            </w: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Interest Income from Commercial Loans and Investments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1,889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3,149</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166.7%</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Revenue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29,069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24,956</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4,113</w:t>
            </w:r>
          </w:p>
        </w:tc>
        <w:tc>
          <w:tcPr>
            <w:tcW w:w="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Expenses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Provision for Impairment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4,146</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602.6%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14,012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12,734</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1,278</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26,398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20,294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6,104</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30.1%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Gain on Disposition of Assets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from Operations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5,580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(820)</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and Other Income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(7,912)</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(5,766)</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(2,146)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Loss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(3,060)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(2,999)</w:t>
            </w:r>
          </w:p>
        </w:tc>
        <w:tc>
          <w:tcPr>
            <w:tcW w:w="40" w:type="dxa"/>
            <w:vAlign w:val="bottom"/>
          </w:tcPr>
          <w:p>
            <w:pPr>
              <w:spacing w:after="0"/>
              <w:rPr>
                <w:sz w:val="19"/>
                <w:szCs w:val="19"/>
                <w:color w:val="auto"/>
              </w:rPr>
            </w:pPr>
          </w:p>
        </w:tc>
        <w:tc>
          <w:tcPr>
            <w:tcW w:w="92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(4916.4)%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Less: Net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4700.0%</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Loss Attributable to Alpine Income Property Trust, Inc.</w:t>
            </w: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(2,820)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(2,764)</w:t>
            </w:r>
          </w:p>
        </w:tc>
        <w:tc>
          <w:tcPr>
            <w:tcW w:w="40" w:type="dxa"/>
            <w:vAlign w:val="bottom"/>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(4935.7)%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totaled $23.8 million and $22.8 million during the six months ended June 30, 2025 and 2024, respectively. The $1.0 million increase in lease income is primarily attributable to an increase in rents due to the volume of property acquisitions versus dispositions. The direct costs of revenues for our income properties totaled $4.1 million and $3.7 million during the six months ended June 30, 2025 and 2024, respectively. The $0.4 million increase in the direct cost of revenues is reflective of increased reimbursable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$5.0 million and $1.9 million for the six months ended June 30, 2025 and 2024, respectively. The $3.1 million increase in income is attributable to the expanded portfolio of commercial loans and investments which, as of June 30, 2025, was comprised of six construction loans, five mortgage notes, and three properties acquired pursuant to a sale-leaseback transaction whereby the tenant has a future repurchase right. On July 2, 2025, the current face amount of the Publix Land Development loan of $25.5 million, and the current face amount of the Verizon Turnersville, NJ loan of $2.0 million, were both repaid in full. Total proceeds to the Company were $27.6 million, including accrued interest, and were utilized to pay down the balance on the Company’s Credit Facility. As of June 30, 2024, the Company’s portfolio of commercial loans and investments was comprised of four construction loans and one mortgage note.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revenue totaled $0.2 million and $0.3 million for the six months ended June 30, 2025 and 2024, respectively. The revenue is attributable to fees earned from a revenue sharing agreement the Company entered into with CTO as further described in Note 19, “Related Party Management Company” in the Notes to the Financial Statements. The $0.1 million decrease is attributable to leasing commissions earned during the six months ended June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six months ended June 30, 2025, as compared to the six months ended June 30,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0"/>
                <w:szCs w:val="2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 Expense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$3.4 million and $3.1 million during the six months ended June 30, 2025 and 2024, respectively. The $0.3 million increase is primarily the result of increases in the management fee due to an increase in the weighted average of the Company’s equity base and director compensation.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212529"/>
        </w:rPr>
        <w:t>As further described in Note 7, “Provision for Impairment”, d</w:t>
      </w:r>
      <w:r>
        <w:rPr>
          <w:rFonts w:ascii="Times New Roman" w:cs="Times New Roman" w:eastAsia="Times New Roman" w:hAnsi="Times New Roman"/>
          <w:sz w:val="18"/>
          <w:szCs w:val="18"/>
          <w:color w:val="000000"/>
        </w:rPr>
        <w:t>uring the six months ended June 30, 2025, the Company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recorded a $4.6 million impairment charge r</w:t>
      </w:r>
      <w:r>
        <w:rPr>
          <w:rFonts w:ascii="Times New Roman" w:cs="Times New Roman" w:eastAsia="Times New Roman" w:hAnsi="Times New Roman"/>
          <w:sz w:val="18"/>
          <w:szCs w:val="18"/>
          <w:color w:val="212529"/>
        </w:rPr>
        <w:t>epresenting the provision for losses related to certain income properties,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which the Company’s current intent is to dispose of such properties in </w:t>
      </w:r>
      <w:r>
        <w:rPr>
          <w:rFonts w:ascii="Times New Roman" w:cs="Times New Roman" w:eastAsia="Times New Roman" w:hAnsi="Times New Roman"/>
          <w:sz w:val="18"/>
          <w:szCs w:val="18"/>
          <w:color w:val="000000"/>
        </w:rPr>
        <w:t>order to facilitate the re-investment of the proceeds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therefrom into new investment opportunities, </w:t>
      </w:r>
      <w:r>
        <w:rPr>
          <w:rFonts w:ascii="Times New Roman" w:cs="Times New Roman" w:eastAsia="Times New Roman" w:hAnsi="Times New Roman"/>
          <w:sz w:val="18"/>
          <w:szCs w:val="18"/>
          <w:color w:val="212529"/>
        </w:rPr>
        <w:t>and a $0.2 million impairment charge</w:t>
      </w:r>
      <w:r>
        <w:rPr>
          <w:rFonts w:ascii="Times New Roman" w:cs="Times New Roman" w:eastAsia="Times New Roman" w:hAnsi="Times New Roman"/>
          <w:sz w:val="18"/>
          <w:szCs w:val="18"/>
          <w:color w:val="000000"/>
        </w:rPr>
        <w:t xml:space="preserve"> which represents the CECL reserve related to our commercial loans and investments. During the six months ended June 30, 2024, </w:t>
      </w:r>
      <w:r>
        <w:rPr>
          <w:rFonts w:ascii="Times New Roman" w:cs="Times New Roman" w:eastAsia="Times New Roman" w:hAnsi="Times New Roman"/>
          <w:sz w:val="18"/>
          <w:szCs w:val="18"/>
          <w:color w:val="212529"/>
        </w:rPr>
        <w:t>the Company recorded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$0.6 million impairment charge representing the provision for losses related to our income properties, and a $0.1 million impairment charge </w:t>
      </w:r>
      <w:r>
        <w:rPr>
          <w:rFonts w:ascii="Times New Roman" w:cs="Times New Roman" w:eastAsia="Times New Roman" w:hAnsi="Times New Roman"/>
          <w:sz w:val="18"/>
          <w:szCs w:val="18"/>
          <w:color w:val="000000"/>
        </w:rPr>
        <w:t>which represents the CECL reserve related to our commercial loans and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$14.0 million and $12.7 million during the six months ended June 30, 2025 and 2024, respectively. The $1.3 million increase in depreciation and amortization expense is reflective of the increase in asset cost basis of the Company’s income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sold eight properties for an aggregate sales price of $28.2 million, generating aggregate gains on sale of $2.1 million. During the six months ended June 30, 2024, the Company sold two properties for an aggregate sales price of $6.6 million, generating aggregate gains on sale of $0.9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79" w:firstLine="382"/>
        <w:spacing w:after="0" w:line="282" w:lineRule="auto"/>
        <w:rPr>
          <w:sz w:val="20"/>
          <w:szCs w:val="20"/>
          <w:color w:val="auto"/>
        </w:rPr>
      </w:pPr>
      <w:r>
        <w:rPr>
          <w:rFonts w:ascii="Times New Roman" w:cs="Times New Roman" w:eastAsia="Times New Roman" w:hAnsi="Times New Roman"/>
          <w:sz w:val="18"/>
          <w:szCs w:val="18"/>
          <w:color w:val="auto"/>
        </w:rPr>
        <w:t>Investment and other income was relatively flat and totaled $0.1 million during the six months ended June 30,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Interest expense totaled $7.9 million and $5.8 million during the six months ended June 30, 2025 and 2024, respectively. The $2.1 million increase in interest expense is attributable to the higher average outstanding balance on the Company’s Credit Facility as well as increase in the fixed interest for the 2027 Term Loan effective in November of 2024, as well as $0.3 million of interest expense resulting from the sale of participation interest in the Company’s $24.0 million Mortgage Note as defined and further described in Note 4, “Commercial Loans and Investments” in the Notes to the Financial Statements. The overall increase in the Company’s long-term debt was primarily utilized to fund the acquisition of properties and commercial loans and investments during the six months ended June 30,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loss totaled $3.1 million and $0.1 million during the six months ended June 30, 2025 and 2024, respectively. The $3.0 million increase in net loss is attributable to the factors described above, most notably the $4.1 million increase in provision for impairment and an additional $2.1 million increase in interest expense, partially offset by the $3.1 million increase in interest income from commercial loans and investments.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$12.1 million as of June 30, 2025, including restricted cash of $7.1 million. See Note 2 “Summary of Significant Accounting Policies” under the heading Restricted Cash for the Company’s disclosure related to its restricted cash balance as of June 30, 2025.</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June 30, 2025, the commitment level under the Credit Facility was $250.0 million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had an outstanding balance of $153.0 million and $48.0 million of available capacity. The Company also had $200.0 million in term loans outstanding as of June 30, 2025. See Note 13, “Long-Term Debt” for the Company’s disclosure related to its long-term debt balance at June 30, 2025.</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and Dispositions. </w:t>
      </w:r>
      <w:r>
        <w:rPr>
          <w:rFonts w:ascii="Times New Roman" w:cs="Times New Roman" w:eastAsia="Times New Roman" w:hAnsi="Times New Roman"/>
          <w:sz w:val="18"/>
          <w:szCs w:val="18"/>
          <w:color w:val="auto"/>
        </w:rPr>
        <w:t>As further described in Note 3, “Property Portfolio,” during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the Company acquired three properties for a combined purchase price of $39.7 million, or a cost of $39.9 million including capitalized acquisition costs, and sold eight properties for an aggregate sales price of $28.2 million, generating aggregate gains on sale of $2.1 million.</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The Company was not active under the 2022 ATM Program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June 30, 2025, the Company had no commitments related to capital expenditures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of fixed assets, such as land, buildings, and equipment. Additionally, the Company is committed to fund six construction loans as described in Note 4, “Commercial Loans and Investments”. The unfunded portion of the construction loans totaled $22.3 million as of June 30, 2025.</w:t>
      </w:r>
    </w:p>
    <w:p>
      <w:pPr>
        <w:spacing w:after="0" w:line="18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$5.0 million in tenant improvements for a property were completed and accordingly were accrued for through an increase to Building and Improvements, at Cost and Accounts Payable, Accrued Expenses, and Other Liabilities in the Company’s consolidated Balance Sheet. Payment was made subsequent to June 30, 2025.</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$90.4 million of availability remaining under the 2022 ATM Program, and $48.0 million of available capacity on the existing $250.0 million Credit Facility.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or loss or as a performance measure or cash flows from operations as reported on our statement of cash flows as a liquidity measure and should be considered in addition to, and not in lieu of, GAAP financial measures.</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or loss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3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2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18"/>
                <w:szCs w:val="18"/>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7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to Lease Income</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0"/>
                <w:szCs w:val="20"/>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r>
      <w:tr>
        <w:trPr>
          <w:trHeight w:val="198"/>
        </w:trPr>
        <w:tc>
          <w:tcPr>
            <w:tcW w:w="3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Costs to</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20"/>
                <w:szCs w:val="20"/>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r>
      <w:tr>
        <w:trPr>
          <w:trHeight w:val="24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20" w:type="dxa"/>
            <w:vAlign w:val="bottom"/>
          </w:tcPr>
          <w:p>
            <w:pPr>
              <w:spacing w:after="0"/>
              <w:rPr>
                <w:sz w:val="21"/>
                <w:szCs w:val="21"/>
                <w:color w:val="auto"/>
              </w:rPr>
            </w:pPr>
          </w:p>
        </w:tc>
      </w:tr>
      <w:tr>
        <w:trPr>
          <w:trHeight w:val="197"/>
        </w:trPr>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13,624,932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14,414,682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13,623,070</w:t>
            </w:r>
          </w:p>
        </w:tc>
        <w:tc>
          <w:tcPr>
            <w:tcW w:w="20" w:type="dxa"/>
            <w:vAlign w:val="bottom"/>
          </w:tcPr>
          <w:p>
            <w:pPr>
              <w:spacing w:after="0"/>
              <w:rPr>
                <w:sz w:val="18"/>
                <w:szCs w:val="18"/>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15,426,650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14,848,786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15,638,536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14,846,924</w:t>
            </w:r>
          </w:p>
        </w:tc>
        <w:tc>
          <w:tcPr>
            <w:tcW w:w="20" w:type="dxa"/>
            <w:vAlign w:val="bottom"/>
          </w:tcPr>
          <w:p>
            <w:pPr>
              <w:spacing w:after="0"/>
              <w:rPr>
                <w:sz w:val="20"/>
                <w:szCs w:val="20"/>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21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3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00" w:type="dxa"/>
            <w:vAlign w:val="bottom"/>
          </w:tcPr>
          <w:p>
            <w:pPr>
              <w:spacing w:after="0"/>
              <w:rPr>
                <w:sz w:val="18"/>
                <w:szCs w:val="18"/>
                <w:color w:val="auto"/>
              </w:rPr>
            </w:pPr>
          </w:p>
        </w:tc>
        <w:tc>
          <w:tcPr>
            <w:tcW w:w="12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per Diluted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2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per Diluted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three properties for a combined purchase price of $39.7 million for the six months ended June 30, 2025.</w:t>
      </w:r>
    </w:p>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2025, that have materially affected, or are reasonably likely to materially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following risk factor should be read in conjunction with the risk factors from those set forth under the heading Part I, “Item 1A. Risk Factors” in the Company’s Annual Report on Form 10-K for the year ended December 31, 2024 (the “Form 10-K”). The risks described in the Form 10-K and below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jc w:val="both"/>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trade disruption, significant introductions of trade barriers and bilateral trade frictions, together with any future downturns in the global economy resulting therefrom, could adversely affect our performance.</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including China,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our performance.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unregistered sales of equity securities of the Company during the three months ended June 30,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share repurchases were made during the three months ended June 30,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Maximum Number (or</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Shares that</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Part of Publicly</w:t>
            </w:r>
          </w:p>
        </w:tc>
        <w:tc>
          <w:tcPr>
            <w:tcW w:w="18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08"/>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46"/>
        </w:trPr>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1"/>
                <w:szCs w:val="21"/>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line="246" w:lineRule="exact"/>
              <w:rPr>
                <w:sz w:val="20"/>
                <w:szCs w:val="20"/>
                <w:color w:val="auto"/>
              </w:rPr>
            </w:pPr>
            <w:r>
              <w:rPr>
                <w:rFonts w:ascii="Times New Roman" w:cs="Times New Roman" w:eastAsia="Times New Roman" w:hAnsi="Times New Roman"/>
                <w:sz w:val="18"/>
                <w:szCs w:val="18"/>
                <w:b w:val="1"/>
                <w:bCs w:val="1"/>
                <w:color w:val="auto"/>
                <w:w w:val="98"/>
              </w:rPr>
              <w:t xml:space="preserve">Programs ($000's) </w:t>
            </w:r>
            <w:r>
              <w:rPr>
                <w:rFonts w:ascii="Times New Roman" w:cs="Times New Roman" w:eastAsia="Times New Roman" w:hAnsi="Times New Roman"/>
                <w:sz w:val="26"/>
                <w:szCs w:val="26"/>
                <w:b w:val="1"/>
                <w:bCs w:val="1"/>
                <w:color w:val="auto"/>
                <w:w w:val="98"/>
                <w:vertAlign w:val="superscript"/>
              </w:rPr>
              <w:t>(1)</w:t>
            </w:r>
          </w:p>
        </w:tc>
      </w:tr>
      <w:tr>
        <w:trPr>
          <w:trHeight w:val="210"/>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4/1/2025 - 4/30/2025</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5/1/2025 - 5/31/2025</w:t>
            </w:r>
          </w:p>
        </w:tc>
        <w:tc>
          <w:tcPr>
            <w:tcW w:w="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6/1/2025 - 6/30/2025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272,565</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8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88"/>
        </w:trPr>
        <w:tc>
          <w:tcPr>
            <w:tcW w:w="2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r>
    </w:tbl>
    <w:p>
      <w:pPr>
        <w:spacing w:after="0" w:line="58" w:lineRule="exact"/>
        <w:rPr>
          <w:sz w:val="20"/>
          <w:szCs w:val="20"/>
          <w:color w:val="auto"/>
        </w:rPr>
      </w:pPr>
    </w:p>
    <w:p>
      <w:pPr>
        <w:ind w:left="380" w:right="79" w:hanging="330"/>
        <w:spacing w:after="0" w:line="261" w:lineRule="auto"/>
        <w:tabs>
          <w:tab w:leader="none" w:pos="38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February 2025, the Company’s Board of Directors approved a $10 million stock repurchase program under which approximately $8.8 million of the Company’s stock had been repurchased as of June 30, 2025. The repurchase program does not have an expiration date.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w:t>
            </w:r>
          </w:p>
        </w:tc>
        <w:tc>
          <w:tcPr>
            <w:tcW w:w="748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5980" w:type="dxa"/>
            <w:vAlign w:val="bottom"/>
            <w:tcBorders>
              <w:bottom w:val="single" w:sz="8" w:color="0000EE"/>
            </w:tcBorders>
            <w:gridSpan w:val="5"/>
          </w:tcPr>
          <w:p>
            <w:pPr>
              <w:spacing w:after="0" w:line="183" w:lineRule="exact"/>
              <w:rPr>
                <w:rFonts w:ascii="Times New Roman" w:cs="Times New Roman" w:eastAsia="Times New Roman" w:hAnsi="Times New Roman"/>
                <w:sz w:val="17"/>
                <w:szCs w:val="17"/>
                <w:color w:val="0000EE"/>
                <w:w w:val="99"/>
              </w:rPr>
            </w:pPr>
            <w:hyperlink r:id="rId78">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00" w:type="dxa"/>
            <w:vAlign w:val="bottom"/>
          </w:tcPr>
          <w:p>
            <w:pPr>
              <w:spacing w:after="0"/>
              <w:rPr>
                <w:sz w:val="15"/>
                <w:szCs w:val="15"/>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w:t>
            </w:r>
          </w:p>
        </w:tc>
        <w:tc>
          <w:tcPr>
            <w:tcW w:w="748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Third Amended and Restated Bylaws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590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Exhibit 3.1 to the Company’s Current Report on Form 8-K filed on February 3, 2023).</w:t>
              </w:r>
            </w:hyperlink>
          </w:p>
        </w:tc>
        <w:tc>
          <w:tcPr>
            <w:tcW w:w="1580" w:type="dxa"/>
            <w:vAlign w:val="bottom"/>
            <w:gridSpan w:val="2"/>
          </w:tcPr>
          <w:p>
            <w:pPr>
              <w:spacing w:after="0"/>
              <w:rPr>
                <w:sz w:val="15"/>
                <w:szCs w:val="15"/>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4.1</w:t>
            </w:r>
          </w:p>
        </w:tc>
        <w:tc>
          <w:tcPr>
            <w:tcW w:w="748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Specimen Common Stock Certificate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Exhibit 4.1 to the Registrant’s Registration Statement on Form S-11/A (File No. 333-234304) filed with the</w:t>
              </w:r>
            </w:hyperlink>
          </w:p>
        </w:tc>
      </w:tr>
      <w:tr>
        <w:trPr>
          <w:trHeight w:val="183"/>
        </w:trPr>
        <w:tc>
          <w:tcPr>
            <w:tcW w:w="1400" w:type="dxa"/>
            <w:vAlign w:val="bottom"/>
          </w:tcPr>
          <w:p>
            <w:pPr>
              <w:spacing w:after="0"/>
              <w:rPr>
                <w:sz w:val="15"/>
                <w:szCs w:val="15"/>
                <w:color w:val="auto"/>
              </w:rPr>
            </w:pPr>
          </w:p>
        </w:tc>
        <w:tc>
          <w:tcPr>
            <w:tcW w:w="7480" w:type="dxa"/>
            <w:vAlign w:val="bottom"/>
            <w:gridSpan w:val="6"/>
          </w:tcPr>
          <w:p>
            <w:pPr>
              <w:spacing w:after="0" w:line="183" w:lineRule="exact"/>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Commission on October 29, 2019).</w:t>
              </w:r>
            </w:hyperlink>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31.1*</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31.2*</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32.1**</w:t>
            </w:r>
          </w:p>
        </w:tc>
        <w:tc>
          <w:tcPr>
            <w:tcW w:w="7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7480" w:type="dxa"/>
            <w:vAlign w:val="bottom"/>
            <w:gridSpan w:val="6"/>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32.2**</w:t>
            </w:r>
          </w:p>
        </w:tc>
        <w:tc>
          <w:tcPr>
            <w:tcW w:w="7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7480" w:type="dxa"/>
            <w:vAlign w:val="bottom"/>
            <w:gridSpan w:val="6"/>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r>
      <w:tr>
        <w:trPr>
          <w:trHeight w:val="31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104</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wp:posOffset>
            </wp:positionV>
            <wp:extent cx="1414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6" w:lineRule="exact"/>
        <w:rPr>
          <w:sz w:val="20"/>
          <w:szCs w:val="20"/>
          <w:color w:val="auto"/>
        </w:rPr>
      </w:pPr>
    </w:p>
    <w:p>
      <w:pPr>
        <w:ind w:left="300" w:hanging="250"/>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24, 2025</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24, 2025</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24, 2025</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and 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June 30, 2025,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June 30,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78" Type="http://schemas.openxmlformats.org/officeDocument/2006/relationships/hyperlink" Target="https://www.sec.gov/Archives/edgar/data/0001786117/000155837019011294/ex-3d1.htm" TargetMode="External"/><Relationship Id="rId79" Type="http://schemas.openxmlformats.org/officeDocument/2006/relationships/hyperlink" Target="https://www.sec.gov/Archives/edgar/data/1786117/000155837023000881/pine-20230201xex3d1.htm" TargetMode="External"/><Relationship Id="rId80"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2025-07-24T15:35:29Z</dcterms:created>
  <dcterms:modified xsi:type="dcterms:W3CDTF">2025-07-24T15:35:29Z</dcterms:modified>
</cp:coreProperties>
</file>