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22026_041008.xml.htm"/>
      <w:bookmarkStart w:id="1" w:name="ksform410022026_04100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Wadleigh Brenna Andrea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1140 N. WILLIAMSON BLVD.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140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DAYTONA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32114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Alpine Income Property Trust, Inc.</w:t>
              </w:r>
            </w:hyperlink>
            <w:r>
              <w:rPr/>
              <w:t xml:space="preserve"> [ </w:t>
            </w:r>
            <w:r>
              <w:rPr>
                <w:rFonts w:ascii="Times;serif" w:hAnsi="Times;serif"/>
                <w:color w:val="0000FF"/>
                <w:sz w:val="24"/>
                <w:shd w:fill="FFFFFF" w:val="clear"/>
              </w:rPr>
              <w:t>PINE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1,661</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18.058</w:t>
            </w:r>
            <w:r>
              <w:rPr>
                <w:rFonts w:ascii="Times;serif" w:hAnsi="Times;serif"/>
                <w:color w:val="008000"/>
                <w:position w:val="7"/>
                <w:sz w:val="16"/>
                <w:sz w:val="20"/>
                <w:shd w:fill="FFFFFF" w:val="clear"/>
              </w:rPr>
              <w:t>(1)</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12,918</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issued to the Reporting Person as (i) the equity component of her Q3 2026 quarterly retainer fee (the value of such component being approximately $17,500) and (ii) in lieu of the cash component of her Q3 2026 quarterly retainer fee of $12,500, pursuant to the Issuer's Non-Employee Director Compensation Policy (the "Policy") adopted by the Issuer's board of directors on February 3, 2020 (last amended January 30, 2025). Pursuant to the Policy, the share price utilized to calculate the number of shares issued was the 20-day trailing average closing price as of the last business day of the calendar quarter, or $18.0580.</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E. Smith, attorney-in-fact for Brenna A. Wadleigh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4219" TargetMode="External"/><Relationship Id="rId5" Type="http://schemas.openxmlformats.org/officeDocument/2006/relationships/hyperlink" Target="http://www.sec.gov/cgi-bin/browse-edgar?action=getcompany&amp;CIK=000178611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681</Words>
  <Characters>3667</Characters>
  <CharactersWithSpaces>4281</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