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177800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34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-199390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64770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83185</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23" w:lineRule="exact"/>
        <w:rPr>
          <w:sz w:val="24"/>
          <w:szCs w:val="24"/>
          <w:color w:val="auto"/>
        </w:rPr>
      </w:pPr>
    </w:p>
    <w:p>
      <w:pPr>
        <w:ind w:left="440" w:right="180" w:hanging="430"/>
        <w:spacing w:after="0" w:line="267" w:lineRule="auto"/>
        <w:tabs>
          <w:tab w:leader="none" w:pos="44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September 30, 2023</w:t>
      </w:r>
    </w:p>
    <w:p>
      <w:pPr>
        <w:spacing w:after="0" w:line="64" w:lineRule="exact"/>
        <w:rPr>
          <w:sz w:val="24"/>
          <w:szCs w:val="24"/>
          <w:color w:val="auto"/>
        </w:rPr>
      </w:pPr>
    </w:p>
    <w:p>
      <w:pPr>
        <w:ind w:left="20"/>
        <w:spacing w:after="0"/>
        <w:rPr>
          <w:sz w:val="20"/>
          <w:szCs w:val="20"/>
          <w:color w:val="auto"/>
        </w:rPr>
      </w:pPr>
      <w:r>
        <w:rPr>
          <w:rFonts w:ascii="Arial" w:cs="Arial" w:eastAsia="Arial" w:hAnsi="Arial"/>
          <w:sz w:val="20"/>
          <w:szCs w:val="20"/>
          <w:b w:val="1"/>
          <w:bCs w:val="1"/>
          <w:color w:val="auto"/>
        </w:rPr>
        <w:t>OR</w:t>
      </w:r>
    </w:p>
    <w:p>
      <w:pPr>
        <w:spacing w:after="0" w:line="54" w:lineRule="exact"/>
        <w:rPr>
          <w:sz w:val="24"/>
          <w:szCs w:val="24"/>
          <w:color w:val="auto"/>
        </w:rPr>
      </w:pPr>
    </w:p>
    <w:p>
      <w:pPr>
        <w:ind w:left="440" w:right="180" w:hanging="430"/>
        <w:spacing w:after="0" w:line="267" w:lineRule="auto"/>
        <w:tabs>
          <w:tab w:leader="none" w:pos="44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0" w:lineRule="exact"/>
        <w:rPr>
          <w:sz w:val="24"/>
          <w:szCs w:val="24"/>
          <w:color w:val="auto"/>
        </w:rPr>
      </w:pPr>
    </w:p>
    <w:p>
      <w:pPr>
        <w:ind w:left="3160"/>
        <w:spacing w:after="0"/>
        <w:tabs>
          <w:tab w:leader="none" w:pos="61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3361055</wp:posOffset>
            </wp:positionH>
            <wp:positionV relativeFrom="paragraph">
              <wp:posOffset>-4445</wp:posOffset>
            </wp:positionV>
            <wp:extent cx="11398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 xml:space="preserve">Commission file number </w:t>
      </w:r>
      <w:r>
        <w:rPr>
          <w:rFonts w:ascii="Arial" w:cs="Arial" w:eastAsia="Arial" w:hAnsi="Arial"/>
          <w:sz w:val="17"/>
          <w:szCs w:val="17"/>
          <w:b w:val="1"/>
          <w:bCs w:val="1"/>
          <w:color w:val="auto"/>
        </w:rPr>
        <w:t>001-39143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93345</wp:posOffset>
            </wp:positionV>
            <wp:extent cx="16287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ALPINE INCOME PROPERTY TRUST, INC.</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69215</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70" w:lineRule="exact"/>
        <w:rPr>
          <w:sz w:val="24"/>
          <w:szCs w:val="24"/>
          <w:color w:val="auto"/>
        </w:rPr>
      </w:pPr>
    </w:p>
    <w:tbl>
      <w:tblPr>
        <w:tblLayout w:type="fixed"/>
        <w:tblInd w:w="1200" w:type="dxa"/>
        <w:tblCellMar>
          <w:top w:w="0" w:type="dxa"/>
          <w:left w:w="0" w:type="dxa"/>
          <w:bottom w:w="0" w:type="dxa"/>
          <w:right w:w="0" w:type="dxa"/>
        </w:tblCellMar>
      </w:tblPr>
      <w:tr>
        <w:trPr>
          <w:trHeight w:val="202"/>
        </w:trPr>
        <w:tc>
          <w:tcPr>
            <w:tcW w:w="5840" w:type="dxa"/>
            <w:vAlign w:val="bottom"/>
          </w:tcPr>
          <w:p>
            <w:pPr>
              <w:jc w:val="center"/>
              <w:ind w:right="3059"/>
              <w:spacing w:after="0"/>
              <w:rPr>
                <w:sz w:val="20"/>
                <w:szCs w:val="20"/>
                <w:color w:val="auto"/>
              </w:rPr>
            </w:pPr>
            <w:r>
              <w:rPr>
                <w:rFonts w:ascii="Arial" w:cs="Arial" w:eastAsia="Arial" w:hAnsi="Arial"/>
                <w:sz w:val="16"/>
                <w:szCs w:val="16"/>
                <w:b w:val="1"/>
                <w:bCs w:val="1"/>
                <w:color w:val="auto"/>
                <w:w w:val="99"/>
              </w:rPr>
              <w:t>Maryland</w:t>
            </w:r>
          </w:p>
        </w:tc>
        <w:tc>
          <w:tcPr>
            <w:tcW w:w="1380" w:type="dxa"/>
            <w:vAlign w:val="bottom"/>
          </w:tcPr>
          <w:p>
            <w:pPr>
              <w:jc w:val="right"/>
              <w:ind w:right="159"/>
              <w:spacing w:after="0"/>
              <w:rPr>
                <w:sz w:val="20"/>
                <w:szCs w:val="20"/>
                <w:color w:val="auto"/>
              </w:rPr>
            </w:pPr>
            <w:r>
              <w:rPr>
                <w:rFonts w:ascii="Arial" w:cs="Arial" w:eastAsia="Arial" w:hAnsi="Arial"/>
                <w:sz w:val="16"/>
                <w:szCs w:val="16"/>
                <w:b w:val="1"/>
                <w:bCs w:val="1"/>
                <w:color w:val="auto"/>
              </w:rPr>
              <w:t>84-2769895</w:t>
            </w:r>
          </w:p>
        </w:tc>
      </w:tr>
      <w:tr>
        <w:trPr>
          <w:trHeight w:val="203"/>
        </w:trPr>
        <w:tc>
          <w:tcPr>
            <w:tcW w:w="5840" w:type="dxa"/>
            <w:vAlign w:val="bottom"/>
          </w:tcPr>
          <w:p>
            <w:pPr>
              <w:jc w:val="center"/>
              <w:ind w:right="3059"/>
              <w:spacing w:after="0"/>
              <w:rPr>
                <w:sz w:val="20"/>
                <w:szCs w:val="20"/>
                <w:color w:val="auto"/>
              </w:rPr>
            </w:pPr>
            <w:r>
              <w:rPr>
                <w:rFonts w:ascii="Arial" w:cs="Arial" w:eastAsia="Arial" w:hAnsi="Arial"/>
                <w:sz w:val="16"/>
                <w:szCs w:val="16"/>
                <w:b w:val="1"/>
                <w:bCs w:val="1"/>
                <w:color w:val="auto"/>
                <w:w w:val="91"/>
              </w:rPr>
              <w:t>(State or other jurisdiction of</w:t>
            </w:r>
          </w:p>
        </w:tc>
        <w:tc>
          <w:tcPr>
            <w:tcW w:w="1380" w:type="dxa"/>
            <w:vAlign w:val="bottom"/>
          </w:tcPr>
          <w:p>
            <w:pPr>
              <w:jc w:val="center"/>
              <w:ind w:left="19"/>
              <w:spacing w:after="0"/>
              <w:rPr>
                <w:sz w:val="20"/>
                <w:szCs w:val="20"/>
                <w:color w:val="auto"/>
              </w:rPr>
            </w:pPr>
            <w:r>
              <w:rPr>
                <w:rFonts w:ascii="Arial" w:cs="Arial" w:eastAsia="Arial" w:hAnsi="Arial"/>
                <w:sz w:val="16"/>
                <w:szCs w:val="16"/>
                <w:b w:val="1"/>
                <w:bCs w:val="1"/>
                <w:color w:val="auto"/>
                <w:w w:val="94"/>
              </w:rPr>
              <w:t>(I.R.S. Employer</w:t>
            </w:r>
          </w:p>
        </w:tc>
      </w:tr>
      <w:tr>
        <w:trPr>
          <w:trHeight w:val="210"/>
        </w:trPr>
        <w:tc>
          <w:tcPr>
            <w:tcW w:w="5840" w:type="dxa"/>
            <w:vAlign w:val="bottom"/>
          </w:tcPr>
          <w:p>
            <w:pPr>
              <w:jc w:val="center"/>
              <w:ind w:right="3059"/>
              <w:spacing w:after="0"/>
              <w:rPr>
                <w:sz w:val="20"/>
                <w:szCs w:val="20"/>
                <w:color w:val="auto"/>
              </w:rPr>
            </w:pPr>
            <w:r>
              <w:rPr>
                <w:rFonts w:ascii="Arial" w:cs="Arial" w:eastAsia="Arial" w:hAnsi="Arial"/>
                <w:sz w:val="16"/>
                <w:szCs w:val="16"/>
                <w:b w:val="1"/>
                <w:bCs w:val="1"/>
                <w:color w:val="auto"/>
                <w:w w:val="91"/>
              </w:rPr>
              <w:t>incorporation or organization)</w:t>
            </w:r>
          </w:p>
        </w:tc>
        <w:tc>
          <w:tcPr>
            <w:tcW w:w="1380" w:type="dxa"/>
            <w:vAlign w:val="bottom"/>
          </w:tcPr>
          <w:p>
            <w:pPr>
              <w:jc w:val="center"/>
              <w:ind w:left="19"/>
              <w:spacing w:after="0"/>
              <w:rPr>
                <w:sz w:val="20"/>
                <w:szCs w:val="20"/>
                <w:color w:val="auto"/>
              </w:rPr>
            </w:pPr>
            <w:r>
              <w:rPr>
                <w:rFonts w:ascii="Arial" w:cs="Arial" w:eastAsia="Arial" w:hAnsi="Arial"/>
                <w:sz w:val="16"/>
                <w:szCs w:val="16"/>
                <w:b w:val="1"/>
                <w:bCs w:val="1"/>
                <w:color w:val="auto"/>
                <w:w w:val="94"/>
              </w:rPr>
              <w:t>Identification No.)</w:t>
            </w:r>
          </w:p>
        </w:tc>
      </w:tr>
      <w:tr>
        <w:trPr>
          <w:trHeight w:val="289"/>
        </w:trPr>
        <w:tc>
          <w:tcPr>
            <w:tcW w:w="5840" w:type="dxa"/>
            <w:vAlign w:val="bottom"/>
          </w:tcPr>
          <w:p>
            <w:pPr>
              <w:jc w:val="center"/>
              <w:ind w:right="3059"/>
              <w:spacing w:after="0"/>
              <w:rPr>
                <w:sz w:val="20"/>
                <w:szCs w:val="20"/>
                <w:color w:val="auto"/>
              </w:rPr>
            </w:pPr>
            <w:r>
              <w:rPr>
                <w:rFonts w:ascii="Arial" w:cs="Arial" w:eastAsia="Arial" w:hAnsi="Arial"/>
                <w:sz w:val="16"/>
                <w:szCs w:val="16"/>
                <w:b w:val="1"/>
                <w:bCs w:val="1"/>
                <w:color w:val="auto"/>
                <w:w w:val="90"/>
              </w:rPr>
              <w:t>369 N. New York Avenue, Suite 201</w:t>
            </w:r>
          </w:p>
        </w:tc>
        <w:tc>
          <w:tcPr>
            <w:tcW w:w="1380" w:type="dxa"/>
            <w:vAlign w:val="bottom"/>
          </w:tcPr>
          <w:p>
            <w:pPr>
              <w:spacing w:after="0"/>
              <w:rPr>
                <w:sz w:val="24"/>
                <w:szCs w:val="24"/>
                <w:color w:val="auto"/>
              </w:rPr>
            </w:pPr>
          </w:p>
        </w:tc>
      </w:tr>
      <w:tr>
        <w:trPr>
          <w:trHeight w:val="203"/>
        </w:trPr>
        <w:tc>
          <w:tcPr>
            <w:tcW w:w="5840" w:type="dxa"/>
            <w:vAlign w:val="bottom"/>
          </w:tcPr>
          <w:p>
            <w:pPr>
              <w:jc w:val="center"/>
              <w:ind w:right="3059"/>
              <w:spacing w:after="0"/>
              <w:rPr>
                <w:sz w:val="20"/>
                <w:szCs w:val="20"/>
                <w:color w:val="auto"/>
              </w:rPr>
            </w:pPr>
            <w:r>
              <w:rPr>
                <w:rFonts w:ascii="Arial" w:cs="Arial" w:eastAsia="Arial" w:hAnsi="Arial"/>
                <w:sz w:val="16"/>
                <w:szCs w:val="16"/>
                <w:b w:val="1"/>
                <w:bCs w:val="1"/>
                <w:color w:val="auto"/>
                <w:w w:val="96"/>
              </w:rPr>
              <w:t>Winter Park, Florida</w:t>
            </w:r>
          </w:p>
        </w:tc>
        <w:tc>
          <w:tcPr>
            <w:tcW w:w="1380" w:type="dxa"/>
            <w:vAlign w:val="bottom"/>
          </w:tcPr>
          <w:p>
            <w:pPr>
              <w:jc w:val="right"/>
              <w:ind w:right="359"/>
              <w:spacing w:after="0"/>
              <w:rPr>
                <w:sz w:val="20"/>
                <w:szCs w:val="20"/>
                <w:color w:val="auto"/>
              </w:rPr>
            </w:pPr>
            <w:r>
              <w:rPr>
                <w:rFonts w:ascii="Arial" w:cs="Arial" w:eastAsia="Arial" w:hAnsi="Arial"/>
                <w:sz w:val="16"/>
                <w:szCs w:val="16"/>
                <w:b w:val="1"/>
                <w:bCs w:val="1"/>
                <w:color w:val="auto"/>
              </w:rPr>
              <w:t>32789</w:t>
            </w:r>
          </w:p>
        </w:tc>
      </w:tr>
      <w:tr>
        <w:trPr>
          <w:trHeight w:val="210"/>
        </w:trPr>
        <w:tc>
          <w:tcPr>
            <w:tcW w:w="5840" w:type="dxa"/>
            <w:vAlign w:val="bottom"/>
          </w:tcPr>
          <w:p>
            <w:pPr>
              <w:jc w:val="center"/>
              <w:ind w:right="3079"/>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1380" w:type="dxa"/>
            <w:vAlign w:val="bottom"/>
          </w:tcPr>
          <w:p>
            <w:pPr>
              <w:jc w:val="center"/>
              <w:ind w:left="19"/>
              <w:spacing w:after="0"/>
              <w:rPr>
                <w:sz w:val="20"/>
                <w:szCs w:val="20"/>
                <w:color w:val="auto"/>
              </w:rPr>
            </w:pPr>
            <w:r>
              <w:rPr>
                <w:rFonts w:ascii="Arial" w:cs="Arial" w:eastAsia="Arial" w:hAnsi="Arial"/>
                <w:sz w:val="16"/>
                <w:szCs w:val="16"/>
                <w:b w:val="1"/>
                <w:bCs w:val="1"/>
                <w:color w:val="auto"/>
                <w:w w:val="96"/>
              </w:rPr>
              <w:t>(Zip Code)</w:t>
            </w:r>
          </w:p>
        </w:tc>
      </w:tr>
      <w:tr>
        <w:trPr>
          <w:trHeight w:val="262"/>
        </w:trPr>
        <w:tc>
          <w:tcPr>
            <w:tcW w:w="5840" w:type="dxa"/>
            <w:vAlign w:val="bottom"/>
          </w:tcPr>
          <w:p>
            <w:pPr>
              <w:jc w:val="right"/>
              <w:ind w:right="1319"/>
              <w:spacing w:after="0"/>
              <w:rPr>
                <w:sz w:val="20"/>
                <w:szCs w:val="20"/>
                <w:color w:val="auto"/>
              </w:rPr>
            </w:pPr>
            <w:r>
              <w:rPr>
                <w:rFonts w:ascii="Arial" w:cs="Arial" w:eastAsia="Arial" w:hAnsi="Arial"/>
                <w:sz w:val="16"/>
                <w:szCs w:val="16"/>
                <w:b w:val="1"/>
                <w:bCs w:val="1"/>
                <w:color w:val="auto"/>
              </w:rPr>
              <w:t>(407) 904-3324</w:t>
            </w:r>
          </w:p>
        </w:tc>
        <w:tc>
          <w:tcPr>
            <w:tcW w:w="1380" w:type="dxa"/>
            <w:vAlign w:val="bottom"/>
          </w:tcPr>
          <w:p>
            <w:pPr>
              <w:spacing w:after="0"/>
              <w:rPr>
                <w:sz w:val="22"/>
                <w:szCs w:val="22"/>
                <w:color w:val="auto"/>
              </w:rPr>
            </w:pPr>
          </w:p>
        </w:tc>
      </w:tr>
      <w:tr>
        <w:trPr>
          <w:trHeight w:val="210"/>
        </w:trPr>
        <w:tc>
          <w:tcPr>
            <w:tcW w:w="5840" w:type="dxa"/>
            <w:vAlign w:val="bottom"/>
          </w:tcPr>
          <w:p>
            <w:pPr>
              <w:jc w:val="center"/>
              <w:ind w:left="1939"/>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1380" w:type="dxa"/>
            <w:vAlign w:val="bottom"/>
          </w:tcPr>
          <w:p>
            <w:pPr>
              <w:spacing w:after="0"/>
              <w:rPr>
                <w:sz w:val="18"/>
                <w:szCs w:val="18"/>
                <w:color w:val="auto"/>
              </w:rPr>
            </w:pPr>
          </w:p>
        </w:tc>
      </w:tr>
    </w:tbl>
    <w:p>
      <w:pPr>
        <w:spacing w:after="0" w:line="30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N/A</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80645</wp:posOffset>
            </wp:positionV>
            <wp:extent cx="16287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160" w:type="dxa"/>
            <w:vAlign w:val="bottom"/>
            <w:gridSpan w:val="3"/>
          </w:tcPr>
          <w:p>
            <w:pPr>
              <w:ind w:left="20"/>
              <w:spacing w:after="0"/>
              <w:rPr>
                <w:sz w:val="20"/>
                <w:szCs w:val="20"/>
                <w:color w:val="auto"/>
              </w:rPr>
            </w:pPr>
            <w:r>
              <w:rPr>
                <w:rFonts w:ascii="Arial" w:cs="Arial" w:eastAsia="Arial" w:hAnsi="Arial"/>
                <w:sz w:val="16"/>
                <w:szCs w:val="16"/>
                <w:color w:val="auto"/>
              </w:rPr>
              <w:t>Securities registered pursuant to Section 12(b) of the Act:</w:t>
            </w:r>
          </w:p>
        </w:tc>
        <w:tc>
          <w:tcPr>
            <w:tcW w:w="2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351"/>
        </w:trPr>
        <w:tc>
          <w:tcPr>
            <w:tcW w:w="4160" w:type="dxa"/>
            <w:vAlign w:val="bottom"/>
            <w:gridSpan w:val="3"/>
          </w:tcPr>
          <w:p>
            <w:pPr>
              <w:jc w:val="center"/>
              <w:ind w:right="760"/>
              <w:spacing w:after="0"/>
              <w:rPr>
                <w:sz w:val="20"/>
                <w:szCs w:val="20"/>
                <w:color w:val="auto"/>
              </w:rPr>
            </w:pPr>
            <w:r>
              <w:rPr>
                <w:rFonts w:ascii="Arial" w:cs="Arial" w:eastAsia="Arial" w:hAnsi="Arial"/>
                <w:sz w:val="16"/>
                <w:szCs w:val="16"/>
                <w:b w:val="1"/>
                <w:bCs w:val="1"/>
                <w:color w:val="auto"/>
                <w:w w:val="89"/>
              </w:rPr>
              <w:t>Title of each class:</w:t>
            </w:r>
          </w:p>
        </w:tc>
        <w:tc>
          <w:tcPr>
            <w:tcW w:w="2680" w:type="dxa"/>
            <w:vAlign w:val="bottom"/>
            <w:gridSpan w:val="2"/>
          </w:tcPr>
          <w:p>
            <w:pPr>
              <w:jc w:val="center"/>
              <w:ind w:right="760"/>
              <w:spacing w:after="0"/>
              <w:rPr>
                <w:sz w:val="20"/>
                <w:szCs w:val="20"/>
                <w:color w:val="auto"/>
              </w:rPr>
            </w:pPr>
            <w:r>
              <w:rPr>
                <w:rFonts w:ascii="Arial" w:cs="Arial" w:eastAsia="Arial" w:hAnsi="Arial"/>
                <w:sz w:val="16"/>
                <w:szCs w:val="16"/>
                <w:b w:val="1"/>
                <w:bCs w:val="1"/>
                <w:color w:val="auto"/>
                <w:w w:val="92"/>
              </w:rPr>
              <w:t>Trading Symbol</w:t>
            </w:r>
          </w:p>
        </w:tc>
        <w:tc>
          <w:tcPr>
            <w:tcW w:w="338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186"/>
        </w:trPr>
        <w:tc>
          <w:tcPr>
            <w:tcW w:w="34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COMMON STOCK, $0.01 PAR VALUE</w:t>
            </w:r>
          </w:p>
        </w:tc>
        <w:tc>
          <w:tcPr>
            <w:tcW w:w="18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480" w:type="dxa"/>
            <w:vAlign w:val="bottom"/>
            <w:tcBorders>
              <w:top w:val="single" w:sz="8" w:color="auto"/>
            </w:tcBorders>
          </w:tcPr>
          <w:p>
            <w:pPr>
              <w:jc w:val="center"/>
              <w:ind w:right="484"/>
              <w:spacing w:after="0"/>
              <w:rPr>
                <w:sz w:val="20"/>
                <w:szCs w:val="20"/>
                <w:color w:val="auto"/>
              </w:rPr>
            </w:pPr>
            <w:r>
              <w:rPr>
                <w:rFonts w:ascii="Arial" w:cs="Arial" w:eastAsia="Arial" w:hAnsi="Arial"/>
                <w:sz w:val="14"/>
                <w:szCs w:val="14"/>
                <w:b w:val="1"/>
                <w:bCs w:val="1"/>
                <w:color w:val="auto"/>
              </w:rPr>
              <w:t>PINE</w:t>
            </w:r>
          </w:p>
        </w:tc>
        <w:tc>
          <w:tcPr>
            <w:tcW w:w="200" w:type="dxa"/>
            <w:vAlign w:val="bottom"/>
          </w:tcPr>
          <w:p>
            <w:pPr>
              <w:spacing w:after="0"/>
              <w:rPr>
                <w:sz w:val="16"/>
                <w:szCs w:val="16"/>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NYSE</w:t>
            </w:r>
          </w:p>
        </w:tc>
      </w:tr>
    </w:tbl>
    <w:p>
      <w:pPr>
        <w:spacing w:after="0" w:line="222" w:lineRule="exact"/>
        <w:rPr>
          <w:sz w:val="24"/>
          <w:szCs w:val="24"/>
          <w:color w:val="auto"/>
        </w:rPr>
      </w:pPr>
    </w:p>
    <w:p>
      <w:pPr>
        <w:jc w:val="both"/>
        <w:ind w:left="20" w:firstLine="441"/>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4" w:lineRule="exact"/>
        <w:rPr>
          <w:sz w:val="24"/>
          <w:szCs w:val="24"/>
          <w:color w:val="auto"/>
        </w:rPr>
      </w:pPr>
    </w:p>
    <w:p>
      <w:pPr>
        <w:jc w:val="both"/>
        <w:ind w:left="20" w:firstLine="441"/>
        <w:spacing w:after="0" w:line="213"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4" w:lineRule="exact"/>
        <w:rPr>
          <w:sz w:val="24"/>
          <w:szCs w:val="24"/>
          <w:color w:val="auto"/>
        </w:rPr>
      </w:pPr>
    </w:p>
    <w:p>
      <w:pPr>
        <w:jc w:val="both"/>
        <w:ind w:left="20" w:firstLine="441"/>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19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7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60"/>
              <w:spacing w:after="0"/>
              <w:rPr>
                <w:sz w:val="20"/>
                <w:szCs w:val="20"/>
                <w:color w:val="auto"/>
              </w:rPr>
            </w:pPr>
            <w:r>
              <w:rPr>
                <w:rFonts w:ascii="Arial" w:cs="Arial" w:eastAsia="Arial" w:hAnsi="Arial"/>
                <w:sz w:val="16"/>
                <w:szCs w:val="16"/>
                <w:color w:val="auto"/>
              </w:rPr>
              <w:t>Accelerated Filer</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1960" w:type="dxa"/>
            <w:vAlign w:val="bottom"/>
          </w:tcPr>
          <w:p>
            <w:pPr>
              <w:spacing w:after="0"/>
              <w:rPr>
                <w:sz w:val="20"/>
                <w:szCs w:val="20"/>
                <w:color w:val="auto"/>
              </w:rPr>
            </w:pPr>
            <w:r>
              <w:rPr>
                <w:rFonts w:ascii="Arial" w:cs="Arial" w:eastAsia="Arial" w:hAnsi="Arial"/>
                <w:sz w:val="16"/>
                <w:szCs w:val="16"/>
                <w:color w:val="auto"/>
              </w:rPr>
              <w:t>Non-accelerated Filer</w:t>
            </w:r>
          </w:p>
        </w:tc>
        <w:tc>
          <w:tcPr>
            <w:tcW w:w="27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60"/>
              <w:spacing w:after="0"/>
              <w:rPr>
                <w:sz w:val="20"/>
                <w:szCs w:val="20"/>
                <w:color w:val="auto"/>
              </w:rPr>
            </w:pPr>
            <w:r>
              <w:rPr>
                <w:rFonts w:ascii="Arial" w:cs="Arial" w:eastAsia="Arial" w:hAnsi="Arial"/>
                <w:sz w:val="16"/>
                <w:szCs w:val="16"/>
                <w:color w:val="auto"/>
              </w:rPr>
              <w:t>Smaller Reporting Company</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1"/>
        </w:trPr>
        <w:tc>
          <w:tcPr>
            <w:tcW w:w="19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580" w:type="dxa"/>
            <w:vAlign w:val="bottom"/>
          </w:tcPr>
          <w:p>
            <w:pPr>
              <w:ind w:left="2160"/>
              <w:spacing w:after="0"/>
              <w:rPr>
                <w:sz w:val="20"/>
                <w:szCs w:val="20"/>
                <w:color w:val="auto"/>
              </w:rPr>
            </w:pPr>
            <w:r>
              <w:rPr>
                <w:rFonts w:ascii="Arial" w:cs="Arial" w:eastAsia="Arial" w:hAnsi="Arial"/>
                <w:sz w:val="16"/>
                <w:szCs w:val="16"/>
                <w:color w:val="auto"/>
              </w:rPr>
              <w:t>Emerging Growth Company</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r>
    </w:tbl>
    <w:p>
      <w:pPr>
        <w:ind w:left="20" w:right="20" w:firstLine="441"/>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460" w:right="1260"/>
        <w:spacing w:after="0" w:line="24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the registrant’s common stock outstanding on October 12, 2023 was 13,699,961.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450215</wp:posOffset>
            </wp:positionV>
            <wp:extent cx="649795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38735</wp:posOffset>
            </wp:positionV>
            <wp:extent cx="64979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73025</wp:posOffset>
            </wp:positionV>
            <wp:extent cx="649795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20" w:top="665" w:right="839"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0" w:type="dxa"/>
            <w:vAlign w:val="bottom"/>
            <w:gridSpan w:val="10"/>
          </w:tcPr>
          <w:p>
            <w:pPr>
              <w:ind w:left="1120"/>
              <w:spacing w:after="0"/>
              <w:rPr>
                <w:sz w:val="20"/>
                <w:szCs w:val="20"/>
                <w:color w:val="auto"/>
              </w:rPr>
            </w:pPr>
            <w:r>
              <w:rPr>
                <w:rFonts w:ascii="Arial" w:cs="Arial" w:eastAsia="Arial" w:hAnsi="Arial"/>
                <w:sz w:val="18"/>
                <w:szCs w:val="18"/>
                <w:color w:val="auto"/>
              </w:rPr>
              <w:t>INDEX</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4"/>
        </w:trPr>
        <w:tc>
          <w:tcPr>
            <w:tcW w:w="8040" w:type="dxa"/>
            <w:vAlign w:val="bottom"/>
            <w:gridSpan w:val="26"/>
            <w:vMerge w:val="restart"/>
          </w:tcPr>
          <w:p>
            <w:pPr>
              <w:spacing w:after="0"/>
              <w:rPr>
                <w:sz w:val="20"/>
                <w:szCs w:val="20"/>
                <w:color w:val="auto"/>
              </w:rPr>
            </w:pPr>
            <w:r>
              <w:rPr>
                <w:rFonts w:ascii="Arial" w:cs="Arial" w:eastAsia="Arial" w:hAnsi="Arial"/>
                <w:sz w:val="18"/>
                <w:szCs w:val="18"/>
                <w:color w:val="0000EE"/>
              </w:rPr>
              <w:t>PART I—FINANCIAL INFORMATION</w:t>
            </w: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No.</w:t>
            </w:r>
          </w:p>
        </w:tc>
        <w:tc>
          <w:tcPr>
            <w:tcW w:w="0" w:type="dxa"/>
            <w:vAlign w:val="bottom"/>
          </w:tcPr>
          <w:p>
            <w:pPr>
              <w:spacing w:after="0"/>
              <w:rPr>
                <w:sz w:val="1"/>
                <w:szCs w:val="1"/>
                <w:color w:val="auto"/>
              </w:rPr>
            </w:pPr>
          </w:p>
        </w:tc>
      </w:tr>
      <w:tr>
        <w:trPr>
          <w:trHeight w:val="156"/>
        </w:trPr>
        <w:tc>
          <w:tcPr>
            <w:tcW w:w="8040" w:type="dxa"/>
            <w:vAlign w:val="bottom"/>
            <w:gridSpan w:val="26"/>
            <w:vMerge w:val="continue"/>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5"/>
        </w:trPr>
        <w:tc>
          <w:tcPr>
            <w:tcW w:w="68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0000EE"/>
              </w:rPr>
              <w:t>Item 1.</w:t>
            </w:r>
          </w:p>
        </w:tc>
        <w:tc>
          <w:tcPr>
            <w:tcW w:w="2280" w:type="dxa"/>
            <w:vAlign w:val="bottom"/>
            <w:tcBorders>
              <w:top w:val="single" w:sz="8" w:color="0000EE"/>
            </w:tcBorders>
            <w:gridSpan w:val="13"/>
          </w:tcPr>
          <w:p>
            <w:pPr>
              <w:ind w:left="40"/>
              <w:spacing w:after="0"/>
              <w:rPr>
                <w:sz w:val="20"/>
                <w:szCs w:val="20"/>
                <w:color w:val="auto"/>
              </w:rPr>
            </w:pPr>
            <w:r>
              <w:rPr>
                <w:rFonts w:ascii="Arial" w:cs="Arial" w:eastAsia="Arial" w:hAnsi="Arial"/>
                <w:sz w:val="18"/>
                <w:szCs w:val="18"/>
                <w:color w:val="0000EE"/>
              </w:rPr>
              <w:t>Financial Statements</w:t>
            </w:r>
          </w:p>
        </w:tc>
        <w:tc>
          <w:tcPr>
            <w:tcW w:w="5080" w:type="dxa"/>
            <w:vAlign w:val="bottom"/>
            <w:gridSpan w:val="11"/>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7720" w:type="dxa"/>
            <w:vAlign w:val="bottom"/>
            <w:gridSpan w:val="25"/>
          </w:tcPr>
          <w:p>
            <w:pPr>
              <w:spacing w:after="0"/>
              <w:rPr>
                <w:sz w:val="20"/>
                <w:szCs w:val="20"/>
                <w:color w:val="auto"/>
              </w:rPr>
            </w:pPr>
            <w:r>
              <w:rPr>
                <w:rFonts w:ascii="Arial" w:cs="Arial" w:eastAsia="Arial" w:hAnsi="Arial"/>
                <w:sz w:val="18"/>
                <w:szCs w:val="18"/>
                <w:color w:val="0000EE"/>
              </w:rPr>
              <w:t>Consolidated Balance Sheets – September 30, 2023 (Unaudited) and December 31, 2022</w:t>
            </w: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7320" w:type="dxa"/>
            <w:vAlign w:val="bottom"/>
            <w:tcBorders>
              <w:bottom w:val="single" w:sz="8" w:color="0000EE"/>
            </w:tcBorders>
            <w:gridSpan w:val="23"/>
          </w:tcPr>
          <w:p>
            <w:pPr>
              <w:spacing w:after="0"/>
              <w:rPr>
                <w:sz w:val="20"/>
                <w:szCs w:val="20"/>
                <w:color w:val="auto"/>
              </w:rPr>
            </w:pPr>
            <w:r>
              <w:rPr>
                <w:rFonts w:ascii="Arial" w:cs="Arial" w:eastAsia="Arial" w:hAnsi="Arial"/>
                <w:sz w:val="18"/>
                <w:szCs w:val="18"/>
                <w:color w:val="0000EE"/>
                <w:w w:val="88"/>
              </w:rPr>
              <w:t>Consolidated Statements of Operations – Three and nine months ended September 30, 2023 and 2022</w:t>
            </w:r>
          </w:p>
        </w:tc>
        <w:tc>
          <w:tcPr>
            <w:tcW w:w="400" w:type="dxa"/>
            <w:vAlign w:val="bottom"/>
            <w:gridSpan w:val="2"/>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7720" w:type="dxa"/>
            <w:vAlign w:val="bottom"/>
            <w:gridSpan w:val="25"/>
          </w:tcPr>
          <w:p>
            <w:pPr>
              <w:spacing w:after="0" w:line="196" w:lineRule="exact"/>
              <w:rPr>
                <w:sz w:val="20"/>
                <w:szCs w:val="20"/>
                <w:color w:val="auto"/>
              </w:rPr>
            </w:pPr>
            <w:r>
              <w:rPr>
                <w:rFonts w:ascii="Arial" w:cs="Arial" w:eastAsia="Arial" w:hAnsi="Arial"/>
                <w:sz w:val="18"/>
                <w:szCs w:val="18"/>
                <w:color w:val="0000EE"/>
              </w:rPr>
              <w:t>(Unaudited)</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7720" w:type="dxa"/>
            <w:vAlign w:val="bottom"/>
            <w:gridSpan w:val="25"/>
          </w:tcPr>
          <w:p>
            <w:pPr>
              <w:spacing w:after="0"/>
              <w:rPr>
                <w:sz w:val="20"/>
                <w:szCs w:val="20"/>
                <w:color w:val="auto"/>
              </w:rPr>
            </w:pPr>
            <w:r>
              <w:rPr>
                <w:rFonts w:ascii="Arial" w:cs="Arial" w:eastAsia="Arial" w:hAnsi="Arial"/>
                <w:sz w:val="18"/>
                <w:szCs w:val="18"/>
                <w:color w:val="0000EE"/>
                <w:w w:val="96"/>
              </w:rPr>
              <w:t>Consolidated Statements of Comprehensive Income – Three and nine months ended September 30,</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980" w:type="dxa"/>
            <w:vAlign w:val="bottom"/>
            <w:tcBorders>
              <w:top w:val="single" w:sz="8" w:color="0000EE"/>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89"/>
              </w:rPr>
              <w:t>2023 and 2022 (Unaudited)</w:t>
            </w:r>
          </w:p>
        </w:tc>
        <w:tc>
          <w:tcPr>
            <w:tcW w:w="5140" w:type="dxa"/>
            <w:vAlign w:val="bottom"/>
            <w:tcBorders>
              <w:top w:val="single" w:sz="8" w:color="0000EE"/>
            </w:tcBorders>
            <w:gridSpan w:val="12"/>
          </w:tcPr>
          <w:p>
            <w:pPr>
              <w:spacing w:after="0"/>
              <w:rPr>
                <w:sz w:val="17"/>
                <w:szCs w:val="17"/>
                <w:color w:val="auto"/>
              </w:rPr>
            </w:pPr>
          </w:p>
        </w:tc>
        <w:tc>
          <w:tcPr>
            <w:tcW w:w="600" w:type="dxa"/>
            <w:vAlign w:val="bottom"/>
            <w:gridSpan w:val="3"/>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7720" w:type="dxa"/>
            <w:vAlign w:val="bottom"/>
            <w:gridSpan w:val="25"/>
          </w:tcPr>
          <w:p>
            <w:pPr>
              <w:spacing w:after="0"/>
              <w:rPr>
                <w:sz w:val="20"/>
                <w:szCs w:val="20"/>
                <w:color w:val="auto"/>
              </w:rPr>
            </w:pPr>
            <w:r>
              <w:rPr>
                <w:rFonts w:ascii="Arial" w:cs="Arial" w:eastAsia="Arial" w:hAnsi="Arial"/>
                <w:sz w:val="18"/>
                <w:szCs w:val="18"/>
                <w:color w:val="0000EE"/>
                <w:w w:val="94"/>
              </w:rPr>
              <w:t>Consolidated Statements of Stockholders’ Equity – Three and nine months ended September 30, 2023</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89"/>
              </w:rPr>
              <w:t>and 2022 (Unaudited)</w:t>
            </w:r>
          </w:p>
        </w:tc>
        <w:tc>
          <w:tcPr>
            <w:tcW w:w="5760" w:type="dxa"/>
            <w:vAlign w:val="bottom"/>
            <w:tcBorders>
              <w:top w:val="single" w:sz="8" w:color="0000EE"/>
            </w:tcBorders>
            <w:gridSpan w:val="18"/>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7720" w:type="dxa"/>
            <w:vAlign w:val="bottom"/>
            <w:gridSpan w:val="25"/>
          </w:tcPr>
          <w:p>
            <w:pPr>
              <w:spacing w:after="0"/>
              <w:rPr>
                <w:sz w:val="20"/>
                <w:szCs w:val="20"/>
                <w:color w:val="auto"/>
              </w:rPr>
            </w:pPr>
            <w:r>
              <w:rPr>
                <w:rFonts w:ascii="Arial" w:cs="Arial" w:eastAsia="Arial" w:hAnsi="Arial"/>
                <w:sz w:val="18"/>
                <w:szCs w:val="18"/>
                <w:color w:val="0000EE"/>
              </w:rPr>
              <w:t>Consolidated Statements of Cash Flows – Nine months ended September 30, 2023 and 2022</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6640" w:type="dxa"/>
            <w:vAlign w:val="bottom"/>
            <w:tcBorders>
              <w:top w:val="single" w:sz="8" w:color="0000EE"/>
            </w:tcBorders>
            <w:gridSpan w:val="20"/>
          </w:tcPr>
          <w:p>
            <w:pPr>
              <w:spacing w:after="0" w:line="196" w:lineRule="exact"/>
              <w:rPr>
                <w:sz w:val="20"/>
                <w:szCs w:val="20"/>
                <w:color w:val="auto"/>
              </w:rPr>
            </w:pPr>
            <w:r>
              <w:rPr>
                <w:rFonts w:ascii="Arial" w:cs="Arial" w:eastAsia="Arial" w:hAnsi="Arial"/>
                <w:sz w:val="18"/>
                <w:szCs w:val="18"/>
                <w:color w:val="0000EE"/>
              </w:rPr>
              <w:t>(Unaudited)</w:t>
            </w:r>
          </w:p>
        </w:tc>
        <w:tc>
          <w:tcPr>
            <w:tcW w:w="1080" w:type="dxa"/>
            <w:vAlign w:val="bottom"/>
            <w:gridSpan w:val="5"/>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406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89"/>
              </w:rPr>
              <w:t>Notes to Consolidated Financial Statements (Unaudited)</w:t>
            </w:r>
          </w:p>
        </w:tc>
        <w:tc>
          <w:tcPr>
            <w:tcW w:w="3660" w:type="dxa"/>
            <w:vAlign w:val="bottom"/>
            <w:gridSpan w:val="9"/>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12"/>
        </w:trPr>
        <w:tc>
          <w:tcPr>
            <w:tcW w:w="8040" w:type="dxa"/>
            <w:vAlign w:val="bottom"/>
            <w:gridSpan w:val="26"/>
          </w:tcPr>
          <w:p>
            <w:pPr>
              <w:spacing w:after="0"/>
              <w:rPr>
                <w:sz w:val="20"/>
                <w:szCs w:val="20"/>
                <w:color w:val="auto"/>
              </w:rPr>
            </w:pPr>
            <w:r>
              <w:rPr>
                <w:rFonts w:ascii="Arial" w:cs="Arial" w:eastAsia="Arial" w:hAnsi="Arial"/>
                <w:sz w:val="18"/>
                <w:szCs w:val="18"/>
                <w:color w:val="0000EE"/>
              </w:rPr>
              <w:t>Item 2.   Management’s Discussion and Analysis of Financial Condition and Results of Operations</w:t>
            </w: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5100" w:type="dxa"/>
            <w:vAlign w:val="bottom"/>
            <w:tcBorders>
              <w:top w:val="single" w:sz="8" w:color="0000EE"/>
              <w:bottom w:val="single" w:sz="8" w:color="0000EE"/>
            </w:tcBorders>
            <w:gridSpan w:val="19"/>
          </w:tcPr>
          <w:p>
            <w:pPr>
              <w:spacing w:after="0"/>
              <w:rPr>
                <w:sz w:val="20"/>
                <w:szCs w:val="20"/>
                <w:color w:val="auto"/>
              </w:rPr>
            </w:pPr>
            <w:r>
              <w:rPr>
                <w:rFonts w:ascii="Arial" w:cs="Arial" w:eastAsia="Arial" w:hAnsi="Arial"/>
                <w:sz w:val="18"/>
                <w:szCs w:val="18"/>
                <w:color w:val="0000EE"/>
                <w:w w:val="93"/>
              </w:rPr>
              <w:t>Item 3.   Quantitative and Qualitative Disclosures About Market Risk</w:t>
            </w:r>
          </w:p>
        </w:tc>
        <w:tc>
          <w:tcPr>
            <w:tcW w:w="2080" w:type="dxa"/>
            <w:vAlign w:val="bottom"/>
            <w:tcBorders>
              <w:top w:val="single" w:sz="8" w:color="0000EE"/>
            </w:tcBorders>
            <w:gridSpan w:val="3"/>
          </w:tcPr>
          <w:p>
            <w:pPr>
              <w:spacing w:after="0"/>
              <w:rPr>
                <w:sz w:val="24"/>
                <w:szCs w:val="24"/>
                <w:color w:val="auto"/>
              </w:rPr>
            </w:pPr>
          </w:p>
        </w:tc>
        <w:tc>
          <w:tcPr>
            <w:tcW w:w="860" w:type="dxa"/>
            <w:vAlign w:val="bottom"/>
            <w:gridSpan w:val="4"/>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12"/>
        </w:trPr>
        <w:tc>
          <w:tcPr>
            <w:tcW w:w="252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2"/>
              </w:rPr>
              <w:t>Item 4.   Controls and Procedures</w:t>
            </w:r>
          </w:p>
        </w:tc>
        <w:tc>
          <w:tcPr>
            <w:tcW w:w="5520" w:type="dxa"/>
            <w:vAlign w:val="bottom"/>
            <w:gridSpan w:val="13"/>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12"/>
        </w:trPr>
        <w:tc>
          <w:tcPr>
            <w:tcW w:w="266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5"/>
              </w:rPr>
              <w:t>PART II—OTHER INFORMATION</w:t>
            </w:r>
          </w:p>
        </w:tc>
        <w:tc>
          <w:tcPr>
            <w:tcW w:w="5380" w:type="dxa"/>
            <w:vAlign w:val="bottom"/>
            <w:gridSpan w:val="12"/>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12"/>
        </w:trPr>
        <w:tc>
          <w:tcPr>
            <w:tcW w:w="6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rPr>
              <w:t>Item 1.</w:t>
            </w:r>
          </w:p>
        </w:tc>
        <w:tc>
          <w:tcPr>
            <w:tcW w:w="1380" w:type="dxa"/>
            <w:vAlign w:val="bottom"/>
            <w:tcBorders>
              <w:bottom w:val="single" w:sz="8" w:color="0000EE"/>
            </w:tcBorders>
            <w:gridSpan w:val="7"/>
          </w:tcPr>
          <w:p>
            <w:pPr>
              <w:ind w:left="40"/>
              <w:spacing w:after="0"/>
              <w:rPr>
                <w:sz w:val="20"/>
                <w:szCs w:val="20"/>
                <w:color w:val="auto"/>
              </w:rPr>
            </w:pPr>
            <w:r>
              <w:rPr>
                <w:rFonts w:ascii="Arial" w:cs="Arial" w:eastAsia="Arial" w:hAnsi="Arial"/>
                <w:sz w:val="18"/>
                <w:szCs w:val="18"/>
                <w:color w:val="0000EE"/>
                <w:w w:val="88"/>
              </w:rPr>
              <w:t>Legal Proceedings</w:t>
            </w:r>
          </w:p>
        </w:tc>
        <w:tc>
          <w:tcPr>
            <w:tcW w:w="5980" w:type="dxa"/>
            <w:vAlign w:val="bottom"/>
            <w:gridSpan w:val="17"/>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12"/>
        </w:trPr>
        <w:tc>
          <w:tcPr>
            <w:tcW w:w="680" w:type="dxa"/>
            <w:vAlign w:val="bottom"/>
            <w:gridSpan w:val="2"/>
          </w:tcPr>
          <w:p>
            <w:pPr>
              <w:spacing w:after="0"/>
              <w:rPr>
                <w:sz w:val="20"/>
                <w:szCs w:val="20"/>
                <w:color w:val="auto"/>
              </w:rPr>
            </w:pPr>
            <w:r>
              <w:rPr>
                <w:rFonts w:ascii="Arial" w:cs="Arial" w:eastAsia="Arial" w:hAnsi="Arial"/>
                <w:sz w:val="18"/>
                <w:szCs w:val="18"/>
                <w:color w:val="0000EE"/>
                <w:w w:val="98"/>
              </w:rPr>
              <w:t>Item 1A.</w:t>
            </w:r>
          </w:p>
        </w:tc>
        <w:tc>
          <w:tcPr>
            <w:tcW w:w="7360" w:type="dxa"/>
            <w:vAlign w:val="bottom"/>
            <w:gridSpan w:val="24"/>
          </w:tcPr>
          <w:p>
            <w:pPr>
              <w:ind w:left="40"/>
              <w:spacing w:after="0"/>
              <w:rPr>
                <w:sz w:val="20"/>
                <w:szCs w:val="20"/>
                <w:color w:val="auto"/>
              </w:rPr>
            </w:pPr>
            <w:r>
              <w:rPr>
                <w:rFonts w:ascii="Arial" w:cs="Arial" w:eastAsia="Arial" w:hAnsi="Arial"/>
                <w:sz w:val="18"/>
                <w:szCs w:val="18"/>
                <w:color w:val="0000EE"/>
              </w:rPr>
              <w:t>Risk Factors</w:t>
            </w:r>
          </w:p>
        </w:tc>
        <w:tc>
          <w:tcPr>
            <w:tcW w:w="8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110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960" w:type="dxa"/>
            <w:vAlign w:val="bottom"/>
            <w:gridSpan w:val="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8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1"/>
              </w:rPr>
              <w:t>Item 2.   Unregistered Sales of Equity Securities and Use of Proceeds</w:t>
            </w:r>
          </w:p>
        </w:tc>
        <w:tc>
          <w:tcPr>
            <w:tcW w:w="2960" w:type="dxa"/>
            <w:vAlign w:val="bottom"/>
            <w:gridSpan w:val="8"/>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412"/>
        </w:trPr>
        <w:tc>
          <w:tcPr>
            <w:tcW w:w="8040" w:type="dxa"/>
            <w:vAlign w:val="bottom"/>
            <w:gridSpan w:val="26"/>
          </w:tcPr>
          <w:p>
            <w:pPr>
              <w:spacing w:after="0"/>
              <w:rPr>
                <w:sz w:val="20"/>
                <w:szCs w:val="20"/>
                <w:color w:val="auto"/>
              </w:rPr>
            </w:pPr>
            <w:r>
              <w:rPr>
                <w:rFonts w:ascii="Arial" w:cs="Arial" w:eastAsia="Arial" w:hAnsi="Arial"/>
                <w:sz w:val="18"/>
                <w:szCs w:val="18"/>
                <w:color w:val="0000EE"/>
              </w:rPr>
              <w:t>Item 3.   Defaults Upon Senior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412"/>
        </w:trPr>
        <w:tc>
          <w:tcPr>
            <w:tcW w:w="2500" w:type="dxa"/>
            <w:vAlign w:val="bottom"/>
            <w:tcBorders>
              <w:top w:val="single" w:sz="8" w:color="0000EE"/>
              <w:bottom w:val="single" w:sz="8" w:color="0000EE"/>
            </w:tcBorders>
            <w:gridSpan w:val="12"/>
          </w:tcPr>
          <w:p>
            <w:pPr>
              <w:spacing w:after="0"/>
              <w:rPr>
                <w:sz w:val="20"/>
                <w:szCs w:val="20"/>
                <w:color w:val="auto"/>
              </w:rPr>
            </w:pPr>
            <w:r>
              <w:rPr>
                <w:rFonts w:ascii="Arial" w:cs="Arial" w:eastAsia="Arial" w:hAnsi="Arial"/>
                <w:sz w:val="18"/>
                <w:szCs w:val="18"/>
                <w:color w:val="0000EE"/>
                <w:w w:val="94"/>
              </w:rPr>
              <w:t>Item 4.   Mine Safety Disclosures</w:t>
            </w:r>
          </w:p>
        </w:tc>
        <w:tc>
          <w:tcPr>
            <w:tcW w:w="540" w:type="dxa"/>
            <w:vAlign w:val="bottom"/>
            <w:tcBorders>
              <w:top w:val="single" w:sz="8" w:color="0000EE"/>
            </w:tcBorders>
            <w:gridSpan w:val="4"/>
          </w:tcPr>
          <w:p>
            <w:pPr>
              <w:spacing w:after="0"/>
              <w:rPr>
                <w:sz w:val="24"/>
                <w:szCs w:val="24"/>
                <w:color w:val="auto"/>
              </w:rPr>
            </w:pPr>
          </w:p>
        </w:tc>
        <w:tc>
          <w:tcPr>
            <w:tcW w:w="5000" w:type="dxa"/>
            <w:vAlign w:val="bottom"/>
            <w:gridSpan w:val="10"/>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412"/>
        </w:trPr>
        <w:tc>
          <w:tcPr>
            <w:tcW w:w="6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rPr>
              <w:t>Item 5.</w:t>
            </w:r>
          </w:p>
        </w:tc>
        <w:tc>
          <w:tcPr>
            <w:tcW w:w="1360" w:type="dxa"/>
            <w:vAlign w:val="bottom"/>
            <w:tcBorders>
              <w:bottom w:val="single" w:sz="8" w:color="0000EE"/>
            </w:tcBorders>
            <w:gridSpan w:val="6"/>
          </w:tcPr>
          <w:p>
            <w:pPr>
              <w:ind w:left="40"/>
              <w:spacing w:after="0"/>
              <w:rPr>
                <w:sz w:val="20"/>
                <w:szCs w:val="20"/>
                <w:color w:val="auto"/>
              </w:rPr>
            </w:pPr>
            <w:r>
              <w:rPr>
                <w:rFonts w:ascii="Arial" w:cs="Arial" w:eastAsia="Arial" w:hAnsi="Arial"/>
                <w:sz w:val="18"/>
                <w:szCs w:val="18"/>
                <w:color w:val="0000EE"/>
                <w:w w:val="92"/>
              </w:rPr>
              <w:t>Other Information</w:t>
            </w:r>
          </w:p>
        </w:tc>
        <w:tc>
          <w:tcPr>
            <w:tcW w:w="6000" w:type="dxa"/>
            <w:vAlign w:val="bottom"/>
            <w:gridSpan w:val="18"/>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412"/>
        </w:trPr>
        <w:tc>
          <w:tcPr>
            <w:tcW w:w="680" w:type="dxa"/>
            <w:vAlign w:val="bottom"/>
            <w:gridSpan w:val="2"/>
          </w:tcPr>
          <w:p>
            <w:pPr>
              <w:spacing w:after="0"/>
              <w:rPr>
                <w:sz w:val="20"/>
                <w:szCs w:val="20"/>
                <w:color w:val="auto"/>
              </w:rPr>
            </w:pPr>
            <w:r>
              <w:rPr>
                <w:rFonts w:ascii="Arial" w:cs="Arial" w:eastAsia="Arial" w:hAnsi="Arial"/>
                <w:sz w:val="18"/>
                <w:szCs w:val="18"/>
                <w:color w:val="0000EE"/>
              </w:rPr>
              <w:t>Item 6.</w:t>
            </w:r>
          </w:p>
        </w:tc>
        <w:tc>
          <w:tcPr>
            <w:tcW w:w="7360" w:type="dxa"/>
            <w:vAlign w:val="bottom"/>
            <w:gridSpan w:val="24"/>
          </w:tcPr>
          <w:p>
            <w:pPr>
              <w:ind w:left="40"/>
              <w:spacing w:after="0"/>
              <w:rPr>
                <w:sz w:val="20"/>
                <w:szCs w:val="20"/>
                <w:color w:val="auto"/>
              </w:rPr>
            </w:pPr>
            <w:r>
              <w:rPr>
                <w:rFonts w:ascii="Arial" w:cs="Arial" w:eastAsia="Arial" w:hAnsi="Arial"/>
                <w:sz w:val="18"/>
                <w:szCs w:val="18"/>
                <w:color w:val="0000EE"/>
              </w:rPr>
              <w:t>Exhibits</w:t>
            </w:r>
          </w:p>
        </w:tc>
        <w:tc>
          <w:tcPr>
            <w:tcW w:w="84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412"/>
        </w:trPr>
        <w:tc>
          <w:tcPr>
            <w:tcW w:w="110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92"/>
              </w:rPr>
              <w:t>SIGNATURES</w:t>
            </w:r>
          </w:p>
        </w:tc>
        <w:tc>
          <w:tcPr>
            <w:tcW w:w="220" w:type="dxa"/>
            <w:vAlign w:val="bottom"/>
            <w:tcBorders>
              <w:top w:val="single" w:sz="8" w:color="0000EE"/>
            </w:tcBorders>
            <w:gridSpan w:val="2"/>
          </w:tcPr>
          <w:p>
            <w:pPr>
              <w:spacing w:after="0"/>
              <w:rPr>
                <w:sz w:val="24"/>
                <w:szCs w:val="24"/>
                <w:color w:val="auto"/>
              </w:rPr>
            </w:pPr>
          </w:p>
        </w:tc>
        <w:tc>
          <w:tcPr>
            <w:tcW w:w="6720" w:type="dxa"/>
            <w:vAlign w:val="bottom"/>
            <w:gridSpan w:val="21"/>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ALPINE INCOME PROPERTY TRUST,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3"/>
              </w:rPr>
              <w:t>(Unaudited)</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18"/>
                <w:szCs w:val="18"/>
                <w:color w:val="auto"/>
              </w:rPr>
            </w:pPr>
          </w:p>
        </w:tc>
        <w:tc>
          <w:tcPr>
            <w:tcW w:w="14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234"/>
        </w:trPr>
        <w:tc>
          <w:tcPr>
            <w:tcW w:w="6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2023</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ind w:left="278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Land, at Cost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150,425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176,857</w:t>
            </w:r>
          </w:p>
        </w:tc>
        <w:tc>
          <w:tcPr>
            <w:tcW w:w="0" w:type="dxa"/>
            <w:vAlign w:val="bottom"/>
          </w:tcPr>
          <w:p>
            <w:pPr>
              <w:spacing w:after="0"/>
              <w:rPr>
                <w:sz w:val="1"/>
                <w:szCs w:val="1"/>
                <w:color w:val="auto"/>
              </w:rPr>
            </w:pPr>
          </w:p>
        </w:tc>
      </w:tr>
      <w:tr>
        <w:trPr>
          <w:trHeight w:val="216"/>
        </w:trPr>
        <w:tc>
          <w:tcPr>
            <w:tcW w:w="62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Building and Improvements, at Cost</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332,654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322,510</w:t>
            </w: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Real Estate, at Cost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483,079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499,367</w:t>
            </w:r>
          </w:p>
        </w:tc>
        <w:tc>
          <w:tcPr>
            <w:tcW w:w="0" w:type="dxa"/>
            <w:vAlign w:val="bottom"/>
          </w:tcPr>
          <w:p>
            <w:pPr>
              <w:spacing w:after="0"/>
              <w:rPr>
                <w:sz w:val="1"/>
                <w:szCs w:val="1"/>
                <w:color w:val="auto"/>
              </w:rPr>
            </w:pPr>
          </w:p>
        </w:tc>
      </w:tr>
      <w:tr>
        <w:trPr>
          <w:trHeight w:val="216"/>
        </w:trPr>
        <w:tc>
          <w:tcPr>
            <w:tcW w:w="6200" w:type="dxa"/>
            <w:vAlign w:val="bottom"/>
          </w:tcPr>
          <w:p>
            <w:pPr>
              <w:ind w:left="120"/>
              <w:spacing w:after="0"/>
              <w:rPr>
                <w:sz w:val="20"/>
                <w:szCs w:val="20"/>
                <w:color w:val="auto"/>
              </w:rPr>
            </w:pPr>
            <w:r>
              <w:rPr>
                <w:rFonts w:ascii="Arial" w:cs="Arial" w:eastAsia="Arial" w:hAnsi="Arial"/>
                <w:sz w:val="18"/>
                <w:szCs w:val="18"/>
                <w:color w:val="auto"/>
              </w:rPr>
              <w:t>Less, Accumulated Depreciation</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(31,517)</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(22,313)</w:t>
            </w:r>
          </w:p>
        </w:tc>
        <w:tc>
          <w:tcPr>
            <w:tcW w:w="0" w:type="dxa"/>
            <w:vAlign w:val="bottom"/>
          </w:tcPr>
          <w:p>
            <w:pPr>
              <w:spacing w:after="0"/>
              <w:rPr>
                <w:sz w:val="1"/>
                <w:szCs w:val="1"/>
                <w:color w:val="auto"/>
              </w:rPr>
            </w:pPr>
          </w:p>
        </w:tc>
      </w:tr>
      <w:tr>
        <w:trPr>
          <w:trHeight w:val="209"/>
        </w:trPr>
        <w:tc>
          <w:tcPr>
            <w:tcW w:w="62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Real Estate—Net</w:t>
            </w: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451,562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477,054</w:t>
            </w: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Assets Held for Sale</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Loans and Investments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6,265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9,018</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4,026</w:t>
            </w: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Intangible Lease Assets—Net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51,624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60,432</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Straight-Line Rent Adjustment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0" w:type="dxa"/>
            <w:vAlign w:val="bottom"/>
          </w:tcPr>
          <w:p>
            <w:pPr>
              <w:spacing w:after="0"/>
              <w:rPr>
                <w:sz w:val="1"/>
                <w:szCs w:val="1"/>
                <w:color w:val="auto"/>
              </w:rPr>
            </w:pPr>
          </w:p>
        </w:tc>
      </w:tr>
      <w:tr>
        <w:trPr>
          <w:trHeight w:val="216"/>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24,293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21,233</w:t>
            </w:r>
          </w:p>
        </w:tc>
        <w:tc>
          <w:tcPr>
            <w:tcW w:w="0" w:type="dxa"/>
            <w:vAlign w:val="bottom"/>
          </w:tcPr>
          <w:p>
            <w:pPr>
              <w:spacing w:after="0"/>
              <w:rPr>
                <w:sz w:val="1"/>
                <w:szCs w:val="1"/>
                <w:color w:val="auto"/>
              </w:rPr>
            </w:pPr>
          </w:p>
        </w:tc>
      </w:tr>
      <w:tr>
        <w:trPr>
          <w:trHeight w:val="209"/>
        </w:trPr>
        <w:tc>
          <w:tcPr>
            <w:tcW w:w="6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557,677</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573,431</w:t>
            </w:r>
          </w:p>
        </w:tc>
        <w:tc>
          <w:tcPr>
            <w:tcW w:w="0" w:type="dxa"/>
            <w:vAlign w:val="bottom"/>
          </w:tcPr>
          <w:p>
            <w:pPr>
              <w:spacing w:after="0"/>
              <w:rPr>
                <w:sz w:val="1"/>
                <w:szCs w:val="1"/>
                <w:color w:val="auto"/>
              </w:rPr>
            </w:pPr>
          </w:p>
        </w:tc>
      </w:tr>
      <w:tr>
        <w:trPr>
          <w:trHeight w:val="20"/>
        </w:trPr>
        <w:tc>
          <w:tcPr>
            <w:tcW w:w="6200" w:type="dxa"/>
            <w:vAlign w:val="bottom"/>
            <w:vMerge w:val="restart"/>
          </w:tcPr>
          <w:p>
            <w:pPr>
              <w:ind w:left="1960"/>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2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20"/>
              <w:spacing w:after="0"/>
              <w:rPr>
                <w:sz w:val="20"/>
                <w:szCs w:val="20"/>
                <w:color w:val="auto"/>
              </w:rPr>
            </w:pPr>
            <w:r>
              <w:rPr>
                <w:rFonts w:ascii="Arial" w:cs="Arial" w:eastAsia="Arial" w:hAnsi="Arial"/>
                <w:sz w:val="18"/>
                <w:szCs w:val="18"/>
                <w:color w:val="auto"/>
              </w:rPr>
              <w:t>Accounts Payable, Accrued Expenses, and Other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5,625</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4,411</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Rent and Deferred Revenue</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16"/>
        </w:trPr>
        <w:tc>
          <w:tcPr>
            <w:tcW w:w="6200" w:type="dxa"/>
            <w:vAlign w:val="bottom"/>
          </w:tcPr>
          <w:p>
            <w:pPr>
              <w:ind w:left="120"/>
              <w:spacing w:after="0"/>
              <w:rPr>
                <w:sz w:val="20"/>
                <w:szCs w:val="20"/>
                <w:color w:val="auto"/>
              </w:rPr>
            </w:pPr>
            <w:r>
              <w:rPr>
                <w:rFonts w:ascii="Arial" w:cs="Arial" w:eastAsia="Arial" w:hAnsi="Arial"/>
                <w:sz w:val="18"/>
                <w:szCs w:val="18"/>
                <w:color w:val="auto"/>
              </w:rPr>
              <w:t>Intangible Lease Liabilities—Net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5,050</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Long-Term Debt</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249,099</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267,116</w:t>
            </w:r>
          </w:p>
        </w:tc>
        <w:tc>
          <w:tcPr>
            <w:tcW w:w="0" w:type="dxa"/>
            <w:vAlign w:val="bottom"/>
          </w:tcPr>
          <w:p>
            <w:pPr>
              <w:spacing w:after="0"/>
              <w:rPr>
                <w:sz w:val="1"/>
                <w:szCs w:val="1"/>
                <w:color w:val="auto"/>
              </w:rPr>
            </w:pPr>
          </w:p>
        </w:tc>
      </w:tr>
      <w:tr>
        <w:trPr>
          <w:trHeight w:val="210"/>
        </w:trPr>
        <w:tc>
          <w:tcPr>
            <w:tcW w:w="62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261,792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278,056</w:t>
            </w: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Contingencies—See Note 18</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b w:val="1"/>
                <w:bCs w:val="1"/>
                <w:color w:val="auto"/>
              </w:rPr>
              <w:t>Equity:</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2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89"/>
              </w:rPr>
              <w:t>Preferred Stock, $0.01 par value per share, 100 million shares authorized, no shares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issued and outstanding as of September 30, 2023 and December 31, 2022</w:t>
            </w: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200" w:type="dxa"/>
            <w:vAlign w:val="bottom"/>
          </w:tcPr>
          <w:p>
            <w:pPr>
              <w:ind w:left="120"/>
              <w:spacing w:after="0" w:line="201" w:lineRule="exact"/>
              <w:rPr>
                <w:sz w:val="20"/>
                <w:szCs w:val="20"/>
                <w:color w:val="auto"/>
              </w:rPr>
            </w:pPr>
            <w:r>
              <w:rPr>
                <w:rFonts w:ascii="Arial" w:cs="Arial" w:eastAsia="Arial" w:hAnsi="Arial"/>
                <w:sz w:val="18"/>
                <w:szCs w:val="18"/>
                <w:color w:val="auto"/>
              </w:rPr>
              <w:t>Common Stock, $0.01 par value per share, 500 million shares authorized,</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20"/>
              <w:spacing w:after="0"/>
              <w:rPr>
                <w:sz w:val="20"/>
                <w:szCs w:val="20"/>
                <w:color w:val="auto"/>
              </w:rPr>
            </w:pPr>
            <w:r>
              <w:rPr>
                <w:rFonts w:ascii="Arial" w:cs="Arial" w:eastAsia="Arial" w:hAnsi="Arial"/>
                <w:sz w:val="18"/>
                <w:szCs w:val="18"/>
                <w:color w:val="auto"/>
                <w:w w:val="88"/>
              </w:rPr>
              <w:t>13,769,609 shares issued and outstanding as of September 30, 2023 and 13,394,677</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120"/>
              <w:spacing w:after="0"/>
              <w:rPr>
                <w:sz w:val="20"/>
                <w:szCs w:val="20"/>
                <w:color w:val="auto"/>
              </w:rPr>
            </w:pPr>
            <w:r>
              <w:rPr>
                <w:rFonts w:ascii="Arial" w:cs="Arial" w:eastAsia="Arial" w:hAnsi="Arial"/>
                <w:sz w:val="18"/>
                <w:szCs w:val="18"/>
                <w:color w:val="auto"/>
              </w:rPr>
              <w:t>shares issued and outstanding as of December 31, 2022</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236,841</w:t>
            </w:r>
          </w:p>
        </w:tc>
        <w:tc>
          <w:tcPr>
            <w:tcW w:w="0" w:type="dxa"/>
            <w:vAlign w:val="bottom"/>
          </w:tcPr>
          <w:p>
            <w:pPr>
              <w:spacing w:after="0"/>
              <w:rPr>
                <w:sz w:val="1"/>
                <w:szCs w:val="1"/>
                <w:color w:val="auto"/>
              </w:rPr>
            </w:pPr>
          </w:p>
        </w:tc>
      </w:tr>
      <w:tr>
        <w:trPr>
          <w:trHeight w:val="216"/>
        </w:trPr>
        <w:tc>
          <w:tcPr>
            <w:tcW w:w="6200" w:type="dxa"/>
            <w:vAlign w:val="bottom"/>
          </w:tcPr>
          <w:p>
            <w:pPr>
              <w:ind w:left="12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10,042</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17,706</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14,601</w:t>
            </w:r>
          </w:p>
        </w:tc>
        <w:tc>
          <w:tcPr>
            <w:tcW w:w="0" w:type="dxa"/>
            <w:vAlign w:val="bottom"/>
          </w:tcPr>
          <w:p>
            <w:pPr>
              <w:spacing w:after="0"/>
              <w:rPr>
                <w:sz w:val="1"/>
                <w:szCs w:val="1"/>
                <w:color w:val="auto"/>
              </w:rPr>
            </w:pPr>
          </w:p>
        </w:tc>
      </w:tr>
      <w:tr>
        <w:trPr>
          <w:trHeight w:val="209"/>
        </w:trPr>
        <w:tc>
          <w:tcPr>
            <w:tcW w:w="6200" w:type="dxa"/>
            <w:vAlign w:val="bottom"/>
          </w:tcPr>
          <w:p>
            <w:pPr>
              <w:ind w:left="340"/>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263,219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261,618</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Noncontrolling Interest</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32,666</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33,757</w:t>
            </w:r>
          </w:p>
        </w:tc>
        <w:tc>
          <w:tcPr>
            <w:tcW w:w="0" w:type="dxa"/>
            <w:vAlign w:val="bottom"/>
          </w:tcPr>
          <w:p>
            <w:pPr>
              <w:spacing w:after="0"/>
              <w:rPr>
                <w:sz w:val="1"/>
                <w:szCs w:val="1"/>
                <w:color w:val="auto"/>
              </w:rPr>
            </w:pPr>
          </w:p>
        </w:tc>
      </w:tr>
      <w:tr>
        <w:trPr>
          <w:trHeight w:val="209"/>
        </w:trPr>
        <w:tc>
          <w:tcPr>
            <w:tcW w:w="62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Equity</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295,885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295,375</w:t>
            </w:r>
          </w:p>
        </w:tc>
        <w:tc>
          <w:tcPr>
            <w:tcW w:w="0" w:type="dxa"/>
            <w:vAlign w:val="bottom"/>
          </w:tcPr>
          <w:p>
            <w:pPr>
              <w:spacing w:after="0"/>
              <w:rPr>
                <w:sz w:val="1"/>
                <w:szCs w:val="1"/>
                <w:color w:val="auto"/>
              </w:rPr>
            </w:pPr>
          </w:p>
        </w:tc>
      </w:tr>
      <w:tr>
        <w:trPr>
          <w:trHeight w:val="209"/>
        </w:trPr>
        <w:tc>
          <w:tcPr>
            <w:tcW w:w="6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557,677</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573,431</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ALPINE INCOME PROPERTY TRUST,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in thousands, except share and per share data)</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2220" w:type="dxa"/>
            <w:vAlign w:val="bottom"/>
            <w:gridSpan w:val="5"/>
          </w:tcPr>
          <w:p>
            <w:pPr>
              <w:ind w:left="2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1"/>
        </w:trPr>
        <w:tc>
          <w:tcPr>
            <w:tcW w:w="4040" w:type="dxa"/>
            <w:vAlign w:val="bottom"/>
          </w:tcPr>
          <w:p>
            <w:pPr>
              <w:spacing w:after="0"/>
              <w:rPr>
                <w:sz w:val="16"/>
                <w:szCs w:val="16"/>
                <w:color w:val="auto"/>
              </w:rPr>
            </w:pPr>
          </w:p>
        </w:tc>
        <w:tc>
          <w:tcPr>
            <w:tcW w:w="124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w w:val="97"/>
              </w:rPr>
              <w:t>September 30,</w:t>
            </w:r>
          </w:p>
        </w:tc>
        <w:tc>
          <w:tcPr>
            <w:tcW w:w="112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120" w:type="dxa"/>
            <w:vAlign w:val="bottom"/>
          </w:tcPr>
          <w:p>
            <w:pPr>
              <w:spacing w:after="0"/>
              <w:rPr>
                <w:sz w:val="16"/>
                <w:szCs w:val="16"/>
                <w:color w:val="auto"/>
              </w:rPr>
            </w:pPr>
          </w:p>
        </w:tc>
        <w:tc>
          <w:tcPr>
            <w:tcW w:w="124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w w:val="97"/>
              </w:rPr>
              <w:t>September 30,</w:t>
            </w:r>
          </w:p>
        </w:tc>
        <w:tc>
          <w:tcPr>
            <w:tcW w:w="114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20"/>
              <w:spacing w:after="0"/>
              <w:rPr>
                <w:sz w:val="20"/>
                <w:szCs w:val="20"/>
                <w:color w:val="auto"/>
              </w:rPr>
            </w:pPr>
            <w:r>
              <w:rPr>
                <w:rFonts w:ascii="Arial" w:cs="Arial" w:eastAsia="Arial" w:hAnsi="Arial"/>
                <w:sz w:val="18"/>
                <w:szCs w:val="18"/>
                <w:color w:val="auto"/>
              </w:rPr>
              <w:t>Lease Income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11,447</w:t>
            </w:r>
          </w:p>
        </w:tc>
        <w:tc>
          <w:tcPr>
            <w:tcW w:w="1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11,520</w:t>
            </w:r>
          </w:p>
        </w:tc>
        <w:tc>
          <w:tcPr>
            <w:tcW w:w="1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33,951</w:t>
            </w:r>
          </w:p>
        </w:tc>
        <w:tc>
          <w:tcPr>
            <w:tcW w:w="1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33,599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Interest Income from Commercial Loans and</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Investments</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11,559</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11,520</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34,063</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20"/>
              <w:spacing w:after="0"/>
              <w:rPr>
                <w:sz w:val="20"/>
                <w:szCs w:val="20"/>
                <w:color w:val="auto"/>
              </w:rPr>
            </w:pPr>
            <w:r>
              <w:rPr>
                <w:rFonts w:ascii="Arial" w:cs="Arial" w:eastAsia="Arial" w:hAnsi="Arial"/>
                <w:sz w:val="18"/>
                <w:szCs w:val="18"/>
                <w:color w:val="auto"/>
              </w:rPr>
              <w:t>Real Estate Expenses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20"/>
              <w:spacing w:after="0"/>
              <w:rPr>
                <w:sz w:val="20"/>
                <w:szCs w:val="20"/>
                <w:color w:val="auto"/>
              </w:rPr>
            </w:pPr>
            <w:r>
              <w:rPr>
                <w:rFonts w:ascii="Arial" w:cs="Arial" w:eastAsia="Arial" w:hAnsi="Arial"/>
                <w:sz w:val="18"/>
                <w:szCs w:val="18"/>
                <w:color w:val="auto"/>
              </w:rPr>
              <w:t>Provision for Impairment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2,864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2,864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31,704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25,795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on Disposition of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20"/>
              <w:spacing w:after="0"/>
              <w:rPr>
                <w:sz w:val="20"/>
                <w:szCs w:val="20"/>
                <w:color w:val="auto"/>
              </w:rPr>
            </w:pPr>
            <w:r>
              <w:rPr>
                <w:rFonts w:ascii="Arial" w:cs="Arial" w:eastAsia="Arial" w:hAnsi="Arial"/>
                <w:sz w:val="18"/>
                <w:szCs w:val="18"/>
                <w:color w:val="auto"/>
              </w:rPr>
              <w:t>Gain (Loss) on Extinguishment of Debt</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(284)</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From Operations</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Arial" w:cs="Arial" w:eastAsia="Arial" w:hAnsi="Arial"/>
                <w:sz w:val="18"/>
                <w:szCs w:val="18"/>
                <w:color w:val="auto"/>
              </w:rPr>
              <w:t>Investment and Other Income</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(2,443)</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(2,544)</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(7,494)</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11,170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Less: Net (Income) Loss Attributable to</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Noncontrolling Interest</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(1,400)</w:t>
            </w: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40" w:type="dxa"/>
            <w:vAlign w:val="bottom"/>
            <w:vMerge w:val="restart"/>
          </w:tcPr>
          <w:p>
            <w:pPr>
              <w:ind w:left="20"/>
              <w:spacing w:after="0" w:line="201" w:lineRule="exact"/>
              <w:rPr>
                <w:sz w:val="20"/>
                <w:szCs w:val="20"/>
                <w:color w:val="auto"/>
              </w:rPr>
            </w:pPr>
            <w:r>
              <w:rPr>
                <w:rFonts w:ascii="Arial" w:cs="Arial" w:eastAsia="Arial" w:hAnsi="Arial"/>
                <w:sz w:val="18"/>
                <w:szCs w:val="18"/>
                <w:color w:val="auto"/>
              </w:rPr>
              <w:t>Net Income (Loss) Attributable to Alpine Income</w:t>
            </w: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40" w:type="dxa"/>
            <w:vAlign w:val="bottom"/>
            <w:vMerge w:val="continue"/>
          </w:tcPr>
          <w:p>
            <w:pPr>
              <w:spacing w:after="0"/>
              <w:rPr>
                <w:sz w:val="15"/>
                <w:szCs w:val="15"/>
                <w:color w:val="auto"/>
              </w:rPr>
            </w:pP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(837)</w:t>
            </w: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9,770</w:t>
            </w:r>
          </w:p>
        </w:tc>
        <w:tc>
          <w:tcPr>
            <w:tcW w:w="120" w:type="dxa"/>
            <w:vAlign w:val="bottom"/>
          </w:tcPr>
          <w:p>
            <w:pPr>
              <w:spacing w:after="0"/>
              <w:rPr>
                <w:sz w:val="15"/>
                <w:szCs w:val="15"/>
                <w:color w:val="auto"/>
              </w:rPr>
            </w:pP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2,582</w:t>
            </w:r>
          </w:p>
        </w:tc>
        <w:tc>
          <w:tcPr>
            <w:tcW w:w="120" w:type="dxa"/>
            <w:vAlign w:val="bottom"/>
          </w:tcPr>
          <w:p>
            <w:pPr>
              <w:spacing w:after="0"/>
              <w:rPr>
                <w:sz w:val="15"/>
                <w:szCs w:val="15"/>
                <w:color w:val="auto"/>
              </w:rPr>
            </w:pPr>
          </w:p>
        </w:tc>
        <w:tc>
          <w:tcPr>
            <w:tcW w:w="180" w:type="dxa"/>
            <w:vAlign w:val="bottom"/>
            <w:vMerge w:val="restart"/>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24,858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040" w:type="dxa"/>
            <w:vAlign w:val="bottom"/>
          </w:tcPr>
          <w:p>
            <w:pPr>
              <w:ind w:left="20"/>
              <w:spacing w:after="0"/>
              <w:rPr>
                <w:sz w:val="20"/>
                <w:szCs w:val="20"/>
                <w:color w:val="auto"/>
              </w:rPr>
            </w:pPr>
            <w:r>
              <w:rPr>
                <w:rFonts w:ascii="Arial" w:cs="Arial" w:eastAsia="Arial" w:hAnsi="Arial"/>
                <w:sz w:val="18"/>
                <w:szCs w:val="18"/>
                <w:color w:val="auto"/>
              </w:rPr>
              <w:t>Property Trust, Inc.</w:t>
            </w:r>
          </w:p>
        </w:tc>
        <w:tc>
          <w:tcPr>
            <w:tcW w:w="180" w:type="dxa"/>
            <w:vAlign w:val="bottom"/>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180" w:type="dxa"/>
            <w:vAlign w:val="bottom"/>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0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Per Common Share Data:</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Net Income (Loss) Attributable to Alpine Income</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Trust, Inc.</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22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(0.06)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0.82</w:t>
            </w:r>
          </w:p>
        </w:tc>
        <w:tc>
          <w:tcPr>
            <w:tcW w:w="1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Common Shares: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22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7"/>
              </w:rPr>
              <w:t>13,946,194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7"/>
              </w:rPr>
              <w:t>11,888,171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7"/>
              </w:rPr>
              <w:t>14,001,774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9"/>
              </w:rPr>
              <w:t>11,799,151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15,649,688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13,591,665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15,705,268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13,502,645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1520" w:right="1860"/>
        <w:spacing w:after="0" w:line="263" w:lineRule="auto"/>
        <w:rPr>
          <w:sz w:val="20"/>
          <w:szCs w:val="20"/>
          <w:color w:val="auto"/>
        </w:rPr>
      </w:pPr>
      <w:r>
        <w:rPr>
          <w:rFonts w:ascii="Arial" w:cs="Arial" w:eastAsia="Arial" w:hAnsi="Arial"/>
          <w:sz w:val="18"/>
          <w:szCs w:val="18"/>
          <w:color w:val="auto"/>
        </w:rPr>
        <w:t>ALPINE INCOME PROPERTY TRUST, INC. CONSOLIDATED STATEMENTS OF COMPREHENSIVE INCOME (Unaudited, in thousands)</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0"/>
                <w:szCs w:val="20"/>
                <w:color w:val="auto"/>
              </w:rPr>
            </w:pPr>
          </w:p>
        </w:tc>
        <w:tc>
          <w:tcPr>
            <w:tcW w:w="2280" w:type="dxa"/>
            <w:vAlign w:val="bottom"/>
            <w:gridSpan w:val="4"/>
          </w:tcPr>
          <w:p>
            <w:pPr>
              <w:jc w:val="right"/>
              <w:ind w:right="415"/>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3740" w:type="dxa"/>
            <w:vAlign w:val="bottom"/>
          </w:tcPr>
          <w:p>
            <w:pPr>
              <w:spacing w:after="0"/>
              <w:rPr>
                <w:sz w:val="16"/>
                <w:szCs w:val="16"/>
                <w:color w:val="auto"/>
              </w:rPr>
            </w:pPr>
          </w:p>
        </w:tc>
        <w:tc>
          <w:tcPr>
            <w:tcW w:w="1360" w:type="dxa"/>
            <w:vAlign w:val="bottom"/>
            <w:tcBorders>
              <w:top w:val="single" w:sz="8" w:color="auto"/>
            </w:tcBorders>
            <w:gridSpan w:val="3"/>
          </w:tcPr>
          <w:p>
            <w:pPr>
              <w:jc w:val="right"/>
              <w:ind w:right="220"/>
              <w:spacing w:after="0" w:line="191" w:lineRule="exact"/>
              <w:rPr>
                <w:sz w:val="20"/>
                <w:szCs w:val="20"/>
                <w:color w:val="auto"/>
              </w:rPr>
            </w:pPr>
            <w:r>
              <w:rPr>
                <w:rFonts w:ascii="Arial" w:cs="Arial" w:eastAsia="Arial" w:hAnsi="Arial"/>
                <w:sz w:val="18"/>
                <w:szCs w:val="18"/>
                <w:b w:val="1"/>
                <w:bCs w:val="1"/>
                <w:color w:val="auto"/>
                <w:w w:val="90"/>
              </w:rPr>
              <w:t>September 30,</w:t>
            </w:r>
          </w:p>
        </w:tc>
        <w:tc>
          <w:tcPr>
            <w:tcW w:w="116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0"/>
              </w:rPr>
              <w:t>September 30,</w:t>
            </w:r>
          </w:p>
        </w:tc>
        <w:tc>
          <w:tcPr>
            <w:tcW w:w="100" w:type="dxa"/>
            <w:vAlign w:val="bottom"/>
          </w:tcPr>
          <w:p>
            <w:pPr>
              <w:spacing w:after="0"/>
              <w:rPr>
                <w:sz w:val="16"/>
                <w:szCs w:val="16"/>
                <w:color w:val="auto"/>
              </w:rPr>
            </w:pPr>
          </w:p>
        </w:tc>
        <w:tc>
          <w:tcPr>
            <w:tcW w:w="1360" w:type="dxa"/>
            <w:vAlign w:val="bottom"/>
            <w:tcBorders>
              <w:top w:val="single" w:sz="8" w:color="auto"/>
            </w:tcBorders>
            <w:gridSpan w:val="3"/>
          </w:tcPr>
          <w:p>
            <w:pPr>
              <w:ind w:left="80"/>
              <w:spacing w:after="0" w:line="191" w:lineRule="exact"/>
              <w:rPr>
                <w:sz w:val="20"/>
                <w:szCs w:val="20"/>
                <w:color w:val="auto"/>
              </w:rPr>
            </w:pPr>
            <w:r>
              <w:rPr>
                <w:rFonts w:ascii="Arial" w:cs="Arial" w:eastAsia="Arial" w:hAnsi="Arial"/>
                <w:sz w:val="17"/>
                <w:szCs w:val="17"/>
                <w:b w:val="1"/>
                <w:bCs w:val="1"/>
                <w:color w:val="auto"/>
              </w:rPr>
              <w:t>September 30,</w:t>
            </w:r>
          </w:p>
        </w:tc>
        <w:tc>
          <w:tcPr>
            <w:tcW w:w="118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7"/>
                <w:szCs w:val="17"/>
                <w:b w:val="1"/>
                <w:bCs w:val="1"/>
                <w:color w:val="auto"/>
                <w:w w:val="94"/>
              </w:rPr>
              <w:t>September 30,</w:t>
            </w:r>
          </w:p>
        </w:tc>
      </w:tr>
      <w:tr>
        <w:trPr>
          <w:trHeight w:val="234"/>
        </w:trPr>
        <w:tc>
          <w:tcPr>
            <w:tcW w:w="37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2023</w:t>
            </w:r>
          </w:p>
        </w:tc>
        <w:tc>
          <w:tcPr>
            <w:tcW w:w="1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2022</w:t>
            </w:r>
          </w:p>
        </w:tc>
      </w:tr>
      <w:tr>
        <w:trPr>
          <w:trHeight w:val="182"/>
        </w:trPr>
        <w:tc>
          <w:tcPr>
            <w:tcW w:w="374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6"/>
              </w:rPr>
              <w:t>Net Income (Loss) Attributable to Alpine Income</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Trust, Inc.</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2,582</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102"/>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24,858</w:t>
            </w:r>
          </w:p>
        </w:tc>
      </w:tr>
      <w:tr>
        <w:trPr>
          <w:trHeight w:val="210"/>
        </w:trPr>
        <w:tc>
          <w:tcPr>
            <w:tcW w:w="374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r>
      <w:tr>
        <w:trPr>
          <w:trHeight w:val="202"/>
        </w:trPr>
        <w:tc>
          <w:tcPr>
            <w:tcW w:w="37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6"/>
              </w:rPr>
              <w:t>Cash Flow Hedging Derivative - Interest Rate</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0"/>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Swaps</w:t>
            </w: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2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4,762</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3,105</w:t>
            </w:r>
          </w:p>
        </w:tc>
        <w:tc>
          <w:tcPr>
            <w:tcW w:w="1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13,839</w:t>
            </w:r>
          </w:p>
        </w:tc>
      </w:tr>
      <w:tr>
        <w:trPr>
          <w:trHeight w:val="209"/>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Income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3,105</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13,839</w:t>
            </w:r>
          </w:p>
        </w:tc>
      </w:tr>
      <w:tr>
        <w:trPr>
          <w:trHeight w:val="21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5,687</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38,697</w:t>
            </w:r>
          </w:p>
        </w:tc>
      </w:tr>
      <w:tr>
        <w:trPr>
          <w:trHeight w:val="20"/>
        </w:trPr>
        <w:tc>
          <w:tcPr>
            <w:tcW w:w="3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61" w:lineRule="auto"/>
        <w:rPr>
          <w:sz w:val="20"/>
          <w:szCs w:val="20"/>
          <w:color w:val="auto"/>
        </w:rPr>
      </w:pPr>
      <w:r>
        <w:rPr>
          <w:rFonts w:ascii="Arial" w:cs="Arial" w:eastAsia="Arial" w:hAnsi="Arial"/>
          <w:sz w:val="17"/>
          <w:szCs w:val="17"/>
          <w:color w:val="auto"/>
        </w:rPr>
        <w:t>ALPINE INCOME PROPERTY TRUST, INC. CONSOLIDATED STATEMENTS OF STOCKHOLDERS’ EQUITY (Unaudited, in thousands, except per share data)</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 the three months ended September 30, 2023:</w:t>
      </w: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2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ind w:right="20"/>
              <w:spacing w:after="0"/>
              <w:rPr>
                <w:sz w:val="20"/>
                <w:szCs w:val="20"/>
                <w:color w:val="auto"/>
              </w:rPr>
            </w:pPr>
            <w:r>
              <w:rPr>
                <w:rFonts w:ascii="Arial" w:cs="Arial" w:eastAsia="Arial" w:hAnsi="Arial"/>
                <w:sz w:val="15"/>
                <w:szCs w:val="15"/>
                <w:b w:val="1"/>
                <w:bCs w:val="1"/>
                <w:color w:val="auto"/>
                <w:w w:val="91"/>
              </w:rPr>
              <w:t>Accumulated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2"/>
        </w:trPr>
        <w:tc>
          <w:tcPr>
            <w:tcW w:w="2300" w:type="dxa"/>
            <w:vAlign w:val="bottom"/>
          </w:tcPr>
          <w:p>
            <w:pPr>
              <w:spacing w:after="0"/>
              <w:rPr>
                <w:sz w:val="14"/>
                <w:szCs w:val="14"/>
                <w:color w:val="auto"/>
              </w:rPr>
            </w:pPr>
          </w:p>
        </w:tc>
        <w:tc>
          <w:tcPr>
            <w:tcW w:w="720" w:type="dxa"/>
            <w:vAlign w:val="bottom"/>
            <w:gridSpan w:val="2"/>
          </w:tcPr>
          <w:p>
            <w:pPr>
              <w:jc w:val="center"/>
              <w:spacing w:after="0" w:line="162" w:lineRule="exact"/>
              <w:rPr>
                <w:sz w:val="20"/>
                <w:szCs w:val="20"/>
                <w:color w:val="auto"/>
              </w:rPr>
            </w:pPr>
            <w:r>
              <w:rPr>
                <w:rFonts w:ascii="Arial" w:cs="Arial" w:eastAsia="Arial" w:hAnsi="Arial"/>
                <w:sz w:val="15"/>
                <w:szCs w:val="15"/>
                <w:b w:val="1"/>
                <w:bCs w:val="1"/>
                <w:color w:val="auto"/>
                <w:w w:val="92"/>
              </w:rPr>
              <w:t>Common</w:t>
            </w:r>
          </w:p>
        </w:tc>
        <w:tc>
          <w:tcPr>
            <w:tcW w:w="12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b w:val="1"/>
                <w:bCs w:val="1"/>
                <w:color w:val="auto"/>
                <w:w w:val="95"/>
              </w:rPr>
              <w:t>Additional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9"/>
              </w:rPr>
              <w:t>Other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2"/>
        </w:trPr>
        <w:tc>
          <w:tcPr>
            <w:tcW w:w="2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ind w:right="20"/>
              <w:spacing w:after="0" w:line="162" w:lineRule="exact"/>
              <w:rPr>
                <w:sz w:val="20"/>
                <w:szCs w:val="20"/>
                <w:color w:val="auto"/>
              </w:rPr>
            </w:pPr>
            <w:r>
              <w:rPr>
                <w:rFonts w:ascii="Arial" w:cs="Arial" w:eastAsia="Arial" w:hAnsi="Arial"/>
                <w:sz w:val="15"/>
                <w:szCs w:val="15"/>
                <w:b w:val="1"/>
                <w:bCs w:val="1"/>
                <w:color w:val="auto"/>
                <w:w w:val="92"/>
              </w:rPr>
              <w:t>Stock at</w:t>
            </w:r>
          </w:p>
        </w:tc>
        <w:tc>
          <w:tcPr>
            <w:tcW w:w="120" w:type="dxa"/>
            <w:vAlign w:val="bottom"/>
          </w:tcPr>
          <w:p>
            <w:pPr>
              <w:spacing w:after="0"/>
              <w:rPr>
                <w:sz w:val="14"/>
                <w:szCs w:val="14"/>
                <w:color w:val="auto"/>
              </w:rPr>
            </w:pPr>
          </w:p>
        </w:tc>
        <w:tc>
          <w:tcPr>
            <w:tcW w:w="740" w:type="dxa"/>
            <w:vAlign w:val="bottom"/>
          </w:tcPr>
          <w:p>
            <w:pPr>
              <w:jc w:val="right"/>
              <w:ind w:right="61"/>
              <w:spacing w:after="0" w:line="162" w:lineRule="exact"/>
              <w:rPr>
                <w:sz w:val="20"/>
                <w:szCs w:val="20"/>
                <w:color w:val="auto"/>
              </w:rPr>
            </w:pPr>
            <w:r>
              <w:rPr>
                <w:rFonts w:ascii="Arial" w:cs="Arial" w:eastAsia="Arial" w:hAnsi="Arial"/>
                <w:sz w:val="15"/>
                <w:szCs w:val="15"/>
                <w:b w:val="1"/>
                <w:bCs w:val="1"/>
                <w:color w:val="auto"/>
              </w:rPr>
              <w:t>Paid-in</w:t>
            </w:r>
          </w:p>
        </w:tc>
        <w:tc>
          <w:tcPr>
            <w:tcW w:w="120" w:type="dxa"/>
            <w:vAlign w:val="bottom"/>
          </w:tcPr>
          <w:p>
            <w:pPr>
              <w:spacing w:after="0"/>
              <w:rPr>
                <w:sz w:val="14"/>
                <w:szCs w:val="14"/>
                <w:color w:val="auto"/>
              </w:rPr>
            </w:pPr>
          </w:p>
        </w:tc>
        <w:tc>
          <w:tcPr>
            <w:tcW w:w="720" w:type="dxa"/>
            <w:vAlign w:val="bottom"/>
            <w:gridSpan w:val="2"/>
          </w:tcPr>
          <w:p>
            <w:pPr>
              <w:jc w:val="right"/>
              <w:spacing w:after="0" w:line="162" w:lineRule="exact"/>
              <w:rPr>
                <w:sz w:val="20"/>
                <w:szCs w:val="20"/>
                <w:color w:val="auto"/>
              </w:rPr>
            </w:pPr>
            <w:r>
              <w:rPr>
                <w:rFonts w:ascii="Arial" w:cs="Arial" w:eastAsia="Arial" w:hAnsi="Arial"/>
                <w:sz w:val="15"/>
                <w:szCs w:val="15"/>
                <w:b w:val="1"/>
                <w:bCs w:val="1"/>
                <w:color w:val="auto"/>
                <w:w w:val="97"/>
              </w:rPr>
              <w:t>Retained</w:t>
            </w:r>
          </w:p>
        </w:tc>
        <w:tc>
          <w:tcPr>
            <w:tcW w:w="1160" w:type="dxa"/>
            <w:vAlign w:val="bottom"/>
            <w:gridSpan w:val="3"/>
          </w:tcPr>
          <w:p>
            <w:pPr>
              <w:jc w:val="center"/>
              <w:ind w:left="24"/>
              <w:spacing w:after="0" w:line="162" w:lineRule="exact"/>
              <w:rPr>
                <w:sz w:val="20"/>
                <w:szCs w:val="20"/>
                <w:color w:val="auto"/>
              </w:rPr>
            </w:pPr>
            <w:r>
              <w:rPr>
                <w:rFonts w:ascii="Arial" w:cs="Arial" w:eastAsia="Arial" w:hAnsi="Arial"/>
                <w:sz w:val="15"/>
                <w:szCs w:val="15"/>
                <w:b w:val="1"/>
                <w:bCs w:val="1"/>
                <w:color w:val="auto"/>
                <w:w w:val="90"/>
              </w:rPr>
              <w:t>Comprehensive</w:t>
            </w:r>
          </w:p>
        </w:tc>
        <w:tc>
          <w:tcPr>
            <w:tcW w:w="1020" w:type="dxa"/>
            <w:vAlign w:val="bottom"/>
            <w:gridSpan w:val="3"/>
          </w:tcPr>
          <w:p>
            <w:pPr>
              <w:ind w:left="120"/>
              <w:spacing w:after="0" w:line="162" w:lineRule="exact"/>
              <w:rPr>
                <w:sz w:val="20"/>
                <w:szCs w:val="20"/>
                <w:color w:val="auto"/>
              </w:rPr>
            </w:pPr>
            <w:r>
              <w:rPr>
                <w:rFonts w:ascii="Arial" w:cs="Arial" w:eastAsia="Arial" w:hAnsi="Arial"/>
                <w:sz w:val="15"/>
                <w:szCs w:val="15"/>
                <w:b w:val="1"/>
                <w:bCs w:val="1"/>
                <w:color w:val="auto"/>
                <w:w w:val="89"/>
              </w:rPr>
              <w:t>Stockholders'</w:t>
            </w:r>
          </w:p>
        </w:tc>
        <w:tc>
          <w:tcPr>
            <w:tcW w:w="120" w:type="dxa"/>
            <w:vAlign w:val="bottom"/>
          </w:tcPr>
          <w:p>
            <w:pPr>
              <w:spacing w:after="0"/>
              <w:rPr>
                <w:sz w:val="14"/>
                <w:szCs w:val="14"/>
                <w:color w:val="auto"/>
              </w:rPr>
            </w:pPr>
          </w:p>
        </w:tc>
        <w:tc>
          <w:tcPr>
            <w:tcW w:w="1120" w:type="dxa"/>
            <w:vAlign w:val="bottom"/>
            <w:gridSpan w:val="3"/>
          </w:tcPr>
          <w:p>
            <w:pPr>
              <w:spacing w:after="0" w:line="162" w:lineRule="exact"/>
              <w:rPr>
                <w:sz w:val="20"/>
                <w:szCs w:val="20"/>
                <w:color w:val="auto"/>
              </w:rPr>
            </w:pPr>
            <w:r>
              <w:rPr>
                <w:rFonts w:ascii="Arial" w:cs="Arial" w:eastAsia="Arial" w:hAnsi="Arial"/>
                <w:sz w:val="15"/>
                <w:szCs w:val="15"/>
                <w:b w:val="1"/>
                <w:bCs w:val="1"/>
                <w:color w:val="auto"/>
              </w:rPr>
              <w:t>Noncontrolling</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40"/>
              <w:spacing w:after="0" w:line="162" w:lineRule="exact"/>
              <w:rPr>
                <w:sz w:val="20"/>
                <w:szCs w:val="20"/>
                <w:color w:val="auto"/>
              </w:rPr>
            </w:pPr>
            <w:r>
              <w:rPr>
                <w:rFonts w:ascii="Arial" w:cs="Arial" w:eastAsia="Arial" w:hAnsi="Arial"/>
                <w:sz w:val="15"/>
                <w:szCs w:val="15"/>
                <w:b w:val="1"/>
                <w:bCs w:val="1"/>
                <w:color w:val="auto"/>
              </w:rPr>
              <w:t>Total</w:t>
            </w:r>
          </w:p>
        </w:tc>
      </w:tr>
      <w:tr>
        <w:trPr>
          <w:trHeight w:val="179"/>
        </w:trPr>
        <w:tc>
          <w:tcPr>
            <w:tcW w:w="2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5"/>
                <w:szCs w:val="15"/>
                <w:b w:val="1"/>
                <w:bCs w:val="1"/>
                <w:color w:val="auto"/>
                <w:w w:val="99"/>
              </w:rPr>
              <w:t>Par</w:t>
            </w:r>
          </w:p>
        </w:tc>
        <w:tc>
          <w:tcPr>
            <w:tcW w:w="120" w:type="dxa"/>
            <w:vAlign w:val="bottom"/>
          </w:tcPr>
          <w:p>
            <w:pPr>
              <w:spacing w:after="0"/>
              <w:rPr>
                <w:sz w:val="15"/>
                <w:szCs w:val="15"/>
                <w:color w:val="auto"/>
              </w:rPr>
            </w:pPr>
          </w:p>
        </w:tc>
        <w:tc>
          <w:tcPr>
            <w:tcW w:w="740" w:type="dxa"/>
            <w:vAlign w:val="bottom"/>
          </w:tcPr>
          <w:p>
            <w:pPr>
              <w:jc w:val="right"/>
              <w:ind w:right="61"/>
              <w:spacing w:after="0"/>
              <w:rPr>
                <w:sz w:val="20"/>
                <w:szCs w:val="20"/>
                <w:color w:val="auto"/>
              </w:rPr>
            </w:pPr>
            <w:r>
              <w:rPr>
                <w:rFonts w:ascii="Arial" w:cs="Arial" w:eastAsia="Arial" w:hAnsi="Arial"/>
                <w:sz w:val="15"/>
                <w:szCs w:val="15"/>
                <w:b w:val="1"/>
                <w:bCs w:val="1"/>
                <w:color w:val="auto"/>
              </w:rPr>
              <w:t>Capital</w:t>
            </w:r>
          </w:p>
        </w:tc>
        <w:tc>
          <w:tcPr>
            <w:tcW w:w="12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5"/>
                <w:szCs w:val="15"/>
                <w:b w:val="1"/>
                <w:bCs w:val="1"/>
                <w:color w:val="auto"/>
                <w:w w:val="99"/>
              </w:rPr>
              <w:t>Earnings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5"/>
                <w:szCs w:val="15"/>
                <w:b w:val="1"/>
                <w:bCs w:val="1"/>
                <w:color w:val="auto"/>
                <w:w w:val="91"/>
              </w:rPr>
              <w:t>Income</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160"/>
              <w:spacing w:after="0"/>
              <w:rPr>
                <w:sz w:val="20"/>
                <w:szCs w:val="20"/>
                <w:color w:val="auto"/>
              </w:rPr>
            </w:pPr>
            <w:r>
              <w:rPr>
                <w:rFonts w:ascii="Arial" w:cs="Arial" w:eastAsia="Arial" w:hAnsi="Arial"/>
                <w:sz w:val="15"/>
                <w:szCs w:val="15"/>
                <w:b w:val="1"/>
                <w:bCs w:val="1"/>
                <w:color w:val="auto"/>
              </w:rPr>
              <w:t>Equity</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ind w:left="80"/>
              <w:spacing w:after="0"/>
              <w:rPr>
                <w:sz w:val="20"/>
                <w:szCs w:val="20"/>
                <w:color w:val="auto"/>
              </w:rPr>
            </w:pPr>
            <w:r>
              <w:rPr>
                <w:rFonts w:ascii="Arial" w:cs="Arial" w:eastAsia="Arial" w:hAnsi="Arial"/>
                <w:sz w:val="15"/>
                <w:szCs w:val="15"/>
                <w:b w:val="1"/>
                <w:bCs w:val="1"/>
                <w:color w:val="auto"/>
              </w:rPr>
              <w:t>Interest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80"/>
              <w:spacing w:after="0"/>
              <w:rPr>
                <w:sz w:val="20"/>
                <w:szCs w:val="20"/>
                <w:color w:val="auto"/>
              </w:rPr>
            </w:pPr>
            <w:r>
              <w:rPr>
                <w:rFonts w:ascii="Arial" w:cs="Arial" w:eastAsia="Arial" w:hAnsi="Arial"/>
                <w:sz w:val="15"/>
                <w:szCs w:val="15"/>
                <w:b w:val="1"/>
                <w:bCs w:val="1"/>
                <w:color w:val="auto"/>
              </w:rPr>
              <w:t>Equity</w:t>
            </w:r>
          </w:p>
        </w:tc>
      </w:tr>
      <w:tr>
        <w:trPr>
          <w:trHeight w:val="196"/>
        </w:trPr>
        <w:tc>
          <w:tcPr>
            <w:tcW w:w="2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July 1, 2023</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$ 248,958</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5,731</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16,214</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271,043</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33,237</w:t>
            </w: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304,280</w:t>
            </w:r>
          </w:p>
        </w:tc>
      </w:tr>
      <w:tr>
        <w:trPr>
          <w:trHeight w:val="203"/>
        </w:trPr>
        <w:tc>
          <w:tcPr>
            <w:tcW w:w="2300" w:type="dxa"/>
            <w:vAlign w:val="bottom"/>
          </w:tcPr>
          <w:p>
            <w:pPr>
              <w:spacing w:after="0"/>
              <w:rPr>
                <w:sz w:val="20"/>
                <w:szCs w:val="20"/>
                <w:color w:val="auto"/>
              </w:rPr>
            </w:pPr>
            <w:r>
              <w:rPr>
                <w:rFonts w:ascii="Arial" w:cs="Arial" w:eastAsia="Arial" w:hAnsi="Arial"/>
                <w:sz w:val="16"/>
                <w:szCs w:val="16"/>
                <w:color w:val="auto"/>
              </w:rPr>
              <w:t>Net Loss</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(837)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(837)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(939)</w:t>
            </w:r>
          </w:p>
        </w:tc>
      </w:tr>
      <w:tr>
        <w:trPr>
          <w:trHeight w:val="203"/>
        </w:trPr>
        <w:tc>
          <w:tcPr>
            <w:tcW w:w="2300" w:type="dxa"/>
            <w:vAlign w:val="bottom"/>
            <w:shd w:val="clear" w:color="auto" w:fill="CCEEFF"/>
          </w:tcPr>
          <w:p>
            <w:pPr>
              <w:spacing w:after="0"/>
              <w:rPr>
                <w:sz w:val="20"/>
                <w:szCs w:val="20"/>
                <w:color w:val="auto"/>
              </w:rPr>
            </w:pPr>
            <w:r>
              <w:rPr>
                <w:rFonts w:ascii="Arial" w:cs="Arial" w:eastAsia="Arial" w:hAnsi="Arial"/>
                <w:sz w:val="16"/>
                <w:szCs w:val="16"/>
                <w:color w:val="auto"/>
              </w:rPr>
              <w:t>Stock Repurchases</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(4,709)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(4,711)</w:t>
            </w:r>
          </w:p>
        </w:tc>
      </w:tr>
      <w:tr>
        <w:trPr>
          <w:trHeight w:val="203"/>
        </w:trPr>
        <w:tc>
          <w:tcPr>
            <w:tcW w:w="2300" w:type="dxa"/>
            <w:vAlign w:val="bottom"/>
          </w:tcPr>
          <w:p>
            <w:pPr>
              <w:spacing w:after="0"/>
              <w:rPr>
                <w:sz w:val="20"/>
                <w:szCs w:val="20"/>
                <w:color w:val="auto"/>
              </w:rPr>
            </w:pPr>
            <w:r>
              <w:rPr>
                <w:rFonts w:ascii="Arial" w:cs="Arial" w:eastAsia="Arial" w:hAnsi="Arial"/>
                <w:sz w:val="16"/>
                <w:szCs w:val="16"/>
                <w:color w:val="auto"/>
              </w:rPr>
              <w:t>Stock Issuance to Directors</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193"/>
        </w:trPr>
        <w:tc>
          <w:tcPr>
            <w:tcW w:w="2300" w:type="dxa"/>
            <w:vAlign w:val="bottom"/>
            <w:shd w:val="clear" w:color="auto" w:fill="CCEEFF"/>
          </w:tcPr>
          <w:p>
            <w:pPr>
              <w:spacing w:after="0"/>
              <w:rPr>
                <w:sz w:val="20"/>
                <w:szCs w:val="20"/>
                <w:color w:val="auto"/>
              </w:rPr>
            </w:pPr>
            <w:r>
              <w:rPr>
                <w:rFonts w:ascii="Arial" w:cs="Arial" w:eastAsia="Arial" w:hAnsi="Arial"/>
                <w:sz w:val="16"/>
                <w:szCs w:val="16"/>
                <w:color w:val="auto"/>
              </w:rPr>
              <w:t>Payment of Equity Issuance</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212"/>
        </w:trPr>
        <w:tc>
          <w:tcPr>
            <w:tcW w:w="2300" w:type="dxa"/>
            <w:vAlign w:val="bottom"/>
            <w:shd w:val="clear" w:color="auto" w:fill="CCEEFF"/>
          </w:tcPr>
          <w:p>
            <w:pPr>
              <w:spacing w:after="0"/>
              <w:rPr>
                <w:sz w:val="20"/>
                <w:szCs w:val="20"/>
                <w:color w:val="auto"/>
              </w:rPr>
            </w:pPr>
            <w:r>
              <w:rPr>
                <w:rFonts w:ascii="Arial" w:cs="Arial" w:eastAsia="Arial" w:hAnsi="Arial"/>
                <w:sz w:val="16"/>
                <w:szCs w:val="16"/>
                <w:color w:val="auto"/>
              </w:rPr>
              <w:t>Costs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193"/>
        </w:trPr>
        <w:tc>
          <w:tcPr>
            <w:tcW w:w="2300" w:type="dxa"/>
            <w:vAlign w:val="bottom"/>
          </w:tcPr>
          <w:p>
            <w:pPr>
              <w:spacing w:after="0"/>
              <w:rPr>
                <w:sz w:val="20"/>
                <w:szCs w:val="20"/>
                <w:color w:val="auto"/>
              </w:rPr>
            </w:pPr>
            <w:r>
              <w:rPr>
                <w:rFonts w:ascii="Arial" w:cs="Arial" w:eastAsia="Arial" w:hAnsi="Arial"/>
                <w:sz w:val="16"/>
                <w:szCs w:val="16"/>
                <w:color w:val="auto"/>
              </w:rPr>
              <w:t>Cash Dividends ($0.275 per</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6"/>
        </w:trPr>
        <w:tc>
          <w:tcPr>
            <w:tcW w:w="2300" w:type="dxa"/>
            <w:vAlign w:val="bottom"/>
          </w:tcPr>
          <w:p>
            <w:pPr>
              <w:spacing w:after="0"/>
              <w:rPr>
                <w:sz w:val="20"/>
                <w:szCs w:val="20"/>
                <w:color w:val="auto"/>
              </w:rPr>
            </w:pPr>
            <w:r>
              <w:rPr>
                <w:rFonts w:ascii="Arial" w:cs="Arial" w:eastAsia="Arial" w:hAnsi="Arial"/>
                <w:sz w:val="16"/>
                <w:szCs w:val="16"/>
                <w:color w:val="auto"/>
              </w:rPr>
              <w:t>share)</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(3,819)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(3,819)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(4,288)</w:t>
            </w:r>
          </w:p>
        </w:tc>
      </w:tr>
      <w:tr>
        <w:trPr>
          <w:trHeight w:val="208"/>
        </w:trPr>
        <w:tc>
          <w:tcPr>
            <w:tcW w:w="230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1,492</w:t>
            </w:r>
          </w:p>
        </w:tc>
      </w:tr>
      <w:tr>
        <w:trPr>
          <w:trHeight w:val="196"/>
        </w:trPr>
        <w:tc>
          <w:tcPr>
            <w:tcW w:w="2300" w:type="dxa"/>
            <w:vAlign w:val="bottom"/>
          </w:tcPr>
          <w:p>
            <w:pPr>
              <w:spacing w:after="0"/>
              <w:rPr>
                <w:sz w:val="20"/>
                <w:szCs w:val="20"/>
                <w:color w:val="auto"/>
              </w:rPr>
            </w:pPr>
            <w:r>
              <w:rPr>
                <w:rFonts w:ascii="Arial" w:cs="Arial" w:eastAsia="Arial" w:hAnsi="Arial"/>
                <w:sz w:val="16"/>
                <w:szCs w:val="16"/>
                <w:color w:val="auto"/>
              </w:rPr>
              <w:t>Balance September 30, 2023</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2"/>
              </w:rPr>
              <w:t>$ 244,300</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1,075</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17,706</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263,219</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32,666</w:t>
            </w: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6"/>
              </w:rPr>
              <w:t>295,885</w:t>
            </w:r>
          </w:p>
        </w:tc>
      </w:tr>
      <w:tr>
        <w:trPr>
          <w:trHeight w:val="20"/>
        </w:trPr>
        <w:tc>
          <w:tcPr>
            <w:tcW w:w="2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 the three months ended September 30, 2022:</w:t>
      </w: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2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ind w:right="20"/>
              <w:spacing w:after="0"/>
              <w:rPr>
                <w:sz w:val="20"/>
                <w:szCs w:val="20"/>
                <w:color w:val="auto"/>
              </w:rPr>
            </w:pPr>
            <w:r>
              <w:rPr>
                <w:rFonts w:ascii="Arial" w:cs="Arial" w:eastAsia="Arial" w:hAnsi="Arial"/>
                <w:sz w:val="15"/>
                <w:szCs w:val="15"/>
                <w:b w:val="1"/>
                <w:bCs w:val="1"/>
                <w:color w:val="auto"/>
                <w:w w:val="91"/>
              </w:rPr>
              <w:t>Accumulated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2"/>
        </w:trPr>
        <w:tc>
          <w:tcPr>
            <w:tcW w:w="2300" w:type="dxa"/>
            <w:vAlign w:val="bottom"/>
          </w:tcPr>
          <w:p>
            <w:pPr>
              <w:spacing w:after="0"/>
              <w:rPr>
                <w:sz w:val="14"/>
                <w:szCs w:val="14"/>
                <w:color w:val="auto"/>
              </w:rPr>
            </w:pPr>
          </w:p>
        </w:tc>
        <w:tc>
          <w:tcPr>
            <w:tcW w:w="720" w:type="dxa"/>
            <w:vAlign w:val="bottom"/>
            <w:gridSpan w:val="2"/>
          </w:tcPr>
          <w:p>
            <w:pPr>
              <w:jc w:val="center"/>
              <w:spacing w:after="0" w:line="162" w:lineRule="exact"/>
              <w:rPr>
                <w:sz w:val="20"/>
                <w:szCs w:val="20"/>
                <w:color w:val="auto"/>
              </w:rPr>
            </w:pPr>
            <w:r>
              <w:rPr>
                <w:rFonts w:ascii="Arial" w:cs="Arial" w:eastAsia="Arial" w:hAnsi="Arial"/>
                <w:sz w:val="15"/>
                <w:szCs w:val="15"/>
                <w:b w:val="1"/>
                <w:bCs w:val="1"/>
                <w:color w:val="auto"/>
                <w:w w:val="92"/>
              </w:rPr>
              <w:t>Common</w:t>
            </w:r>
          </w:p>
        </w:tc>
        <w:tc>
          <w:tcPr>
            <w:tcW w:w="12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b w:val="1"/>
                <w:bCs w:val="1"/>
                <w:color w:val="auto"/>
                <w:w w:val="95"/>
              </w:rPr>
              <w:t>Additional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9"/>
              </w:rPr>
              <w:t>Other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2"/>
        </w:trPr>
        <w:tc>
          <w:tcPr>
            <w:tcW w:w="2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ind w:right="20"/>
              <w:spacing w:after="0" w:line="162" w:lineRule="exact"/>
              <w:rPr>
                <w:sz w:val="20"/>
                <w:szCs w:val="20"/>
                <w:color w:val="auto"/>
              </w:rPr>
            </w:pPr>
            <w:r>
              <w:rPr>
                <w:rFonts w:ascii="Arial" w:cs="Arial" w:eastAsia="Arial" w:hAnsi="Arial"/>
                <w:sz w:val="15"/>
                <w:szCs w:val="15"/>
                <w:b w:val="1"/>
                <w:bCs w:val="1"/>
                <w:color w:val="auto"/>
                <w:w w:val="92"/>
              </w:rPr>
              <w:t>Stock at</w:t>
            </w:r>
          </w:p>
        </w:tc>
        <w:tc>
          <w:tcPr>
            <w:tcW w:w="120" w:type="dxa"/>
            <w:vAlign w:val="bottom"/>
          </w:tcPr>
          <w:p>
            <w:pPr>
              <w:spacing w:after="0"/>
              <w:rPr>
                <w:sz w:val="14"/>
                <w:szCs w:val="14"/>
                <w:color w:val="auto"/>
              </w:rPr>
            </w:pPr>
          </w:p>
        </w:tc>
        <w:tc>
          <w:tcPr>
            <w:tcW w:w="740" w:type="dxa"/>
            <w:vAlign w:val="bottom"/>
          </w:tcPr>
          <w:p>
            <w:pPr>
              <w:jc w:val="right"/>
              <w:ind w:right="61"/>
              <w:spacing w:after="0" w:line="162" w:lineRule="exact"/>
              <w:rPr>
                <w:sz w:val="20"/>
                <w:szCs w:val="20"/>
                <w:color w:val="auto"/>
              </w:rPr>
            </w:pPr>
            <w:r>
              <w:rPr>
                <w:rFonts w:ascii="Arial" w:cs="Arial" w:eastAsia="Arial" w:hAnsi="Arial"/>
                <w:sz w:val="15"/>
                <w:szCs w:val="15"/>
                <w:b w:val="1"/>
                <w:bCs w:val="1"/>
                <w:color w:val="auto"/>
              </w:rPr>
              <w:t>Paid-in</w:t>
            </w:r>
          </w:p>
        </w:tc>
        <w:tc>
          <w:tcPr>
            <w:tcW w:w="120" w:type="dxa"/>
            <w:vAlign w:val="bottom"/>
          </w:tcPr>
          <w:p>
            <w:pPr>
              <w:spacing w:after="0"/>
              <w:rPr>
                <w:sz w:val="14"/>
                <w:szCs w:val="14"/>
                <w:color w:val="auto"/>
              </w:rPr>
            </w:pPr>
          </w:p>
        </w:tc>
        <w:tc>
          <w:tcPr>
            <w:tcW w:w="720" w:type="dxa"/>
            <w:vAlign w:val="bottom"/>
            <w:gridSpan w:val="2"/>
          </w:tcPr>
          <w:p>
            <w:pPr>
              <w:jc w:val="right"/>
              <w:spacing w:after="0" w:line="162" w:lineRule="exact"/>
              <w:rPr>
                <w:sz w:val="20"/>
                <w:szCs w:val="20"/>
                <w:color w:val="auto"/>
              </w:rPr>
            </w:pPr>
            <w:r>
              <w:rPr>
                <w:rFonts w:ascii="Arial" w:cs="Arial" w:eastAsia="Arial" w:hAnsi="Arial"/>
                <w:sz w:val="15"/>
                <w:szCs w:val="15"/>
                <w:b w:val="1"/>
                <w:bCs w:val="1"/>
                <w:color w:val="auto"/>
                <w:w w:val="97"/>
              </w:rPr>
              <w:t>Retained</w:t>
            </w:r>
          </w:p>
        </w:tc>
        <w:tc>
          <w:tcPr>
            <w:tcW w:w="1160" w:type="dxa"/>
            <w:vAlign w:val="bottom"/>
            <w:gridSpan w:val="3"/>
          </w:tcPr>
          <w:p>
            <w:pPr>
              <w:jc w:val="center"/>
              <w:ind w:left="24"/>
              <w:spacing w:after="0" w:line="162" w:lineRule="exact"/>
              <w:rPr>
                <w:sz w:val="20"/>
                <w:szCs w:val="20"/>
                <w:color w:val="auto"/>
              </w:rPr>
            </w:pPr>
            <w:r>
              <w:rPr>
                <w:rFonts w:ascii="Arial" w:cs="Arial" w:eastAsia="Arial" w:hAnsi="Arial"/>
                <w:sz w:val="15"/>
                <w:szCs w:val="15"/>
                <w:b w:val="1"/>
                <w:bCs w:val="1"/>
                <w:color w:val="auto"/>
                <w:w w:val="90"/>
              </w:rPr>
              <w:t>Comprehensive</w:t>
            </w:r>
          </w:p>
        </w:tc>
        <w:tc>
          <w:tcPr>
            <w:tcW w:w="1020" w:type="dxa"/>
            <w:vAlign w:val="bottom"/>
            <w:gridSpan w:val="3"/>
          </w:tcPr>
          <w:p>
            <w:pPr>
              <w:ind w:left="120"/>
              <w:spacing w:after="0" w:line="162" w:lineRule="exact"/>
              <w:rPr>
                <w:sz w:val="20"/>
                <w:szCs w:val="20"/>
                <w:color w:val="auto"/>
              </w:rPr>
            </w:pPr>
            <w:r>
              <w:rPr>
                <w:rFonts w:ascii="Arial" w:cs="Arial" w:eastAsia="Arial" w:hAnsi="Arial"/>
                <w:sz w:val="15"/>
                <w:szCs w:val="15"/>
                <w:b w:val="1"/>
                <w:bCs w:val="1"/>
                <w:color w:val="auto"/>
                <w:w w:val="89"/>
              </w:rPr>
              <w:t>Stockholders'</w:t>
            </w:r>
          </w:p>
        </w:tc>
        <w:tc>
          <w:tcPr>
            <w:tcW w:w="120" w:type="dxa"/>
            <w:vAlign w:val="bottom"/>
          </w:tcPr>
          <w:p>
            <w:pPr>
              <w:spacing w:after="0"/>
              <w:rPr>
                <w:sz w:val="14"/>
                <w:szCs w:val="14"/>
                <w:color w:val="auto"/>
              </w:rPr>
            </w:pPr>
          </w:p>
        </w:tc>
        <w:tc>
          <w:tcPr>
            <w:tcW w:w="1000" w:type="dxa"/>
            <w:vAlign w:val="bottom"/>
            <w:gridSpan w:val="2"/>
          </w:tcPr>
          <w:p>
            <w:pPr>
              <w:spacing w:after="0" w:line="162" w:lineRule="exact"/>
              <w:rPr>
                <w:sz w:val="20"/>
                <w:szCs w:val="20"/>
                <w:color w:val="auto"/>
              </w:rPr>
            </w:pPr>
            <w:r>
              <w:rPr>
                <w:rFonts w:ascii="Arial" w:cs="Arial" w:eastAsia="Arial" w:hAnsi="Arial"/>
                <w:sz w:val="15"/>
                <w:szCs w:val="15"/>
                <w:b w:val="1"/>
                <w:bCs w:val="1"/>
                <w:color w:val="auto"/>
                <w:w w:val="91"/>
              </w:rPr>
              <w:t>Noncontrolling</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140"/>
              <w:spacing w:after="0" w:line="162" w:lineRule="exact"/>
              <w:rPr>
                <w:sz w:val="20"/>
                <w:szCs w:val="20"/>
                <w:color w:val="auto"/>
              </w:rPr>
            </w:pPr>
            <w:r>
              <w:rPr>
                <w:rFonts w:ascii="Arial" w:cs="Arial" w:eastAsia="Arial" w:hAnsi="Arial"/>
                <w:sz w:val="15"/>
                <w:szCs w:val="15"/>
                <w:b w:val="1"/>
                <w:bCs w:val="1"/>
                <w:color w:val="auto"/>
              </w:rPr>
              <w:t>Total</w:t>
            </w:r>
          </w:p>
        </w:tc>
      </w:tr>
      <w:tr>
        <w:trPr>
          <w:trHeight w:val="179"/>
        </w:trPr>
        <w:tc>
          <w:tcPr>
            <w:tcW w:w="23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9"/>
              </w:rPr>
              <w:t>Par</w:t>
            </w:r>
          </w:p>
        </w:tc>
        <w:tc>
          <w:tcPr>
            <w:tcW w:w="12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ind w:right="61"/>
              <w:spacing w:after="0"/>
              <w:rPr>
                <w:sz w:val="20"/>
                <w:szCs w:val="20"/>
                <w:color w:val="auto"/>
              </w:rPr>
            </w:pPr>
            <w:r>
              <w:rPr>
                <w:rFonts w:ascii="Arial" w:cs="Arial" w:eastAsia="Arial" w:hAnsi="Arial"/>
                <w:sz w:val="15"/>
                <w:szCs w:val="15"/>
                <w:b w:val="1"/>
                <w:bCs w:val="1"/>
                <w:color w:val="auto"/>
              </w:rPr>
              <w:t>Capital</w:t>
            </w:r>
          </w:p>
        </w:tc>
        <w:tc>
          <w:tcPr>
            <w:tcW w:w="1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9"/>
              </w:rPr>
              <w:t>Earnings</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Income</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60"/>
              <w:spacing w:after="0"/>
              <w:rPr>
                <w:sz w:val="20"/>
                <w:szCs w:val="20"/>
                <w:color w:val="auto"/>
              </w:rPr>
            </w:pPr>
            <w:r>
              <w:rPr>
                <w:rFonts w:ascii="Arial" w:cs="Arial" w:eastAsia="Arial" w:hAnsi="Arial"/>
                <w:sz w:val="15"/>
                <w:szCs w:val="15"/>
                <w:b w:val="1"/>
                <w:bCs w:val="1"/>
                <w:color w:val="auto"/>
              </w:rPr>
              <w:t>Equity</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80"/>
              <w:spacing w:after="0"/>
              <w:rPr>
                <w:sz w:val="20"/>
                <w:szCs w:val="20"/>
                <w:color w:val="auto"/>
              </w:rPr>
            </w:pPr>
            <w:r>
              <w:rPr>
                <w:rFonts w:ascii="Arial" w:cs="Arial" w:eastAsia="Arial" w:hAnsi="Arial"/>
                <w:sz w:val="15"/>
                <w:szCs w:val="15"/>
                <w:b w:val="1"/>
                <w:bCs w:val="1"/>
                <w:color w:val="auto"/>
              </w:rPr>
              <w:t>Interest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0"/>
              <w:spacing w:after="0"/>
              <w:rPr>
                <w:sz w:val="20"/>
                <w:szCs w:val="20"/>
                <w:color w:val="auto"/>
              </w:rPr>
            </w:pPr>
            <w:r>
              <w:rPr>
                <w:rFonts w:ascii="Arial" w:cs="Arial" w:eastAsia="Arial" w:hAnsi="Arial"/>
                <w:sz w:val="15"/>
                <w:szCs w:val="15"/>
                <w:b w:val="1"/>
                <w:bCs w:val="1"/>
                <w:color w:val="auto"/>
              </w:rPr>
              <w:t>Equity</w:t>
            </w:r>
          </w:p>
        </w:tc>
      </w:tr>
      <w:tr>
        <w:trPr>
          <w:trHeight w:val="196"/>
        </w:trPr>
        <w:tc>
          <w:tcPr>
            <w:tcW w:w="2300" w:type="dxa"/>
            <w:vAlign w:val="bottom"/>
            <w:shd w:val="clear" w:color="auto" w:fill="CCEEFF"/>
          </w:tcPr>
          <w:p>
            <w:pPr>
              <w:spacing w:after="0"/>
              <w:rPr>
                <w:sz w:val="20"/>
                <w:szCs w:val="20"/>
                <w:color w:val="auto"/>
              </w:rPr>
            </w:pPr>
            <w:r>
              <w:rPr>
                <w:rFonts w:ascii="Arial" w:cs="Arial" w:eastAsia="Arial" w:hAnsi="Arial"/>
                <w:sz w:val="16"/>
                <w:szCs w:val="16"/>
                <w:color w:val="auto"/>
              </w:rPr>
              <w:t>Balance July 1, 2022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$ 208,706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222,125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32,631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254,756</w:t>
            </w:r>
          </w:p>
        </w:tc>
      </w:tr>
      <w:tr>
        <w:trPr>
          <w:trHeight w:val="203"/>
        </w:trPr>
        <w:tc>
          <w:tcPr>
            <w:tcW w:w="2300" w:type="dxa"/>
            <w:vAlign w:val="bottom"/>
          </w:tcPr>
          <w:p>
            <w:pPr>
              <w:spacing w:after="0"/>
              <w:rPr>
                <w:sz w:val="20"/>
                <w:szCs w:val="20"/>
                <w:color w:val="auto"/>
              </w:rPr>
            </w:pPr>
            <w:r>
              <w:rPr>
                <w:rFonts w:ascii="Arial" w:cs="Arial" w:eastAsia="Arial" w:hAnsi="Arial"/>
                <w:sz w:val="16"/>
                <w:szCs w:val="16"/>
                <w:color w:val="auto"/>
              </w:rPr>
              <w:t>Net Income</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9,770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9,770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11,170</w:t>
            </w:r>
          </w:p>
        </w:tc>
      </w:tr>
      <w:tr>
        <w:trPr>
          <w:trHeight w:val="203"/>
        </w:trPr>
        <w:tc>
          <w:tcPr>
            <w:tcW w:w="2300" w:type="dxa"/>
            <w:vAlign w:val="bottom"/>
            <w:shd w:val="clear" w:color="auto" w:fill="CCEEFF"/>
          </w:tcPr>
          <w:p>
            <w:pPr>
              <w:spacing w:after="0"/>
              <w:rPr>
                <w:sz w:val="20"/>
                <w:szCs w:val="20"/>
                <w:color w:val="auto"/>
              </w:rPr>
            </w:pPr>
            <w:r>
              <w:rPr>
                <w:rFonts w:ascii="Arial" w:cs="Arial" w:eastAsia="Arial" w:hAnsi="Arial"/>
                <w:sz w:val="16"/>
                <w:szCs w:val="16"/>
                <w:color w:val="auto"/>
              </w:rPr>
              <w:t>Stock Issuance to Directors</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r>
      <w:tr>
        <w:trPr>
          <w:trHeight w:val="193"/>
        </w:trPr>
        <w:tc>
          <w:tcPr>
            <w:tcW w:w="2300" w:type="dxa"/>
            <w:vAlign w:val="bottom"/>
          </w:tcPr>
          <w:p>
            <w:pPr>
              <w:spacing w:after="0"/>
              <w:rPr>
                <w:sz w:val="20"/>
                <w:szCs w:val="20"/>
                <w:color w:val="auto"/>
              </w:rPr>
            </w:pPr>
            <w:r>
              <w:rPr>
                <w:rFonts w:ascii="Arial" w:cs="Arial" w:eastAsia="Arial" w:hAnsi="Arial"/>
                <w:sz w:val="16"/>
                <w:szCs w:val="16"/>
                <w:color w:val="auto"/>
              </w:rPr>
              <w:t>Stock Issuance, Net of Equity</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6"/>
        </w:trPr>
        <w:tc>
          <w:tcPr>
            <w:tcW w:w="2300" w:type="dxa"/>
            <w:vAlign w:val="bottom"/>
          </w:tcPr>
          <w:p>
            <w:pPr>
              <w:spacing w:after="0"/>
              <w:rPr>
                <w:sz w:val="20"/>
                <w:szCs w:val="20"/>
                <w:color w:val="auto"/>
              </w:rPr>
            </w:pPr>
            <w:r>
              <w:rPr>
                <w:rFonts w:ascii="Arial" w:cs="Arial" w:eastAsia="Arial" w:hAnsi="Arial"/>
                <w:sz w:val="16"/>
                <w:szCs w:val="16"/>
                <w:color w:val="auto"/>
              </w:rPr>
              <w:t>Issuance Costs</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812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812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812</w:t>
            </w:r>
          </w:p>
        </w:tc>
      </w:tr>
      <w:tr>
        <w:trPr>
          <w:trHeight w:val="199"/>
        </w:trPr>
        <w:tc>
          <w:tcPr>
            <w:tcW w:w="2300" w:type="dxa"/>
            <w:vAlign w:val="bottom"/>
            <w:shd w:val="clear" w:color="auto" w:fill="CCEEFF"/>
          </w:tcPr>
          <w:p>
            <w:pPr>
              <w:spacing w:after="0"/>
              <w:rPr>
                <w:sz w:val="20"/>
                <w:szCs w:val="20"/>
                <w:color w:val="auto"/>
              </w:rPr>
            </w:pPr>
            <w:r>
              <w:rPr>
                <w:rFonts w:ascii="Arial" w:cs="Arial" w:eastAsia="Arial" w:hAnsi="Arial"/>
                <w:sz w:val="16"/>
                <w:szCs w:val="16"/>
                <w:color w:val="auto"/>
              </w:rPr>
              <w:t>Cash Dividends ($0.275 per</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12"/>
        </w:trPr>
        <w:tc>
          <w:tcPr>
            <w:tcW w:w="2300" w:type="dxa"/>
            <w:vAlign w:val="bottom"/>
            <w:shd w:val="clear" w:color="auto" w:fill="CCEEFF"/>
          </w:tcPr>
          <w:p>
            <w:pPr>
              <w:spacing w:after="0"/>
              <w:rPr>
                <w:sz w:val="20"/>
                <w:szCs w:val="20"/>
                <w:color w:val="auto"/>
              </w:rPr>
            </w:pPr>
            <w:r>
              <w:rPr>
                <w:rFonts w:ascii="Arial" w:cs="Arial" w:eastAsia="Arial" w:hAnsi="Arial"/>
                <w:sz w:val="16"/>
                <w:szCs w:val="16"/>
                <w:color w:val="auto"/>
              </w:rPr>
              <w:t>share)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(3,744)</w:t>
            </w:r>
          </w:p>
        </w:tc>
      </w:tr>
      <w:tr>
        <w:trPr>
          <w:trHeight w:val="203"/>
        </w:trPr>
        <w:tc>
          <w:tcPr>
            <w:tcW w:w="23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Comprehensive Income</w:t>
            </w: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4,762</w:t>
            </w:r>
          </w:p>
        </w:tc>
      </w:tr>
      <w:tr>
        <w:trPr>
          <w:trHeight w:val="196"/>
        </w:trPr>
        <w:tc>
          <w:tcPr>
            <w:tcW w:w="2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September 30, 2022</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$ 209,597</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8,796</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15,761</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234,273</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33,562</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267,835</w:t>
            </w:r>
          </w:p>
        </w:tc>
      </w:tr>
      <w:tr>
        <w:trPr>
          <w:trHeight w:val="20"/>
        </w:trPr>
        <w:tc>
          <w:tcPr>
            <w:tcW w:w="2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00" w:right="1600"/>
        <w:spacing w:after="0" w:line="261" w:lineRule="auto"/>
        <w:rPr>
          <w:sz w:val="20"/>
          <w:szCs w:val="20"/>
          <w:color w:val="auto"/>
        </w:rPr>
      </w:pPr>
      <w:r>
        <w:rPr>
          <w:rFonts w:ascii="Arial" w:cs="Arial" w:eastAsia="Arial" w:hAnsi="Arial"/>
          <w:sz w:val="17"/>
          <w:szCs w:val="17"/>
          <w:color w:val="auto"/>
        </w:rPr>
        <w:t>ALPINE INCOME PROPERTY TRUST, INC. CONSOLIDATED STATEMENTS OF STOCKHOLDERS’ EQUITY (Continued) (Unaudited, in thousands, except per share data)</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 the nine months ended September 30, 2023:</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1"/>
              </w:rPr>
              <w:t>Accumulated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2"/>
        </w:trPr>
        <w:tc>
          <w:tcPr>
            <w:tcW w:w="2300" w:type="dxa"/>
            <w:vAlign w:val="bottom"/>
          </w:tcPr>
          <w:p>
            <w:pPr>
              <w:spacing w:after="0"/>
              <w:rPr>
                <w:sz w:val="14"/>
                <w:szCs w:val="14"/>
                <w:color w:val="auto"/>
              </w:rPr>
            </w:pPr>
          </w:p>
        </w:tc>
        <w:tc>
          <w:tcPr>
            <w:tcW w:w="860" w:type="dxa"/>
            <w:vAlign w:val="bottom"/>
            <w:gridSpan w:val="3"/>
          </w:tcPr>
          <w:p>
            <w:pPr>
              <w:jc w:val="center"/>
              <w:ind w:right="120"/>
              <w:spacing w:after="0" w:line="162" w:lineRule="exact"/>
              <w:rPr>
                <w:sz w:val="20"/>
                <w:szCs w:val="20"/>
                <w:color w:val="auto"/>
              </w:rPr>
            </w:pPr>
            <w:r>
              <w:rPr>
                <w:rFonts w:ascii="Arial" w:cs="Arial" w:eastAsia="Arial" w:hAnsi="Arial"/>
                <w:sz w:val="15"/>
                <w:szCs w:val="15"/>
                <w:b w:val="1"/>
                <w:bCs w:val="1"/>
                <w:color w:val="auto"/>
                <w:w w:val="95"/>
              </w:rPr>
              <w:t>Common</w:t>
            </w:r>
          </w:p>
        </w:tc>
        <w:tc>
          <w:tcPr>
            <w:tcW w:w="840" w:type="dxa"/>
            <w:vAlign w:val="bottom"/>
            <w:gridSpan w:val="2"/>
          </w:tcPr>
          <w:p>
            <w:pPr>
              <w:jc w:val="right"/>
              <w:ind w:right="140"/>
              <w:spacing w:after="0" w:line="162" w:lineRule="exact"/>
              <w:rPr>
                <w:sz w:val="20"/>
                <w:szCs w:val="20"/>
                <w:color w:val="auto"/>
              </w:rPr>
            </w:pPr>
            <w:r>
              <w:rPr>
                <w:rFonts w:ascii="Arial" w:cs="Arial" w:eastAsia="Arial" w:hAnsi="Arial"/>
                <w:sz w:val="15"/>
                <w:szCs w:val="15"/>
                <w:b w:val="1"/>
                <w:bCs w:val="1"/>
                <w:color w:val="auto"/>
                <w:w w:val="92"/>
              </w:rPr>
              <w:t>Additional</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00"/>
              <w:spacing w:after="0" w:line="162" w:lineRule="exact"/>
              <w:rPr>
                <w:sz w:val="20"/>
                <w:szCs w:val="20"/>
                <w:color w:val="auto"/>
              </w:rPr>
            </w:pPr>
            <w:r>
              <w:rPr>
                <w:rFonts w:ascii="Arial" w:cs="Arial" w:eastAsia="Arial" w:hAnsi="Arial"/>
                <w:sz w:val="15"/>
                <w:szCs w:val="15"/>
                <w:b w:val="1"/>
                <w:bCs w:val="1"/>
                <w:color w:val="auto"/>
                <w:w w:val="94"/>
              </w:rPr>
              <w:t>Other</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2"/>
        </w:trPr>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92"/>
              </w:rPr>
              <w:t>Stock at</w:t>
            </w:r>
          </w:p>
        </w:tc>
        <w:tc>
          <w:tcPr>
            <w:tcW w:w="840" w:type="dxa"/>
            <w:vAlign w:val="bottom"/>
            <w:gridSpan w:val="2"/>
          </w:tcPr>
          <w:p>
            <w:pPr>
              <w:jc w:val="right"/>
              <w:ind w:right="240"/>
              <w:spacing w:after="0" w:line="162" w:lineRule="exact"/>
              <w:rPr>
                <w:sz w:val="20"/>
                <w:szCs w:val="20"/>
                <w:color w:val="auto"/>
              </w:rPr>
            </w:pPr>
            <w:r>
              <w:rPr>
                <w:rFonts w:ascii="Arial" w:cs="Arial" w:eastAsia="Arial" w:hAnsi="Arial"/>
                <w:sz w:val="15"/>
                <w:szCs w:val="15"/>
                <w:b w:val="1"/>
                <w:bCs w:val="1"/>
                <w:color w:val="auto"/>
              </w:rPr>
              <w:t>Paid-in</w:t>
            </w:r>
          </w:p>
        </w:tc>
        <w:tc>
          <w:tcPr>
            <w:tcW w:w="860" w:type="dxa"/>
            <w:vAlign w:val="bottom"/>
            <w:gridSpan w:val="3"/>
          </w:tcPr>
          <w:p>
            <w:pPr>
              <w:ind w:left="80"/>
              <w:spacing w:after="0" w:line="162" w:lineRule="exact"/>
              <w:rPr>
                <w:sz w:val="20"/>
                <w:szCs w:val="20"/>
                <w:color w:val="auto"/>
              </w:rPr>
            </w:pPr>
            <w:r>
              <w:rPr>
                <w:rFonts w:ascii="Arial" w:cs="Arial" w:eastAsia="Arial" w:hAnsi="Arial"/>
                <w:sz w:val="15"/>
                <w:szCs w:val="15"/>
                <w:b w:val="1"/>
                <w:bCs w:val="1"/>
                <w:color w:val="auto"/>
              </w:rPr>
              <w:t>Retained</w:t>
            </w:r>
          </w:p>
        </w:tc>
        <w:tc>
          <w:tcPr>
            <w:tcW w:w="1140" w:type="dxa"/>
            <w:vAlign w:val="bottom"/>
            <w:gridSpan w:val="3"/>
          </w:tcPr>
          <w:p>
            <w:pPr>
              <w:jc w:val="center"/>
              <w:ind w:right="120"/>
              <w:spacing w:after="0" w:line="162" w:lineRule="exact"/>
              <w:rPr>
                <w:sz w:val="20"/>
                <w:szCs w:val="20"/>
                <w:color w:val="auto"/>
              </w:rPr>
            </w:pPr>
            <w:r>
              <w:rPr>
                <w:rFonts w:ascii="Arial" w:cs="Arial" w:eastAsia="Arial" w:hAnsi="Arial"/>
                <w:sz w:val="15"/>
                <w:szCs w:val="15"/>
                <w:b w:val="1"/>
                <w:bCs w:val="1"/>
                <w:color w:val="auto"/>
                <w:w w:val="90"/>
              </w:rPr>
              <w:t>Comprehensive</w:t>
            </w:r>
          </w:p>
        </w:tc>
        <w:tc>
          <w:tcPr>
            <w:tcW w:w="1020" w:type="dxa"/>
            <w:vAlign w:val="bottom"/>
            <w:gridSpan w:val="3"/>
          </w:tcPr>
          <w:p>
            <w:pPr>
              <w:ind w:left="20"/>
              <w:spacing w:after="0" w:line="162" w:lineRule="exact"/>
              <w:rPr>
                <w:sz w:val="20"/>
                <w:szCs w:val="20"/>
                <w:color w:val="auto"/>
              </w:rPr>
            </w:pPr>
            <w:r>
              <w:rPr>
                <w:rFonts w:ascii="Arial" w:cs="Arial" w:eastAsia="Arial" w:hAnsi="Arial"/>
                <w:sz w:val="15"/>
                <w:szCs w:val="15"/>
                <w:b w:val="1"/>
                <w:bCs w:val="1"/>
                <w:color w:val="auto"/>
                <w:w w:val="99"/>
              </w:rPr>
              <w:t>Stockholders'</w:t>
            </w:r>
          </w:p>
        </w:tc>
        <w:tc>
          <w:tcPr>
            <w:tcW w:w="1120" w:type="dxa"/>
            <w:vAlign w:val="bottom"/>
            <w:gridSpan w:val="3"/>
          </w:tcPr>
          <w:p>
            <w:pPr>
              <w:ind w:left="20"/>
              <w:spacing w:after="0" w:line="162" w:lineRule="exact"/>
              <w:rPr>
                <w:sz w:val="20"/>
                <w:szCs w:val="20"/>
                <w:color w:val="auto"/>
              </w:rPr>
            </w:pPr>
            <w:r>
              <w:rPr>
                <w:rFonts w:ascii="Arial" w:cs="Arial" w:eastAsia="Arial" w:hAnsi="Arial"/>
                <w:sz w:val="15"/>
                <w:szCs w:val="15"/>
                <w:b w:val="1"/>
                <w:bCs w:val="1"/>
                <w:color w:val="auto"/>
              </w:rPr>
              <w:t>Noncontrolling</w:t>
            </w:r>
          </w:p>
        </w:tc>
        <w:tc>
          <w:tcPr>
            <w:tcW w:w="140" w:type="dxa"/>
            <w:vAlign w:val="bottom"/>
          </w:tcPr>
          <w:p>
            <w:pPr>
              <w:spacing w:after="0"/>
              <w:rPr>
                <w:sz w:val="14"/>
                <w:szCs w:val="14"/>
                <w:color w:val="auto"/>
              </w:rPr>
            </w:pPr>
          </w:p>
        </w:tc>
        <w:tc>
          <w:tcPr>
            <w:tcW w:w="620" w:type="dxa"/>
            <w:vAlign w:val="bottom"/>
          </w:tcPr>
          <w:p>
            <w:pPr>
              <w:jc w:val="right"/>
              <w:ind w:right="120"/>
              <w:spacing w:after="0" w:line="162" w:lineRule="exact"/>
              <w:rPr>
                <w:sz w:val="20"/>
                <w:szCs w:val="20"/>
                <w:color w:val="auto"/>
              </w:rPr>
            </w:pPr>
            <w:r>
              <w:rPr>
                <w:rFonts w:ascii="Arial" w:cs="Arial" w:eastAsia="Arial" w:hAnsi="Arial"/>
                <w:sz w:val="15"/>
                <w:szCs w:val="15"/>
                <w:b w:val="1"/>
                <w:bCs w:val="1"/>
                <w:color w:val="auto"/>
              </w:rPr>
              <w:t>Total</w:t>
            </w:r>
          </w:p>
        </w:tc>
      </w:tr>
      <w:tr>
        <w:trPr>
          <w:trHeight w:val="179"/>
        </w:trPr>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0"/>
              </w:rPr>
              <w:t>Par</w:t>
            </w:r>
          </w:p>
        </w:tc>
        <w:tc>
          <w:tcPr>
            <w:tcW w:w="84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Capital</w:t>
            </w:r>
          </w:p>
        </w:tc>
        <w:tc>
          <w:tcPr>
            <w:tcW w:w="860" w:type="dxa"/>
            <w:vAlign w:val="bottom"/>
            <w:gridSpan w:val="3"/>
          </w:tcPr>
          <w:p>
            <w:pPr>
              <w:ind w:left="80"/>
              <w:spacing w:after="0"/>
              <w:rPr>
                <w:sz w:val="20"/>
                <w:szCs w:val="20"/>
                <w:color w:val="auto"/>
              </w:rPr>
            </w:pPr>
            <w:r>
              <w:rPr>
                <w:rFonts w:ascii="Arial" w:cs="Arial" w:eastAsia="Arial" w:hAnsi="Arial"/>
                <w:sz w:val="15"/>
                <w:szCs w:val="15"/>
                <w:b w:val="1"/>
                <w:bCs w:val="1"/>
                <w:color w:val="auto"/>
              </w:rPr>
              <w:t>Earnings</w:t>
            </w:r>
          </w:p>
        </w:tc>
        <w:tc>
          <w:tcPr>
            <w:tcW w:w="8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5"/>
              </w:rPr>
              <w:t>Income</w:t>
            </w:r>
          </w:p>
        </w:tc>
        <w:tc>
          <w:tcPr>
            <w:tcW w:w="160" w:type="dxa"/>
            <w:vAlign w:val="bottom"/>
          </w:tcPr>
          <w:p>
            <w:pPr>
              <w:spacing w:after="0"/>
              <w:rPr>
                <w:sz w:val="15"/>
                <w:szCs w:val="15"/>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Equity</w:t>
            </w:r>
          </w:p>
        </w:tc>
        <w:tc>
          <w:tcPr>
            <w:tcW w:w="180" w:type="dxa"/>
            <w:vAlign w:val="bottom"/>
          </w:tcPr>
          <w:p>
            <w:pPr>
              <w:spacing w:after="0"/>
              <w:rPr>
                <w:sz w:val="15"/>
                <w:szCs w:val="15"/>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rPr>
              <w:t>Interest</w:t>
            </w:r>
          </w:p>
        </w:tc>
        <w:tc>
          <w:tcPr>
            <w:tcW w:w="140" w:type="dxa"/>
            <w:vAlign w:val="bottom"/>
          </w:tcPr>
          <w:p>
            <w:pPr>
              <w:spacing w:after="0"/>
              <w:rPr>
                <w:sz w:val="15"/>
                <w:szCs w:val="15"/>
                <w:color w:val="auto"/>
              </w:rPr>
            </w:pPr>
          </w:p>
        </w:tc>
        <w:tc>
          <w:tcPr>
            <w:tcW w:w="620" w:type="dxa"/>
            <w:vAlign w:val="bottom"/>
          </w:tcPr>
          <w:p>
            <w:pPr>
              <w:jc w:val="right"/>
              <w:ind w:right="60"/>
              <w:spacing w:after="0"/>
              <w:rPr>
                <w:sz w:val="20"/>
                <w:szCs w:val="20"/>
                <w:color w:val="auto"/>
              </w:rPr>
            </w:pPr>
            <w:r>
              <w:rPr>
                <w:rFonts w:ascii="Arial" w:cs="Arial" w:eastAsia="Arial" w:hAnsi="Arial"/>
                <w:sz w:val="15"/>
                <w:szCs w:val="15"/>
                <w:b w:val="1"/>
                <w:bCs w:val="1"/>
                <w:color w:val="auto"/>
              </w:rPr>
              <w:t>Equity</w:t>
            </w:r>
          </w:p>
        </w:tc>
      </w:tr>
      <w:tr>
        <w:trPr>
          <w:trHeight w:val="196"/>
        </w:trPr>
        <w:tc>
          <w:tcPr>
            <w:tcW w:w="2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January 1, 2023</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$ 236,841</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10,042</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14,601</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261,618</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33,757</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295,375</w:t>
            </w:r>
          </w:p>
        </w:tc>
      </w:tr>
      <w:tr>
        <w:trPr>
          <w:trHeight w:val="203"/>
        </w:trPr>
        <w:tc>
          <w:tcPr>
            <w:tcW w:w="23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2,582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2,582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2,896</w:t>
            </w:r>
          </w:p>
        </w:tc>
      </w:tr>
      <w:tr>
        <w:trPr>
          <w:trHeight w:val="203"/>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Repurchases</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(5,073)</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(5,076)</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(5,076)</w:t>
            </w:r>
          </w:p>
        </w:tc>
      </w:tr>
      <w:tr>
        <w:trPr>
          <w:trHeight w:val="203"/>
        </w:trPr>
        <w:tc>
          <w:tcPr>
            <w:tcW w:w="2300" w:type="dxa"/>
            <w:vAlign w:val="bottom"/>
          </w:tcPr>
          <w:p>
            <w:pPr>
              <w:ind w:left="20"/>
              <w:spacing w:after="0"/>
              <w:rPr>
                <w:sz w:val="20"/>
                <w:szCs w:val="20"/>
                <w:color w:val="auto"/>
              </w:rPr>
            </w:pPr>
            <w:r>
              <w:rPr>
                <w:rFonts w:ascii="Arial" w:cs="Arial" w:eastAsia="Arial" w:hAnsi="Arial"/>
                <w:sz w:val="16"/>
                <w:szCs w:val="16"/>
                <w:color w:val="auto"/>
              </w:rPr>
              <w:t>Stock Issuance to Directors</w:t>
            </w:r>
          </w:p>
        </w:tc>
        <w:tc>
          <w:tcPr>
            <w:tcW w:w="10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224</w:t>
            </w:r>
          </w:p>
        </w:tc>
      </w:tr>
      <w:tr>
        <w:trPr>
          <w:trHeight w:val="193"/>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Issuance, Net of Equity</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212"/>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Costs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12,308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12,315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12,315</w:t>
            </w:r>
          </w:p>
        </w:tc>
      </w:tr>
      <w:tr>
        <w:trPr>
          <w:trHeight w:val="193"/>
        </w:trPr>
        <w:tc>
          <w:tcPr>
            <w:tcW w:w="2300" w:type="dxa"/>
            <w:vAlign w:val="bottom"/>
          </w:tcPr>
          <w:p>
            <w:pPr>
              <w:ind w:left="20"/>
              <w:spacing w:after="0"/>
              <w:rPr>
                <w:sz w:val="20"/>
                <w:szCs w:val="20"/>
                <w:color w:val="auto"/>
              </w:rPr>
            </w:pPr>
            <w:r>
              <w:rPr>
                <w:rFonts w:ascii="Arial" w:cs="Arial" w:eastAsia="Arial" w:hAnsi="Arial"/>
                <w:sz w:val="16"/>
                <w:szCs w:val="16"/>
                <w:color w:val="auto"/>
              </w:rPr>
              <w:t>Cash Dividends ($0.825 per</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09"/>
        </w:trPr>
        <w:tc>
          <w:tcPr>
            <w:tcW w:w="2300" w:type="dxa"/>
            <w:vAlign w:val="bottom"/>
          </w:tcPr>
          <w:p>
            <w:pPr>
              <w:ind w:left="20"/>
              <w:spacing w:after="0"/>
              <w:rPr>
                <w:sz w:val="20"/>
                <w:szCs w:val="20"/>
                <w:color w:val="auto"/>
              </w:rPr>
            </w:pPr>
            <w:r>
              <w:rPr>
                <w:rFonts w:ascii="Arial" w:cs="Arial" w:eastAsia="Arial" w:hAnsi="Arial"/>
                <w:sz w:val="16"/>
                <w:szCs w:val="16"/>
                <w:color w:val="auto"/>
              </w:rPr>
              <w:t>share)</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w w:val="97"/>
              </w:rPr>
              <w:t>(11,549)</w:t>
            </w:r>
          </w:p>
        </w:tc>
        <w:tc>
          <w:tcPr>
            <w:tcW w:w="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(11,549)</w:t>
            </w: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(1,405)</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(12,954)</w:t>
            </w:r>
          </w:p>
        </w:tc>
      </w:tr>
      <w:tr>
        <w:trPr>
          <w:trHeight w:val="206"/>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3,105</w:t>
            </w:r>
          </w:p>
        </w:tc>
      </w:tr>
      <w:tr>
        <w:trPr>
          <w:trHeight w:val="196"/>
        </w:trPr>
        <w:tc>
          <w:tcPr>
            <w:tcW w:w="2300" w:type="dxa"/>
            <w:vAlign w:val="bottom"/>
          </w:tcPr>
          <w:p>
            <w:pPr>
              <w:ind w:left="20"/>
              <w:spacing w:after="0"/>
              <w:rPr>
                <w:sz w:val="20"/>
                <w:szCs w:val="20"/>
                <w:color w:val="auto"/>
              </w:rPr>
            </w:pPr>
            <w:r>
              <w:rPr>
                <w:rFonts w:ascii="Arial" w:cs="Arial" w:eastAsia="Arial" w:hAnsi="Arial"/>
                <w:sz w:val="16"/>
                <w:szCs w:val="16"/>
                <w:color w:val="auto"/>
              </w:rPr>
              <w:t>Balance September 30, 2023</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2"/>
              </w:rPr>
              <w:t>$ 244,300</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1,075</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17,706</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263,219</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32,666</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6"/>
              </w:rPr>
              <w:t>295,885</w:t>
            </w:r>
          </w:p>
        </w:tc>
      </w:tr>
      <w:tr>
        <w:trPr>
          <w:trHeight w:val="20"/>
        </w:trPr>
        <w:tc>
          <w:tcPr>
            <w:tcW w:w="2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 the nine months ended September 30, 2022:</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1"/>
              </w:rPr>
              <w:t>Retained</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62"/>
        </w:trPr>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center"/>
              <w:ind w:right="120"/>
              <w:spacing w:after="0" w:line="162" w:lineRule="exact"/>
              <w:rPr>
                <w:sz w:val="20"/>
                <w:szCs w:val="20"/>
                <w:color w:val="auto"/>
              </w:rPr>
            </w:pPr>
            <w:r>
              <w:rPr>
                <w:rFonts w:ascii="Arial" w:cs="Arial" w:eastAsia="Arial" w:hAnsi="Arial"/>
                <w:sz w:val="15"/>
                <w:szCs w:val="15"/>
                <w:b w:val="1"/>
                <w:bCs w:val="1"/>
                <w:color w:val="auto"/>
                <w:w w:val="90"/>
              </w:rPr>
              <w:t>Earnings</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2"/>
        </w:trPr>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center"/>
              <w:ind w:right="120"/>
              <w:spacing w:after="0" w:line="162" w:lineRule="exact"/>
              <w:rPr>
                <w:sz w:val="20"/>
                <w:szCs w:val="20"/>
                <w:color w:val="auto"/>
              </w:rPr>
            </w:pPr>
            <w:r>
              <w:rPr>
                <w:rFonts w:ascii="Arial" w:cs="Arial" w:eastAsia="Arial" w:hAnsi="Arial"/>
                <w:sz w:val="15"/>
                <w:szCs w:val="15"/>
                <w:b w:val="1"/>
                <w:bCs w:val="1"/>
                <w:color w:val="auto"/>
                <w:w w:val="91"/>
              </w:rPr>
              <w:t>(Dividends</w:t>
            </w:r>
          </w:p>
        </w:tc>
        <w:tc>
          <w:tcPr>
            <w:tcW w:w="80" w:type="dxa"/>
            <w:vAlign w:val="bottom"/>
          </w:tcPr>
          <w:p>
            <w:pPr>
              <w:spacing w:after="0"/>
              <w:rPr>
                <w:sz w:val="14"/>
                <w:szCs w:val="14"/>
                <w:color w:val="auto"/>
              </w:rPr>
            </w:pPr>
          </w:p>
        </w:tc>
        <w:tc>
          <w:tcPr>
            <w:tcW w:w="1060" w:type="dxa"/>
            <w:vAlign w:val="bottom"/>
            <w:gridSpan w:val="2"/>
          </w:tcPr>
          <w:p>
            <w:pPr>
              <w:jc w:val="center"/>
              <w:ind w:right="200"/>
              <w:spacing w:after="0" w:line="162" w:lineRule="exact"/>
              <w:rPr>
                <w:sz w:val="20"/>
                <w:szCs w:val="20"/>
                <w:color w:val="auto"/>
              </w:rPr>
            </w:pPr>
            <w:r>
              <w:rPr>
                <w:rFonts w:ascii="Arial" w:cs="Arial" w:eastAsia="Arial" w:hAnsi="Arial"/>
                <w:sz w:val="15"/>
                <w:szCs w:val="15"/>
                <w:b w:val="1"/>
                <w:bCs w:val="1"/>
                <w:color w:val="auto"/>
                <w:w w:val="91"/>
              </w:rPr>
              <w:t>Accumulated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2"/>
        </w:trPr>
        <w:tc>
          <w:tcPr>
            <w:tcW w:w="2300" w:type="dxa"/>
            <w:vAlign w:val="bottom"/>
          </w:tcPr>
          <w:p>
            <w:pPr>
              <w:spacing w:after="0"/>
              <w:rPr>
                <w:sz w:val="14"/>
                <w:szCs w:val="14"/>
                <w:color w:val="auto"/>
              </w:rPr>
            </w:pPr>
          </w:p>
        </w:tc>
        <w:tc>
          <w:tcPr>
            <w:tcW w:w="860" w:type="dxa"/>
            <w:vAlign w:val="bottom"/>
            <w:gridSpan w:val="3"/>
          </w:tcPr>
          <w:p>
            <w:pPr>
              <w:jc w:val="center"/>
              <w:ind w:right="120"/>
              <w:spacing w:after="0" w:line="162" w:lineRule="exact"/>
              <w:rPr>
                <w:sz w:val="20"/>
                <w:szCs w:val="20"/>
                <w:color w:val="auto"/>
              </w:rPr>
            </w:pPr>
            <w:r>
              <w:rPr>
                <w:rFonts w:ascii="Arial" w:cs="Arial" w:eastAsia="Arial" w:hAnsi="Arial"/>
                <w:sz w:val="15"/>
                <w:szCs w:val="15"/>
                <w:b w:val="1"/>
                <w:bCs w:val="1"/>
                <w:color w:val="auto"/>
                <w:w w:val="95"/>
              </w:rPr>
              <w:t>Common</w:t>
            </w:r>
          </w:p>
        </w:tc>
        <w:tc>
          <w:tcPr>
            <w:tcW w:w="840" w:type="dxa"/>
            <w:vAlign w:val="bottom"/>
            <w:gridSpan w:val="2"/>
          </w:tcPr>
          <w:p>
            <w:pPr>
              <w:jc w:val="center"/>
              <w:ind w:right="120"/>
              <w:spacing w:after="0" w:line="162" w:lineRule="exact"/>
              <w:rPr>
                <w:sz w:val="20"/>
                <w:szCs w:val="20"/>
                <w:color w:val="auto"/>
              </w:rPr>
            </w:pPr>
            <w:r>
              <w:rPr>
                <w:rFonts w:ascii="Arial" w:cs="Arial" w:eastAsia="Arial" w:hAnsi="Arial"/>
                <w:sz w:val="15"/>
                <w:szCs w:val="15"/>
                <w:b w:val="1"/>
                <w:bCs w:val="1"/>
                <w:color w:val="auto"/>
                <w:w w:val="92"/>
              </w:rPr>
              <w:t>Additional</w:t>
            </w:r>
          </w:p>
        </w:tc>
        <w:tc>
          <w:tcPr>
            <w:tcW w:w="860" w:type="dxa"/>
            <w:vAlign w:val="bottom"/>
            <w:gridSpan w:val="3"/>
          </w:tcPr>
          <w:p>
            <w:pPr>
              <w:jc w:val="center"/>
              <w:ind w:right="100"/>
              <w:spacing w:after="0" w:line="162" w:lineRule="exact"/>
              <w:rPr>
                <w:sz w:val="20"/>
                <w:szCs w:val="20"/>
                <w:color w:val="auto"/>
              </w:rPr>
            </w:pPr>
            <w:r>
              <w:rPr>
                <w:rFonts w:ascii="Arial" w:cs="Arial" w:eastAsia="Arial" w:hAnsi="Arial"/>
                <w:sz w:val="15"/>
                <w:szCs w:val="15"/>
                <w:b w:val="1"/>
                <w:bCs w:val="1"/>
                <w:color w:val="auto"/>
                <w:w w:val="86"/>
              </w:rPr>
              <w:t>in Excess</w:t>
            </w:r>
          </w:p>
        </w:tc>
        <w:tc>
          <w:tcPr>
            <w:tcW w:w="80" w:type="dxa"/>
            <w:vAlign w:val="bottom"/>
          </w:tcPr>
          <w:p>
            <w:pPr>
              <w:spacing w:after="0"/>
              <w:rPr>
                <w:sz w:val="14"/>
                <w:szCs w:val="14"/>
                <w:color w:val="auto"/>
              </w:rPr>
            </w:pPr>
          </w:p>
        </w:tc>
        <w:tc>
          <w:tcPr>
            <w:tcW w:w="1060" w:type="dxa"/>
            <w:vAlign w:val="bottom"/>
            <w:gridSpan w:val="2"/>
          </w:tcPr>
          <w:p>
            <w:pPr>
              <w:jc w:val="center"/>
              <w:ind w:right="200"/>
              <w:spacing w:after="0" w:line="162" w:lineRule="exact"/>
              <w:rPr>
                <w:sz w:val="20"/>
                <w:szCs w:val="20"/>
                <w:color w:val="auto"/>
              </w:rPr>
            </w:pPr>
            <w:r>
              <w:rPr>
                <w:rFonts w:ascii="Arial" w:cs="Arial" w:eastAsia="Arial" w:hAnsi="Arial"/>
                <w:sz w:val="15"/>
                <w:szCs w:val="15"/>
                <w:b w:val="1"/>
                <w:bCs w:val="1"/>
                <w:color w:val="auto"/>
                <w:w w:val="94"/>
              </w:rPr>
              <w:t>Other</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2"/>
        </w:trPr>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92"/>
              </w:rPr>
              <w:t>Stock at</w:t>
            </w:r>
          </w:p>
        </w:tc>
        <w:tc>
          <w:tcPr>
            <w:tcW w:w="840" w:type="dxa"/>
            <w:vAlign w:val="bottom"/>
            <w:gridSpan w:val="2"/>
          </w:tcPr>
          <w:p>
            <w:pPr>
              <w:jc w:val="center"/>
              <w:ind w:right="120"/>
              <w:spacing w:after="0" w:line="162" w:lineRule="exact"/>
              <w:rPr>
                <w:sz w:val="20"/>
                <w:szCs w:val="20"/>
                <w:color w:val="auto"/>
              </w:rPr>
            </w:pPr>
            <w:r>
              <w:rPr>
                <w:rFonts w:ascii="Arial" w:cs="Arial" w:eastAsia="Arial" w:hAnsi="Arial"/>
                <w:sz w:val="15"/>
                <w:szCs w:val="15"/>
                <w:b w:val="1"/>
                <w:bCs w:val="1"/>
                <w:color w:val="auto"/>
                <w:w w:val="95"/>
              </w:rPr>
              <w:t>Paid-in</w:t>
            </w:r>
          </w:p>
        </w:tc>
        <w:tc>
          <w:tcPr>
            <w:tcW w:w="100" w:type="dxa"/>
            <w:vAlign w:val="bottom"/>
          </w:tcPr>
          <w:p>
            <w:pPr>
              <w:spacing w:after="0"/>
              <w:rPr>
                <w:sz w:val="14"/>
                <w:szCs w:val="14"/>
                <w:color w:val="auto"/>
              </w:rPr>
            </w:pPr>
          </w:p>
        </w:tc>
        <w:tc>
          <w:tcPr>
            <w:tcW w:w="76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89"/>
              </w:rPr>
              <w:t>of Net</w:t>
            </w:r>
          </w:p>
        </w:tc>
        <w:tc>
          <w:tcPr>
            <w:tcW w:w="1140" w:type="dxa"/>
            <w:vAlign w:val="bottom"/>
            <w:gridSpan w:val="3"/>
          </w:tcPr>
          <w:p>
            <w:pPr>
              <w:jc w:val="center"/>
              <w:ind w:right="120"/>
              <w:spacing w:after="0" w:line="162" w:lineRule="exact"/>
              <w:rPr>
                <w:sz w:val="20"/>
                <w:szCs w:val="20"/>
                <w:color w:val="auto"/>
              </w:rPr>
            </w:pPr>
            <w:r>
              <w:rPr>
                <w:rFonts w:ascii="Arial" w:cs="Arial" w:eastAsia="Arial" w:hAnsi="Arial"/>
                <w:sz w:val="15"/>
                <w:szCs w:val="15"/>
                <w:b w:val="1"/>
                <w:bCs w:val="1"/>
                <w:color w:val="auto"/>
                <w:w w:val="90"/>
              </w:rPr>
              <w:t>Comprehensive</w:t>
            </w:r>
          </w:p>
        </w:tc>
        <w:tc>
          <w:tcPr>
            <w:tcW w:w="1020" w:type="dxa"/>
            <w:vAlign w:val="bottom"/>
            <w:gridSpan w:val="3"/>
          </w:tcPr>
          <w:p>
            <w:pPr>
              <w:ind w:left="20"/>
              <w:spacing w:after="0" w:line="162" w:lineRule="exact"/>
              <w:rPr>
                <w:sz w:val="20"/>
                <w:szCs w:val="20"/>
                <w:color w:val="auto"/>
              </w:rPr>
            </w:pPr>
            <w:r>
              <w:rPr>
                <w:rFonts w:ascii="Arial" w:cs="Arial" w:eastAsia="Arial" w:hAnsi="Arial"/>
                <w:sz w:val="15"/>
                <w:szCs w:val="15"/>
                <w:b w:val="1"/>
                <w:bCs w:val="1"/>
                <w:color w:val="auto"/>
                <w:w w:val="99"/>
              </w:rPr>
              <w:t>Stockholders'</w:t>
            </w:r>
          </w:p>
        </w:tc>
        <w:tc>
          <w:tcPr>
            <w:tcW w:w="1120" w:type="dxa"/>
            <w:vAlign w:val="bottom"/>
            <w:gridSpan w:val="3"/>
          </w:tcPr>
          <w:p>
            <w:pPr>
              <w:ind w:left="20"/>
              <w:spacing w:after="0" w:line="162" w:lineRule="exact"/>
              <w:rPr>
                <w:sz w:val="20"/>
                <w:szCs w:val="20"/>
                <w:color w:val="auto"/>
              </w:rPr>
            </w:pPr>
            <w:r>
              <w:rPr>
                <w:rFonts w:ascii="Arial" w:cs="Arial" w:eastAsia="Arial" w:hAnsi="Arial"/>
                <w:sz w:val="15"/>
                <w:szCs w:val="15"/>
                <w:b w:val="1"/>
                <w:bCs w:val="1"/>
                <w:color w:val="auto"/>
              </w:rPr>
              <w:t>Noncontrolling</w:t>
            </w:r>
          </w:p>
        </w:tc>
        <w:tc>
          <w:tcPr>
            <w:tcW w:w="140" w:type="dxa"/>
            <w:vAlign w:val="bottom"/>
          </w:tcPr>
          <w:p>
            <w:pPr>
              <w:spacing w:after="0"/>
              <w:rPr>
                <w:sz w:val="14"/>
                <w:szCs w:val="14"/>
                <w:color w:val="auto"/>
              </w:rPr>
            </w:pPr>
          </w:p>
        </w:tc>
        <w:tc>
          <w:tcPr>
            <w:tcW w:w="620" w:type="dxa"/>
            <w:vAlign w:val="bottom"/>
          </w:tcPr>
          <w:p>
            <w:pPr>
              <w:jc w:val="right"/>
              <w:ind w:right="120"/>
              <w:spacing w:after="0" w:line="162" w:lineRule="exact"/>
              <w:rPr>
                <w:sz w:val="20"/>
                <w:szCs w:val="20"/>
                <w:color w:val="auto"/>
              </w:rPr>
            </w:pPr>
            <w:r>
              <w:rPr>
                <w:rFonts w:ascii="Arial" w:cs="Arial" w:eastAsia="Arial" w:hAnsi="Arial"/>
                <w:sz w:val="15"/>
                <w:szCs w:val="15"/>
                <w:b w:val="1"/>
                <w:bCs w:val="1"/>
                <w:color w:val="auto"/>
              </w:rPr>
              <w:t>Total</w:t>
            </w:r>
          </w:p>
        </w:tc>
      </w:tr>
      <w:tr>
        <w:trPr>
          <w:trHeight w:val="179"/>
        </w:trPr>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0"/>
              </w:rPr>
              <w:t>Par</w:t>
            </w:r>
          </w:p>
        </w:tc>
        <w:tc>
          <w:tcPr>
            <w:tcW w:w="84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5"/>
              </w:rPr>
              <w:t>Capital</w:t>
            </w:r>
          </w:p>
        </w:tc>
        <w:tc>
          <w:tcPr>
            <w:tcW w:w="10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3"/>
              </w:rPr>
              <w:t>Income)</w:t>
            </w:r>
          </w:p>
        </w:tc>
        <w:tc>
          <w:tcPr>
            <w:tcW w:w="8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5"/>
              </w:rPr>
              <w:t>Income</w:t>
            </w:r>
          </w:p>
        </w:tc>
        <w:tc>
          <w:tcPr>
            <w:tcW w:w="160" w:type="dxa"/>
            <w:vAlign w:val="bottom"/>
          </w:tcPr>
          <w:p>
            <w:pPr>
              <w:spacing w:after="0"/>
              <w:rPr>
                <w:sz w:val="15"/>
                <w:szCs w:val="15"/>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Equity</w:t>
            </w:r>
          </w:p>
        </w:tc>
        <w:tc>
          <w:tcPr>
            <w:tcW w:w="180" w:type="dxa"/>
            <w:vAlign w:val="bottom"/>
          </w:tcPr>
          <w:p>
            <w:pPr>
              <w:spacing w:after="0"/>
              <w:rPr>
                <w:sz w:val="15"/>
                <w:szCs w:val="15"/>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rPr>
              <w:t>Interest</w:t>
            </w:r>
          </w:p>
        </w:tc>
        <w:tc>
          <w:tcPr>
            <w:tcW w:w="140" w:type="dxa"/>
            <w:vAlign w:val="bottom"/>
          </w:tcPr>
          <w:p>
            <w:pPr>
              <w:spacing w:after="0"/>
              <w:rPr>
                <w:sz w:val="15"/>
                <w:szCs w:val="15"/>
                <w:color w:val="auto"/>
              </w:rPr>
            </w:pPr>
          </w:p>
        </w:tc>
        <w:tc>
          <w:tcPr>
            <w:tcW w:w="620" w:type="dxa"/>
            <w:vAlign w:val="bottom"/>
          </w:tcPr>
          <w:p>
            <w:pPr>
              <w:jc w:val="right"/>
              <w:ind w:right="60"/>
              <w:spacing w:after="0"/>
              <w:rPr>
                <w:sz w:val="20"/>
                <w:szCs w:val="20"/>
                <w:color w:val="auto"/>
              </w:rPr>
            </w:pPr>
            <w:r>
              <w:rPr>
                <w:rFonts w:ascii="Arial" w:cs="Arial" w:eastAsia="Arial" w:hAnsi="Arial"/>
                <w:sz w:val="15"/>
                <w:szCs w:val="15"/>
                <w:b w:val="1"/>
                <w:bCs w:val="1"/>
                <w:color w:val="auto"/>
              </w:rPr>
              <w:t>Equity</w:t>
            </w:r>
          </w:p>
        </w:tc>
      </w:tr>
      <w:tr>
        <w:trPr>
          <w:trHeight w:val="196"/>
        </w:trPr>
        <w:tc>
          <w:tcPr>
            <w:tcW w:w="2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January 1, 2022</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$ 200,906</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(6,419)</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1,922</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196,523</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31,379</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227,902</w:t>
            </w:r>
          </w:p>
        </w:tc>
      </w:tr>
      <w:tr>
        <w:trPr>
          <w:trHeight w:val="203"/>
        </w:trPr>
        <w:tc>
          <w:tcPr>
            <w:tcW w:w="23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24,858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24,858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3,572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28,430</w:t>
            </w:r>
          </w:p>
        </w:tc>
      </w:tr>
      <w:tr>
        <w:trPr>
          <w:trHeight w:val="203"/>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Issuance to Directors</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r>
      <w:tr>
        <w:trPr>
          <w:trHeight w:val="193"/>
        </w:trPr>
        <w:tc>
          <w:tcPr>
            <w:tcW w:w="2300" w:type="dxa"/>
            <w:vAlign w:val="bottom"/>
          </w:tcPr>
          <w:p>
            <w:pPr>
              <w:ind w:left="20"/>
              <w:spacing w:after="0"/>
              <w:rPr>
                <w:sz w:val="20"/>
                <w:szCs w:val="20"/>
                <w:color w:val="auto"/>
              </w:rPr>
            </w:pPr>
            <w:r>
              <w:rPr>
                <w:rFonts w:ascii="Arial" w:cs="Arial" w:eastAsia="Arial" w:hAnsi="Arial"/>
                <w:sz w:val="16"/>
                <w:szCs w:val="16"/>
                <w:color w:val="auto"/>
              </w:rPr>
              <w:t>Stock Issuance, Net of Equity</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09"/>
        </w:trPr>
        <w:tc>
          <w:tcPr>
            <w:tcW w:w="2300" w:type="dxa"/>
            <w:vAlign w:val="bottom"/>
          </w:tcPr>
          <w:p>
            <w:pPr>
              <w:ind w:left="20"/>
              <w:spacing w:after="0"/>
              <w:rPr>
                <w:sz w:val="20"/>
                <w:szCs w:val="20"/>
                <w:color w:val="auto"/>
              </w:rPr>
            </w:pPr>
            <w:r>
              <w:rPr>
                <w:rFonts w:ascii="Arial" w:cs="Arial" w:eastAsia="Arial" w:hAnsi="Arial"/>
                <w:sz w:val="16"/>
                <w:szCs w:val="16"/>
                <w:color w:val="auto"/>
              </w:rPr>
              <w:t>Issuance Costs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8,454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8,459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8,459</w:t>
            </w:r>
          </w:p>
        </w:tc>
      </w:tr>
      <w:tr>
        <w:trPr>
          <w:trHeight w:val="196"/>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 ($0.815 per</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12"/>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(9,643)</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(9,643)</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(1,389)</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(11,032)</w:t>
            </w:r>
          </w:p>
        </w:tc>
      </w:tr>
      <w:tr>
        <w:trPr>
          <w:trHeight w:val="203"/>
        </w:trPr>
        <w:tc>
          <w:tcPr>
            <w:tcW w:w="230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10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13,839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13,839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13,839</w:t>
            </w:r>
          </w:p>
        </w:tc>
      </w:tr>
      <w:tr>
        <w:trPr>
          <w:trHeight w:val="196"/>
        </w:trPr>
        <w:tc>
          <w:tcPr>
            <w:tcW w:w="2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September 30, 2022</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$ 209,597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8,796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15,761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234,273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33,562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267,835</w:t>
            </w:r>
          </w:p>
        </w:tc>
      </w:tr>
      <w:tr>
        <w:trPr>
          <w:trHeight w:val="20"/>
        </w:trPr>
        <w:tc>
          <w:tcPr>
            <w:tcW w:w="2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ALPINE INCOME PROPERTY TRUST,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in thousands)</w:t>
      </w:r>
    </w:p>
    <w:p>
      <w:pPr>
        <w:spacing w:after="0" w:line="221" w:lineRule="exact"/>
        <w:rPr>
          <w:sz w:val="20"/>
          <w:szCs w:val="20"/>
          <w:color w:val="auto"/>
        </w:rPr>
      </w:pPr>
    </w:p>
    <w:p>
      <w:pPr>
        <w:ind w:left="6700"/>
        <w:spacing w:after="0"/>
        <w:rPr>
          <w:sz w:val="20"/>
          <w:szCs w:val="20"/>
          <w:color w:val="auto"/>
        </w:rPr>
      </w:pPr>
      <w:r>
        <w:rPr>
          <w:rFonts w:ascii="Arial" w:cs="Arial" w:eastAsia="Arial" w:hAnsi="Arial"/>
          <w:sz w:val="15"/>
          <w:szCs w:val="15"/>
          <w:b w:val="1"/>
          <w:bCs w:val="1"/>
          <w:color w:val="auto"/>
        </w:rPr>
        <w:t>Nine Months Ended</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September 30, 2023</w:t>
            </w:r>
          </w:p>
        </w:tc>
        <w:tc>
          <w:tcPr>
            <w:tcW w:w="12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w w:val="93"/>
              </w:rPr>
              <w:t>September 30, 2022</w:t>
            </w:r>
          </w:p>
        </w:tc>
        <w:tc>
          <w:tcPr>
            <w:tcW w:w="20" w:type="dxa"/>
            <w:vAlign w:val="bottom"/>
          </w:tcPr>
          <w:p>
            <w:pPr>
              <w:spacing w:after="0"/>
              <w:rPr>
                <w:sz w:val="12"/>
                <w:szCs w:val="12"/>
                <w:color w:val="auto"/>
              </w:rPr>
            </w:pPr>
          </w:p>
        </w:tc>
      </w:tr>
      <w:tr>
        <w:trPr>
          <w:trHeight w:val="142"/>
        </w:trPr>
        <w:tc>
          <w:tcPr>
            <w:tcW w:w="5700" w:type="dxa"/>
            <w:vAlign w:val="bottom"/>
            <w:tcBorders>
              <w:top w:val="single" w:sz="8" w:color="CCEEFF"/>
            </w:tcBorders>
            <w:gridSpan w:val="3"/>
            <w:shd w:val="clear" w:color="auto" w:fill="CCEEFF"/>
          </w:tcPr>
          <w:p>
            <w:pPr>
              <w:ind w:left="20"/>
              <w:spacing w:after="0" w:line="142" w:lineRule="exact"/>
              <w:rPr>
                <w:sz w:val="20"/>
                <w:szCs w:val="20"/>
                <w:color w:val="auto"/>
              </w:rPr>
            </w:pPr>
            <w:r>
              <w:rPr>
                <w:rFonts w:ascii="Arial" w:cs="Arial" w:eastAsia="Arial" w:hAnsi="Arial"/>
                <w:sz w:val="14"/>
                <w:szCs w:val="14"/>
                <w:color w:val="auto"/>
              </w:rPr>
              <w:t>Cash Flow From Operating Activities:</w:t>
            </w:r>
          </w:p>
        </w:tc>
        <w:tc>
          <w:tcPr>
            <w:tcW w:w="12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6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Net Income</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2,896</w:t>
            </w:r>
          </w:p>
        </w:tc>
        <w:tc>
          <w:tcPr>
            <w:tcW w:w="14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28,430</w:t>
            </w:r>
          </w:p>
        </w:tc>
        <w:tc>
          <w:tcPr>
            <w:tcW w:w="20" w:type="dxa"/>
            <w:vAlign w:val="bottom"/>
          </w:tcPr>
          <w:p>
            <w:pPr>
              <w:spacing w:after="0"/>
              <w:rPr>
                <w:sz w:val="12"/>
                <w:szCs w:val="12"/>
                <w:color w:val="auto"/>
              </w:rPr>
            </w:pPr>
          </w:p>
        </w:tc>
      </w:tr>
      <w:tr>
        <w:trPr>
          <w:trHeight w:val="148"/>
        </w:trPr>
        <w:tc>
          <w:tcPr>
            <w:tcW w:w="570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6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19,286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17,232</w:t>
            </w: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6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Amortization of Intangible Lease Assets and Liabilities to Lease Income</w:t>
            </w: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(299)</w:t>
            </w: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Amortization of Deferred Financing Costs to Interest Expense</w:t>
            </w:r>
          </w:p>
        </w:tc>
        <w:tc>
          <w:tcPr>
            <w:tcW w:w="12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530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407</w:t>
            </w: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6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Accretion of Commercial Loans and Investments Origination Fees</w:t>
            </w: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6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Gain on Disposition of Assets</w:t>
            </w:r>
          </w:p>
        </w:tc>
        <w:tc>
          <w:tcPr>
            <w:tcW w:w="120" w:type="dxa"/>
            <w:vAlign w:val="bottom"/>
          </w:tcPr>
          <w:p>
            <w:pPr>
              <w:spacing w:after="0"/>
              <w:rPr>
                <w:sz w:val="12"/>
                <w:szCs w:val="12"/>
                <w:color w:val="auto"/>
              </w:rPr>
            </w:pPr>
          </w:p>
        </w:tc>
        <w:tc>
          <w:tcPr>
            <w:tcW w:w="1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(7,782)</w:t>
            </w:r>
          </w:p>
        </w:tc>
        <w:tc>
          <w:tcPr>
            <w:tcW w:w="1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(27,248)</w:t>
            </w: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6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Provision for Impairment</w:t>
            </w: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6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Non-Cash Compensation</w:t>
            </w:r>
          </w:p>
        </w:tc>
        <w:tc>
          <w:tcPr>
            <w:tcW w:w="12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238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236</w:t>
            </w:r>
          </w:p>
        </w:tc>
        <w:tc>
          <w:tcPr>
            <w:tcW w:w="20" w:type="dxa"/>
            <w:vAlign w:val="bottom"/>
          </w:tcPr>
          <w:p>
            <w:pPr>
              <w:spacing w:after="0"/>
              <w:rPr>
                <w:sz w:val="12"/>
                <w:szCs w:val="12"/>
                <w:color w:val="auto"/>
              </w:rPr>
            </w:pPr>
          </w:p>
        </w:tc>
      </w:tr>
      <w:tr>
        <w:trPr>
          <w:trHeight w:val="149"/>
        </w:trPr>
        <w:tc>
          <w:tcPr>
            <w:tcW w:w="20" w:type="dxa"/>
            <w:vAlign w:val="bottom"/>
            <w:shd w:val="clear" w:color="auto" w:fill="CCEEFF"/>
          </w:tcPr>
          <w:p>
            <w:pPr>
              <w:spacing w:after="0"/>
              <w:rPr>
                <w:sz w:val="12"/>
                <w:szCs w:val="12"/>
                <w:color w:val="auto"/>
              </w:rPr>
            </w:pPr>
          </w:p>
        </w:tc>
        <w:tc>
          <w:tcPr>
            <w:tcW w:w="56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Decrease (Increase) in Assets:</w:t>
            </w: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6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Straight-Line Rent Adjustment</w:t>
            </w:r>
          </w:p>
        </w:tc>
        <w:tc>
          <w:tcPr>
            <w:tcW w:w="120" w:type="dxa"/>
            <w:vAlign w:val="bottom"/>
          </w:tcPr>
          <w:p>
            <w:pPr>
              <w:spacing w:after="0"/>
              <w:rPr>
                <w:sz w:val="12"/>
                <w:szCs w:val="12"/>
                <w:color w:val="auto"/>
              </w:rPr>
            </w:pPr>
          </w:p>
        </w:tc>
        <w:tc>
          <w:tcPr>
            <w:tcW w:w="1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(386)</w:t>
            </w:r>
          </w:p>
        </w:tc>
        <w:tc>
          <w:tcPr>
            <w:tcW w:w="1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(737)</w:t>
            </w: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6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COVID-19 Rent Repayments</w:t>
            </w: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w:t>
            </w: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6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Other Assets</w:t>
            </w:r>
          </w:p>
        </w:tc>
        <w:tc>
          <w:tcPr>
            <w:tcW w:w="120" w:type="dxa"/>
            <w:vAlign w:val="bottom"/>
          </w:tcPr>
          <w:p>
            <w:pPr>
              <w:spacing w:after="0"/>
              <w:rPr>
                <w:sz w:val="12"/>
                <w:szCs w:val="12"/>
                <w:color w:val="auto"/>
              </w:rPr>
            </w:pPr>
          </w:p>
        </w:tc>
        <w:tc>
          <w:tcPr>
            <w:tcW w:w="1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(237)</w:t>
            </w:r>
          </w:p>
        </w:tc>
        <w:tc>
          <w:tcPr>
            <w:tcW w:w="1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(837)</w:t>
            </w: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6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Increase (Decrease) in Liabilities:</w:t>
            </w: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6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Accounts Payable, Accrued Expenses, and Other Liabilities</w:t>
            </w:r>
          </w:p>
        </w:tc>
        <w:tc>
          <w:tcPr>
            <w:tcW w:w="12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1,233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566</w:t>
            </w:r>
          </w:p>
        </w:tc>
        <w:tc>
          <w:tcPr>
            <w:tcW w:w="20" w:type="dxa"/>
            <w:vAlign w:val="bottom"/>
          </w:tcPr>
          <w:p>
            <w:pPr>
              <w:spacing w:after="0"/>
              <w:rPr>
                <w:sz w:val="12"/>
                <w:szCs w:val="12"/>
                <w:color w:val="auto"/>
              </w:rPr>
            </w:pPr>
          </w:p>
        </w:tc>
      </w:tr>
      <w:tr>
        <w:trPr>
          <w:trHeight w:val="149"/>
        </w:trPr>
        <w:tc>
          <w:tcPr>
            <w:tcW w:w="20" w:type="dxa"/>
            <w:vAlign w:val="bottom"/>
            <w:shd w:val="clear" w:color="auto" w:fill="CCEEFF"/>
          </w:tcPr>
          <w:p>
            <w:pPr>
              <w:spacing w:after="0"/>
              <w:rPr>
                <w:sz w:val="12"/>
                <w:szCs w:val="12"/>
                <w:color w:val="auto"/>
              </w:rPr>
            </w:pPr>
          </w:p>
        </w:tc>
        <w:tc>
          <w:tcPr>
            <w:tcW w:w="56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Prepaid Rent and Deferred Revenue</w:t>
            </w:r>
          </w:p>
        </w:tc>
        <w:tc>
          <w:tcPr>
            <w:tcW w:w="12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405</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(237)</w:t>
            </w:r>
          </w:p>
        </w:tc>
        <w:tc>
          <w:tcPr>
            <w:tcW w:w="20" w:type="dxa"/>
            <w:vAlign w:val="bottom"/>
          </w:tcPr>
          <w:p>
            <w:pPr>
              <w:spacing w:after="0"/>
              <w:rPr>
                <w:sz w:val="12"/>
                <w:szCs w:val="12"/>
                <w:color w:val="auto"/>
              </w:rPr>
            </w:pPr>
          </w:p>
        </w:tc>
      </w:tr>
      <w:tr>
        <w:trPr>
          <w:trHeight w:val="142"/>
        </w:trPr>
        <w:tc>
          <w:tcPr>
            <w:tcW w:w="20" w:type="dxa"/>
            <w:vAlign w:val="bottom"/>
            <w:tcBorders>
              <w:bottom w:val="single" w:sz="8" w:color="CCEEFF"/>
            </w:tcBorders>
          </w:tcPr>
          <w:p>
            <w:pPr>
              <w:spacing w:after="0"/>
              <w:rPr>
                <w:sz w:val="12"/>
                <w:szCs w:val="12"/>
                <w:color w:val="auto"/>
              </w:rPr>
            </w:pPr>
          </w:p>
        </w:tc>
        <w:tc>
          <w:tcPr>
            <w:tcW w:w="5680" w:type="dxa"/>
            <w:vAlign w:val="bottom"/>
            <w:tcBorders>
              <w:bottom w:val="single" w:sz="8" w:color="CCEEFF"/>
            </w:tcBorders>
            <w:gridSpan w:val="2"/>
          </w:tcPr>
          <w:p>
            <w:pPr>
              <w:ind w:left="320"/>
              <w:spacing w:after="0" w:line="142" w:lineRule="exact"/>
              <w:rPr>
                <w:sz w:val="20"/>
                <w:szCs w:val="20"/>
                <w:color w:val="auto"/>
              </w:rPr>
            </w:pPr>
            <w:r>
              <w:rPr>
                <w:rFonts w:ascii="Arial" w:cs="Arial" w:eastAsia="Arial" w:hAnsi="Arial"/>
                <w:sz w:val="14"/>
                <w:szCs w:val="14"/>
                <w:color w:val="auto"/>
              </w:rPr>
              <w:t>Net Cash Provided By Operating Activities</w:t>
            </w:r>
          </w:p>
        </w:tc>
        <w:tc>
          <w:tcPr>
            <w:tcW w:w="1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18,744</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17,609</w:t>
            </w:r>
          </w:p>
        </w:tc>
        <w:tc>
          <w:tcPr>
            <w:tcW w:w="20" w:type="dxa"/>
            <w:vAlign w:val="bottom"/>
          </w:tcPr>
          <w:p>
            <w:pPr>
              <w:spacing w:after="0"/>
              <w:rPr>
                <w:sz w:val="12"/>
                <w:szCs w:val="12"/>
                <w:color w:val="auto"/>
              </w:rPr>
            </w:pPr>
          </w:p>
        </w:tc>
      </w:tr>
      <w:tr>
        <w:trPr>
          <w:trHeight w:val="142"/>
        </w:trPr>
        <w:tc>
          <w:tcPr>
            <w:tcW w:w="5700" w:type="dxa"/>
            <w:vAlign w:val="bottom"/>
            <w:gridSpan w:val="3"/>
            <w:shd w:val="clear" w:color="auto" w:fill="CCEEFF"/>
          </w:tcPr>
          <w:p>
            <w:pPr>
              <w:ind w:left="20"/>
              <w:spacing w:after="0" w:line="142" w:lineRule="exact"/>
              <w:rPr>
                <w:sz w:val="20"/>
                <w:szCs w:val="20"/>
                <w:color w:val="auto"/>
              </w:rPr>
            </w:pPr>
            <w:r>
              <w:rPr>
                <w:rFonts w:ascii="Arial" w:cs="Arial" w:eastAsia="Arial" w:hAnsi="Arial"/>
                <w:sz w:val="14"/>
                <w:szCs w:val="14"/>
                <w:color w:val="auto"/>
              </w:rPr>
              <w:t>Cash Flow From Investing Activities:</w:t>
            </w: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Acquisition of Real Estate, Including Capitalized Expenditures</w:t>
            </w:r>
          </w:p>
        </w:tc>
        <w:tc>
          <w:tcPr>
            <w:tcW w:w="120" w:type="dxa"/>
            <w:vAlign w:val="bottom"/>
          </w:tcPr>
          <w:p>
            <w:pPr>
              <w:spacing w:after="0"/>
              <w:rPr>
                <w:sz w:val="12"/>
                <w:szCs w:val="12"/>
                <w:color w:val="auto"/>
              </w:rPr>
            </w:pPr>
          </w:p>
        </w:tc>
        <w:tc>
          <w:tcPr>
            <w:tcW w:w="1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(81,395)</w:t>
            </w:r>
          </w:p>
        </w:tc>
        <w:tc>
          <w:tcPr>
            <w:tcW w:w="1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(147,148)</w:t>
            </w: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6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Proceeds from Disposition of Assets</w:t>
            </w: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97,919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120,252</w:t>
            </w: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6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Acquisition of Commercial Loans and Investments</w:t>
            </w:r>
          </w:p>
        </w:tc>
        <w:tc>
          <w:tcPr>
            <w:tcW w:w="120" w:type="dxa"/>
            <w:vAlign w:val="bottom"/>
          </w:tcPr>
          <w:p>
            <w:pPr>
              <w:spacing w:after="0"/>
              <w:rPr>
                <w:sz w:val="12"/>
                <w:szCs w:val="12"/>
                <w:color w:val="auto"/>
              </w:rPr>
            </w:pPr>
          </w:p>
        </w:tc>
        <w:tc>
          <w:tcPr>
            <w:tcW w:w="1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(6,870)</w:t>
            </w:r>
          </w:p>
        </w:tc>
        <w:tc>
          <w:tcPr>
            <w:tcW w:w="1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5680" w:type="dxa"/>
            <w:vAlign w:val="bottom"/>
            <w:tcBorders>
              <w:top w:val="single" w:sz="8" w:color="CCEEFF"/>
            </w:tcBorders>
            <w:gridSpan w:val="2"/>
            <w:shd w:val="clear" w:color="auto" w:fill="CCEEFF"/>
          </w:tcPr>
          <w:p>
            <w:pPr>
              <w:ind w:left="320"/>
              <w:spacing w:after="0" w:line="142" w:lineRule="exact"/>
              <w:rPr>
                <w:sz w:val="20"/>
                <w:szCs w:val="20"/>
                <w:color w:val="auto"/>
              </w:rPr>
            </w:pPr>
            <w:r>
              <w:rPr>
                <w:rFonts w:ascii="Arial" w:cs="Arial" w:eastAsia="Arial" w:hAnsi="Arial"/>
                <w:sz w:val="14"/>
                <w:szCs w:val="14"/>
                <w:color w:val="auto"/>
              </w:rPr>
              <w:t>Net Cash Provided By (Used In) Investing Activities</w:t>
            </w: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4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9,654</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4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(26,896)</w:t>
            </w:r>
          </w:p>
        </w:tc>
        <w:tc>
          <w:tcPr>
            <w:tcW w:w="20" w:type="dxa"/>
            <w:vAlign w:val="bottom"/>
          </w:tcPr>
          <w:p>
            <w:pPr>
              <w:spacing w:after="0"/>
              <w:rPr>
                <w:sz w:val="12"/>
                <w:szCs w:val="12"/>
                <w:color w:val="auto"/>
              </w:rPr>
            </w:pPr>
          </w:p>
        </w:tc>
      </w:tr>
      <w:tr>
        <w:trPr>
          <w:trHeight w:val="142"/>
        </w:trPr>
        <w:tc>
          <w:tcPr>
            <w:tcW w:w="5700" w:type="dxa"/>
            <w:vAlign w:val="bottom"/>
            <w:gridSpan w:val="3"/>
          </w:tcPr>
          <w:p>
            <w:pPr>
              <w:ind w:left="20"/>
              <w:spacing w:after="0" w:line="142" w:lineRule="exact"/>
              <w:rPr>
                <w:sz w:val="20"/>
                <w:szCs w:val="20"/>
                <w:color w:val="auto"/>
              </w:rPr>
            </w:pPr>
            <w:r>
              <w:rPr>
                <w:rFonts w:ascii="Arial" w:cs="Arial" w:eastAsia="Arial" w:hAnsi="Arial"/>
                <w:sz w:val="14"/>
                <w:szCs w:val="14"/>
                <w:color w:val="auto"/>
              </w:rPr>
              <w:t>Cash Flow from Financing Activities:</w:t>
            </w: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shd w:val="clear" w:color="auto" w:fill="CCEEFF"/>
          </w:tcPr>
          <w:p>
            <w:pPr>
              <w:spacing w:after="0"/>
              <w:rPr>
                <w:sz w:val="12"/>
                <w:szCs w:val="12"/>
                <w:color w:val="auto"/>
              </w:rPr>
            </w:pPr>
          </w:p>
        </w:tc>
        <w:tc>
          <w:tcPr>
            <w:tcW w:w="56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Proceeds from Long-Term Debt</w:t>
            </w: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4,750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222,500</w:t>
            </w: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6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Payments on Long-Term Debt</w:t>
            </w:r>
          </w:p>
        </w:tc>
        <w:tc>
          <w:tcPr>
            <w:tcW w:w="120" w:type="dxa"/>
            <w:vAlign w:val="bottom"/>
          </w:tcPr>
          <w:p>
            <w:pPr>
              <w:spacing w:after="0"/>
              <w:rPr>
                <w:sz w:val="12"/>
                <w:szCs w:val="12"/>
                <w:color w:val="auto"/>
              </w:rPr>
            </w:pPr>
          </w:p>
        </w:tc>
        <w:tc>
          <w:tcPr>
            <w:tcW w:w="1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(23,000)</w:t>
            </w:r>
          </w:p>
        </w:tc>
        <w:tc>
          <w:tcPr>
            <w:tcW w:w="1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(203,500)</w:t>
            </w:r>
          </w:p>
        </w:tc>
        <w:tc>
          <w:tcPr>
            <w:tcW w:w="20" w:type="dxa"/>
            <w:vAlign w:val="bottom"/>
          </w:tcPr>
          <w:p>
            <w:pPr>
              <w:spacing w:after="0"/>
              <w:rPr>
                <w:sz w:val="12"/>
                <w:szCs w:val="12"/>
                <w:color w:val="auto"/>
              </w:rPr>
            </w:pPr>
          </w:p>
        </w:tc>
      </w:tr>
      <w:tr>
        <w:trPr>
          <w:trHeight w:val="149"/>
        </w:trPr>
        <w:tc>
          <w:tcPr>
            <w:tcW w:w="20" w:type="dxa"/>
            <w:vAlign w:val="bottom"/>
            <w:shd w:val="clear" w:color="auto" w:fill="CCEEFF"/>
          </w:tcPr>
          <w:p>
            <w:pPr>
              <w:spacing w:after="0"/>
              <w:rPr>
                <w:sz w:val="12"/>
                <w:szCs w:val="12"/>
                <w:color w:val="auto"/>
              </w:rPr>
            </w:pPr>
          </w:p>
        </w:tc>
        <w:tc>
          <w:tcPr>
            <w:tcW w:w="56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Cash Paid for Loan Fees</w:t>
            </w: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(484)</w:t>
            </w: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6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Repurchase of Common Stock</w:t>
            </w:r>
          </w:p>
        </w:tc>
        <w:tc>
          <w:tcPr>
            <w:tcW w:w="120" w:type="dxa"/>
            <w:vAlign w:val="bottom"/>
          </w:tcPr>
          <w:p>
            <w:pPr>
              <w:spacing w:after="0"/>
              <w:rPr>
                <w:sz w:val="12"/>
                <w:szCs w:val="12"/>
                <w:color w:val="auto"/>
              </w:rPr>
            </w:pPr>
          </w:p>
        </w:tc>
        <w:tc>
          <w:tcPr>
            <w:tcW w:w="1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(5,076)</w:t>
            </w:r>
          </w:p>
        </w:tc>
        <w:tc>
          <w:tcPr>
            <w:tcW w:w="1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6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Proceeds From Stock Issuance, Net</w:t>
            </w: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12,315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8,459</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Dividends Paid</w:t>
            </w:r>
          </w:p>
        </w:tc>
        <w:tc>
          <w:tcPr>
            <w:tcW w:w="120" w:type="dxa"/>
            <w:vAlign w:val="bottom"/>
          </w:tcPr>
          <w:p>
            <w:pPr>
              <w:spacing w:after="0"/>
              <w:rPr>
                <w:sz w:val="12"/>
                <w:szCs w:val="12"/>
                <w:color w:val="auto"/>
              </w:rPr>
            </w:pPr>
          </w:p>
        </w:tc>
        <w:tc>
          <w:tcPr>
            <w:tcW w:w="1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(12,954)</w:t>
            </w:r>
          </w:p>
        </w:tc>
        <w:tc>
          <w:tcPr>
            <w:tcW w:w="1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(11,032)</w:t>
            </w:r>
          </w:p>
        </w:tc>
        <w:tc>
          <w:tcPr>
            <w:tcW w:w="20" w:type="dxa"/>
            <w:vAlign w:val="bottom"/>
          </w:tcPr>
          <w:p>
            <w:pPr>
              <w:spacing w:after="0"/>
              <w:rPr>
                <w:sz w:val="12"/>
                <w:szCs w:val="12"/>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5680" w:type="dxa"/>
            <w:vAlign w:val="bottom"/>
            <w:tcBorders>
              <w:top w:val="single" w:sz="8" w:color="CCEEFF"/>
            </w:tcBorders>
            <w:gridSpan w:val="2"/>
            <w:shd w:val="clear" w:color="auto" w:fill="CCEEFF"/>
          </w:tcPr>
          <w:p>
            <w:pPr>
              <w:ind w:left="320"/>
              <w:spacing w:after="0" w:line="142" w:lineRule="exact"/>
              <w:rPr>
                <w:sz w:val="20"/>
                <w:szCs w:val="20"/>
                <w:color w:val="auto"/>
              </w:rPr>
            </w:pPr>
            <w:r>
              <w:rPr>
                <w:rFonts w:ascii="Arial" w:cs="Arial" w:eastAsia="Arial" w:hAnsi="Arial"/>
                <w:sz w:val="14"/>
                <w:szCs w:val="14"/>
                <w:color w:val="auto"/>
              </w:rPr>
              <w:t>Net Cash Provided By (Used In) Financing Activities</w:t>
            </w: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4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(24,011)</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4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15,943</w:t>
            </w:r>
          </w:p>
        </w:tc>
        <w:tc>
          <w:tcPr>
            <w:tcW w:w="20" w:type="dxa"/>
            <w:vAlign w:val="bottom"/>
          </w:tcPr>
          <w:p>
            <w:pPr>
              <w:spacing w:after="0"/>
              <w:rPr>
                <w:sz w:val="12"/>
                <w:szCs w:val="12"/>
                <w:color w:val="auto"/>
              </w:rPr>
            </w:pPr>
          </w:p>
        </w:tc>
      </w:tr>
      <w:tr>
        <w:trPr>
          <w:trHeight w:val="142"/>
        </w:trPr>
        <w:tc>
          <w:tcPr>
            <w:tcW w:w="5700" w:type="dxa"/>
            <w:vAlign w:val="bottom"/>
            <w:gridSpan w:val="3"/>
          </w:tcPr>
          <w:p>
            <w:pPr>
              <w:ind w:left="20"/>
              <w:spacing w:after="0" w:line="142" w:lineRule="exact"/>
              <w:rPr>
                <w:sz w:val="20"/>
                <w:szCs w:val="20"/>
                <w:color w:val="auto"/>
              </w:rPr>
            </w:pPr>
            <w:r>
              <w:rPr>
                <w:rFonts w:ascii="Arial" w:cs="Arial" w:eastAsia="Arial" w:hAnsi="Arial"/>
                <w:sz w:val="14"/>
                <w:szCs w:val="14"/>
                <w:color w:val="auto"/>
              </w:rPr>
              <w:t>Net Increase in Cash and Cash Equivalents</w:t>
            </w:r>
          </w:p>
        </w:tc>
        <w:tc>
          <w:tcPr>
            <w:tcW w:w="120" w:type="dxa"/>
            <w:vAlign w:val="bottom"/>
          </w:tcPr>
          <w:p>
            <w:pPr>
              <w:spacing w:after="0"/>
              <w:rPr>
                <w:sz w:val="12"/>
                <w:szCs w:val="12"/>
                <w:color w:val="auto"/>
              </w:rPr>
            </w:pPr>
          </w:p>
        </w:tc>
        <w:tc>
          <w:tcPr>
            <w:tcW w:w="1420" w:type="dxa"/>
            <w:vAlign w:val="bottom"/>
          </w:tcPr>
          <w:p>
            <w:pPr>
              <w:jc w:val="right"/>
              <w:spacing w:after="0" w:line="142" w:lineRule="exact"/>
              <w:rPr>
                <w:sz w:val="20"/>
                <w:szCs w:val="20"/>
                <w:color w:val="auto"/>
              </w:rPr>
            </w:pPr>
            <w:r>
              <w:rPr>
                <w:rFonts w:ascii="Arial" w:cs="Arial" w:eastAsia="Arial" w:hAnsi="Arial"/>
                <w:sz w:val="14"/>
                <w:szCs w:val="14"/>
                <w:color w:val="auto"/>
              </w:rPr>
              <w:t>4,387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spacing w:after="0" w:line="142" w:lineRule="exact"/>
              <w:rPr>
                <w:sz w:val="20"/>
                <w:szCs w:val="20"/>
                <w:color w:val="auto"/>
              </w:rPr>
            </w:pPr>
            <w:r>
              <w:rPr>
                <w:rFonts w:ascii="Arial" w:cs="Arial" w:eastAsia="Arial" w:hAnsi="Arial"/>
                <w:sz w:val="14"/>
                <w:szCs w:val="14"/>
                <w:color w:val="auto"/>
              </w:rPr>
              <w:t>6,656</w:t>
            </w:r>
          </w:p>
        </w:tc>
        <w:tc>
          <w:tcPr>
            <w:tcW w:w="20" w:type="dxa"/>
            <w:vAlign w:val="bottom"/>
          </w:tcPr>
          <w:p>
            <w:pPr>
              <w:spacing w:after="0"/>
              <w:rPr>
                <w:sz w:val="12"/>
                <w:szCs w:val="12"/>
                <w:color w:val="auto"/>
              </w:rPr>
            </w:pPr>
          </w:p>
        </w:tc>
      </w:tr>
      <w:tr>
        <w:trPr>
          <w:trHeight w:val="149"/>
        </w:trPr>
        <w:tc>
          <w:tcPr>
            <w:tcW w:w="570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Cash and Cash Equivalents and Restricted Cash, Beginning of Period</w:t>
            </w:r>
          </w:p>
        </w:tc>
        <w:tc>
          <w:tcPr>
            <w:tcW w:w="12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13,044</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9,497</w:t>
            </w:r>
          </w:p>
        </w:tc>
        <w:tc>
          <w:tcPr>
            <w:tcW w:w="20" w:type="dxa"/>
            <w:vAlign w:val="bottom"/>
          </w:tcPr>
          <w:p>
            <w:pPr>
              <w:spacing w:after="0"/>
              <w:rPr>
                <w:sz w:val="12"/>
                <w:szCs w:val="12"/>
                <w:color w:val="auto"/>
              </w:rPr>
            </w:pPr>
          </w:p>
        </w:tc>
      </w:tr>
      <w:tr>
        <w:trPr>
          <w:trHeight w:val="182"/>
        </w:trPr>
        <w:tc>
          <w:tcPr>
            <w:tcW w:w="5700" w:type="dxa"/>
            <w:vAlign w:val="bottom"/>
            <w:tcBorders>
              <w:bottom w:val="single" w:sz="8" w:color="CCEEFF"/>
            </w:tcBorders>
            <w:gridSpan w:val="3"/>
          </w:tcPr>
          <w:p>
            <w:pPr>
              <w:ind w:left="20"/>
              <w:spacing w:after="0" w:line="142" w:lineRule="exact"/>
              <w:rPr>
                <w:sz w:val="20"/>
                <w:szCs w:val="20"/>
                <w:color w:val="auto"/>
              </w:rPr>
            </w:pPr>
            <w:r>
              <w:rPr>
                <w:rFonts w:ascii="Arial" w:cs="Arial" w:eastAsia="Arial" w:hAnsi="Arial"/>
                <w:sz w:val="14"/>
                <w:szCs w:val="14"/>
                <w:color w:val="auto"/>
              </w:rPr>
              <w:t>Cash and Cash Equivalents and Restricted Cash, End of Period</w:t>
            </w: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17,431</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16,153</w:t>
            </w:r>
          </w:p>
        </w:tc>
        <w:tc>
          <w:tcPr>
            <w:tcW w:w="20" w:type="dxa"/>
            <w:vAlign w:val="bottom"/>
          </w:tcPr>
          <w:p>
            <w:pPr>
              <w:spacing w:after="0"/>
              <w:rPr>
                <w:sz w:val="15"/>
                <w:szCs w:val="15"/>
                <w:color w:val="auto"/>
              </w:rPr>
            </w:pPr>
          </w:p>
        </w:tc>
      </w:tr>
      <w:tr>
        <w:trPr>
          <w:trHeight w:val="129"/>
        </w:trPr>
        <w:tc>
          <w:tcPr>
            <w:tcW w:w="20" w:type="dxa"/>
            <w:vAlign w:val="bottom"/>
            <w:shd w:val="clear" w:color="auto" w:fill="CCEEFF"/>
          </w:tcPr>
          <w:p>
            <w:pPr>
              <w:spacing w:after="0"/>
              <w:rPr>
                <w:sz w:val="11"/>
                <w:szCs w:val="11"/>
                <w:color w:val="auto"/>
              </w:rPr>
            </w:pPr>
          </w:p>
        </w:tc>
        <w:tc>
          <w:tcPr>
            <w:tcW w:w="3420" w:type="dxa"/>
            <w:vAlign w:val="bottom"/>
            <w:shd w:val="clear" w:color="auto" w:fill="CCEEFF"/>
          </w:tcPr>
          <w:p>
            <w:pPr>
              <w:spacing w:after="0"/>
              <w:rPr>
                <w:sz w:val="11"/>
                <w:szCs w:val="11"/>
                <w:color w:val="auto"/>
              </w:rPr>
            </w:pPr>
          </w:p>
        </w:tc>
        <w:tc>
          <w:tcPr>
            <w:tcW w:w="2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5700" w:type="dxa"/>
            <w:vAlign w:val="bottom"/>
            <w:gridSpan w:val="3"/>
          </w:tcPr>
          <w:p>
            <w:pPr>
              <w:ind w:left="20"/>
              <w:spacing w:after="0" w:line="135" w:lineRule="exact"/>
              <w:rPr>
                <w:sz w:val="20"/>
                <w:szCs w:val="20"/>
                <w:color w:val="auto"/>
              </w:rPr>
            </w:pPr>
            <w:r>
              <w:rPr>
                <w:rFonts w:ascii="Arial" w:cs="Arial" w:eastAsia="Arial" w:hAnsi="Arial"/>
                <w:sz w:val="14"/>
                <w:szCs w:val="14"/>
                <w:color w:val="auto"/>
              </w:rPr>
              <w:t>Reconciliation of Cash to the Consolidated Balance Sheets:</w:t>
            </w: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5700" w:type="dxa"/>
            <w:vAlign w:val="bottom"/>
            <w:gridSpan w:val="3"/>
            <w:shd w:val="clear" w:color="auto" w:fill="CCEEFF"/>
          </w:tcPr>
          <w:p>
            <w:pPr>
              <w:ind w:left="20"/>
              <w:spacing w:after="0" w:line="142" w:lineRule="exact"/>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6,265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3,834</w:t>
            </w:r>
          </w:p>
        </w:tc>
        <w:tc>
          <w:tcPr>
            <w:tcW w:w="20" w:type="dxa"/>
            <w:vAlign w:val="bottom"/>
          </w:tcPr>
          <w:p>
            <w:pPr>
              <w:spacing w:after="0"/>
              <w:rPr>
                <w:sz w:val="12"/>
                <w:szCs w:val="12"/>
                <w:color w:val="auto"/>
              </w:rPr>
            </w:pPr>
          </w:p>
        </w:tc>
      </w:tr>
      <w:tr>
        <w:trPr>
          <w:trHeight w:val="148"/>
        </w:trPr>
        <w:tc>
          <w:tcPr>
            <w:tcW w:w="5700" w:type="dxa"/>
            <w:vAlign w:val="bottom"/>
            <w:tcBorders>
              <w:bottom w:val="single" w:sz="8" w:color="CCEEFF"/>
            </w:tcBorders>
            <w:gridSpan w:val="3"/>
          </w:tcPr>
          <w:p>
            <w:pPr>
              <w:ind w:left="20"/>
              <w:spacing w:after="0" w:line="149" w:lineRule="exact"/>
              <w:rPr>
                <w:sz w:val="20"/>
                <w:szCs w:val="20"/>
                <w:color w:val="auto"/>
              </w:rPr>
            </w:pPr>
            <w:r>
              <w:rPr>
                <w:rFonts w:ascii="Arial" w:cs="Arial" w:eastAsia="Arial" w:hAnsi="Arial"/>
                <w:sz w:val="14"/>
                <w:szCs w:val="14"/>
                <w:color w:val="auto"/>
              </w:rPr>
              <w:t>Restricted Cash</w:t>
            </w:r>
          </w:p>
        </w:tc>
        <w:tc>
          <w:tcPr>
            <w:tcW w:w="1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11,166</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12,319</w:t>
            </w:r>
          </w:p>
        </w:tc>
        <w:tc>
          <w:tcPr>
            <w:tcW w:w="20" w:type="dxa"/>
            <w:vAlign w:val="bottom"/>
          </w:tcPr>
          <w:p>
            <w:pPr>
              <w:spacing w:after="0"/>
              <w:rPr>
                <w:sz w:val="12"/>
                <w:szCs w:val="12"/>
                <w:color w:val="auto"/>
              </w:rPr>
            </w:pPr>
          </w:p>
        </w:tc>
      </w:tr>
      <w:tr>
        <w:trPr>
          <w:trHeight w:val="142"/>
        </w:trPr>
        <w:tc>
          <w:tcPr>
            <w:tcW w:w="5700" w:type="dxa"/>
            <w:vAlign w:val="bottom"/>
            <w:tcBorders>
              <w:bottom w:val="single" w:sz="8" w:color="CCEEFF"/>
            </w:tcBorders>
            <w:gridSpan w:val="3"/>
            <w:shd w:val="clear" w:color="auto" w:fill="CCEEFF"/>
          </w:tcPr>
          <w:p>
            <w:pPr>
              <w:ind w:left="20"/>
              <w:spacing w:after="0" w:line="142" w:lineRule="exact"/>
              <w:rPr>
                <w:sz w:val="20"/>
                <w:szCs w:val="20"/>
                <w:color w:val="auto"/>
              </w:rPr>
            </w:pPr>
            <w:r>
              <w:rPr>
                <w:rFonts w:ascii="Arial" w:cs="Arial" w:eastAsia="Arial" w:hAnsi="Arial"/>
                <w:sz w:val="14"/>
                <w:szCs w:val="14"/>
                <w:color w:val="auto"/>
              </w:rPr>
              <w:t>Total Cash</w:t>
            </w: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17,431</w:t>
            </w: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16,153</w:t>
            </w:r>
          </w:p>
        </w:tc>
        <w:tc>
          <w:tcPr>
            <w:tcW w:w="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1500" w:right="1980"/>
        <w:spacing w:after="0" w:line="263" w:lineRule="auto"/>
        <w:rPr>
          <w:sz w:val="20"/>
          <w:szCs w:val="20"/>
          <w:color w:val="auto"/>
        </w:rPr>
      </w:pPr>
      <w:r>
        <w:rPr>
          <w:rFonts w:ascii="Arial" w:cs="Arial" w:eastAsia="Arial" w:hAnsi="Arial"/>
          <w:sz w:val="18"/>
          <w:szCs w:val="18"/>
          <w:color w:val="auto"/>
        </w:rPr>
        <w:t>ALPINE INCOME PROPERTY TRUST, INC. CONSOLIDATED STATEMENTS OF CASH FLOWS (Continued) (Unaudited, in thousands)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Nine Months Ended</w:t>
            </w:r>
          </w:p>
        </w:tc>
      </w:tr>
      <w:tr>
        <w:trPr>
          <w:trHeight w:val="142"/>
        </w:trPr>
        <w:tc>
          <w:tcPr>
            <w:tcW w:w="5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September 30, 2023</w:t>
            </w:r>
          </w:p>
        </w:tc>
        <w:tc>
          <w:tcPr>
            <w:tcW w:w="160" w:type="dxa"/>
            <w:vAlign w:val="bottom"/>
          </w:tcPr>
          <w:p>
            <w:pPr>
              <w:spacing w:after="0"/>
              <w:rPr>
                <w:sz w:val="12"/>
                <w:szCs w:val="12"/>
                <w:color w:val="auto"/>
              </w:rPr>
            </w:pPr>
          </w:p>
        </w:tc>
        <w:tc>
          <w:tcPr>
            <w:tcW w:w="1360" w:type="dxa"/>
            <w:vAlign w:val="bottom"/>
          </w:tcPr>
          <w:p>
            <w:pPr>
              <w:jc w:val="right"/>
              <w:ind w:right="88"/>
              <w:spacing w:after="0" w:line="142" w:lineRule="exact"/>
              <w:rPr>
                <w:sz w:val="20"/>
                <w:szCs w:val="20"/>
                <w:color w:val="auto"/>
              </w:rPr>
            </w:pPr>
            <w:r>
              <w:rPr>
                <w:rFonts w:ascii="Arial" w:cs="Arial" w:eastAsia="Arial" w:hAnsi="Arial"/>
                <w:sz w:val="14"/>
                <w:szCs w:val="14"/>
                <w:b w:val="1"/>
                <w:bCs w:val="1"/>
                <w:color w:val="auto"/>
                <w:w w:val="90"/>
              </w:rPr>
              <w:t>September 30, 2022</w:t>
            </w:r>
          </w:p>
        </w:tc>
      </w:tr>
      <w:tr>
        <w:trPr>
          <w:trHeight w:val="142"/>
        </w:trPr>
        <w:tc>
          <w:tcPr>
            <w:tcW w:w="570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Supplemental Disclosure of Cash Flow Information:</w:t>
            </w:r>
          </w:p>
        </w:tc>
        <w:tc>
          <w:tcPr>
            <w:tcW w:w="16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spacing w:after="0"/>
              <w:rPr>
                <w:sz w:val="12"/>
                <w:szCs w:val="12"/>
                <w:color w:val="auto"/>
              </w:rPr>
            </w:pPr>
          </w:p>
        </w:tc>
      </w:tr>
      <w:tr>
        <w:trPr>
          <w:trHeight w:val="148"/>
        </w:trPr>
        <w:tc>
          <w:tcPr>
            <w:tcW w:w="5700" w:type="dxa"/>
            <w:vAlign w:val="bottom"/>
          </w:tcPr>
          <w:p>
            <w:pPr>
              <w:ind w:left="120"/>
              <w:spacing w:after="0" w:line="149" w:lineRule="exact"/>
              <w:rPr>
                <w:sz w:val="20"/>
                <w:szCs w:val="20"/>
                <w:color w:val="auto"/>
              </w:rPr>
            </w:pPr>
            <w:r>
              <w:rPr>
                <w:rFonts w:ascii="Arial" w:cs="Arial" w:eastAsia="Arial" w:hAnsi="Arial"/>
                <w:sz w:val="14"/>
                <w:szCs w:val="14"/>
                <w:color w:val="auto"/>
              </w:rPr>
              <w:t>Cash Paid for Interest</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6,924</w:t>
            </w:r>
          </w:p>
        </w:tc>
        <w:tc>
          <w:tcPr>
            <w:tcW w:w="14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5,806</w:t>
            </w:r>
          </w:p>
        </w:tc>
      </w:tr>
      <w:tr>
        <w:trPr>
          <w:trHeight w:val="148"/>
        </w:trPr>
        <w:tc>
          <w:tcPr>
            <w:tcW w:w="5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r>
      <w:tr>
        <w:trPr>
          <w:trHeight w:val="149"/>
        </w:trPr>
        <w:tc>
          <w:tcPr>
            <w:tcW w:w="5700" w:type="dxa"/>
            <w:vAlign w:val="bottom"/>
          </w:tcPr>
          <w:p>
            <w:pPr>
              <w:ind w:left="20"/>
              <w:spacing w:after="0" w:line="149" w:lineRule="exact"/>
              <w:rPr>
                <w:sz w:val="20"/>
                <w:szCs w:val="20"/>
                <w:color w:val="auto"/>
              </w:rPr>
            </w:pPr>
            <w:r>
              <w:rPr>
                <w:rFonts w:ascii="Arial" w:cs="Arial" w:eastAsia="Arial" w:hAnsi="Arial"/>
                <w:sz w:val="14"/>
                <w:szCs w:val="14"/>
                <w:color w:val="auto"/>
              </w:rPr>
              <w:t>Supplemental Disclosure of Non-Cash Investing and Financing Activities:</w:t>
            </w: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8"/>
        </w:trPr>
        <w:tc>
          <w:tcPr>
            <w:tcW w:w="57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Unrealized Gain on Cash Flow Hedge</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3,105</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13,839</w:t>
            </w:r>
          </w:p>
        </w:tc>
      </w:tr>
      <w:tr>
        <w:trPr>
          <w:trHeight w:val="182"/>
        </w:trPr>
        <w:tc>
          <w:tcPr>
            <w:tcW w:w="5700" w:type="dxa"/>
            <w:vAlign w:val="bottom"/>
          </w:tcPr>
          <w:p>
            <w:pPr>
              <w:ind w:left="120"/>
              <w:spacing w:after="0"/>
              <w:rPr>
                <w:sz w:val="20"/>
                <w:szCs w:val="20"/>
                <w:color w:val="auto"/>
              </w:rPr>
            </w:pPr>
            <w:r>
              <w:rPr>
                <w:rFonts w:ascii="Arial" w:cs="Arial" w:eastAsia="Arial" w:hAnsi="Arial"/>
                <w:sz w:val="14"/>
                <w:szCs w:val="14"/>
                <w:color w:val="auto"/>
              </w:rPr>
              <w:t>Right-of-Use Assets and Operating Lease Liability</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1,831</w:t>
            </w:r>
          </w:p>
        </w:tc>
      </w:tr>
    </w:tbl>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 BUSINESS AND ORGANIZATION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BUSINESS</w:t>
      </w:r>
    </w:p>
    <w:p>
      <w:pPr>
        <w:spacing w:after="0" w:line="22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Alpine Income Property Trust, Inc. (the “Company” or “PINE”) is a real estate company that owns and operates a high-quality portfolio of commercial net lease properties. The terms “us,” “we,” “our,” and “the Company” as used in this report refer to Alpine Income Property Trust, Inc. together with our consolidated subsidiaries.</w:t>
      </w:r>
    </w:p>
    <w:p>
      <w:pPr>
        <w:spacing w:after="0" w:line="165"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Our portfolio consists of 138 net leased properties located in 103 markets in 35 states. The properties in our portfolio are primarily subject to long-term, net leases, which generally require the tenant to pay or reimburse us for property operating expenses such as real estate taxes, insurance, assessments and other governmental fees, utilities, repairs and maintenance and certain capital expenditures. The Company may also acquire or originate commercial loans and investments. Our investments in commercial loans are generally secured by real estate or the borrower’s pledge of its ownership interest in an entity that owns real estate. See Note 4, “Commercial Loans and Investments” for further disclosure related to the Company’s commercial loans and investments.</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Company operates in two primary business segments: income properties and commercial loans and investments.</w:t>
      </w:r>
    </w:p>
    <w:p>
      <w:pPr>
        <w:spacing w:after="0" w:line="248"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Company has no employees and is externally managed by Alpine Income Property Manager, LLC, a Delaware limited liability company and a wholly owned subsidiary of CTO Realty Growth, Inc. (our “Manager”). CTO Realty Growth, Inc. (NYSE: CTO) is a Maryland corporation that is a publicly traded diversified real estate investment trust (“REIT”) and the sole member of our Manager (“CTO”).</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ORGANIZATION</w:t>
      </w:r>
    </w:p>
    <w:p>
      <w:pPr>
        <w:spacing w:after="0" w:line="22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The Company is a Maryland corporation that was formed on August 19, 2019. On November 26, 2019, the Company closed its initial public offering (“IPO”). We conduct the substantial majority of our operations through Alpine Income Property OP, LP (the “Operating Partnership”). Our wholly owned subsidiary, Alpine Income Property GP, LLC (“PINE GP”), is the sole general partner of the Operating Partnership. Substantially all of our assets are held by, and our operations are conducted through, the Operating Partnership. As of September 30, 2023, we have a total ownership interest in the Operating Partnership of 89.0%, with CTO holding, directly and indirectly, a 7.9% ownership interest in the Operating Partnership. The remaining 3.1% ownership interest is held by an unrelated third party in connection with the issuance of units of the Operating Partnership (“OP Units”) as consideration for a portfolio of net lease properties acquired during the year ended December 31, 2021. Our interest in the Operating Partnership generally entitles us to share in cash distributions from, and in the profits and losses of, the Operating Partnership in proportion to our percentage ownership. We, through PINE GP, generally have the exclusive power under the partnership agreement to manage and conduct the business and affairs of the Operating Partnership, subject to certain approval and voting rights of the limited partners. Our Board of Directors (the “Board”) manages or provides oversight of our business and affairs.</w:t>
      </w:r>
    </w:p>
    <w:p>
      <w:pPr>
        <w:spacing w:after="0" w:line="174" w:lineRule="exact"/>
        <w:rPr>
          <w:sz w:val="20"/>
          <w:szCs w:val="20"/>
          <w:color w:val="auto"/>
        </w:rPr>
      </w:pPr>
    </w:p>
    <w:p>
      <w:pPr>
        <w:jc w:val="both"/>
        <w:ind w:left="60" w:right="59" w:firstLine="388"/>
        <w:spacing w:after="0" w:line="287" w:lineRule="auto"/>
        <w:rPr>
          <w:sz w:val="20"/>
          <w:szCs w:val="20"/>
          <w:color w:val="auto"/>
        </w:rPr>
      </w:pPr>
      <w:r>
        <w:rPr>
          <w:rFonts w:ascii="Arial" w:cs="Arial" w:eastAsia="Arial" w:hAnsi="Arial"/>
          <w:sz w:val="16"/>
          <w:szCs w:val="16"/>
          <w:color w:val="auto"/>
        </w:rPr>
        <w:t>The Company has elected to be taxed as a REIT for U.S. federal income tax purposes under the Internal Revenue Code of 1986, as amended (the “Code”). To qualify as a REIT, the Company must meet certain organizational and operational requirements, including a requirement to distribute at least 90% of the Company’s annual REIT taxable income, without regard to the dividends paid deduction or net capital gain, to its stockholders (which does not necessarily equal net income as calculated in accordance with generally accepted accounting principles). As a REIT, the Company is generally not subject to U.S. federal corporate income tax to the extent of its distributions to stockholders. If the Company fails to qualify as a REIT in any taxable year, the Company will be subject to U.S. federal income tax on its taxable income at regular corporate rates and generally will not be permitted to qualify for treatment as a REIT for the four taxable years following the year during which qualification is lost unless the Internal Revenue Service grants the Company relief under certain statutory provisions. Such an event could materially adversely affect the Company’s net income and net cash available for distribution to stockholders. Even if the Company qualifies for taxation as a REIT, the Company may be subject to state and local taxes on its income and property and federal income and excise taxes on its undistributed income.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2. SUMMARY OF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jc w:val="both"/>
        <w:ind w:left="60" w:right="59" w:firstLine="389"/>
        <w:spacing w:after="0" w:line="263" w:lineRule="auto"/>
        <w:rPr>
          <w:sz w:val="20"/>
          <w:szCs w:val="20"/>
          <w:color w:val="auto"/>
        </w:rPr>
      </w:pPr>
      <w:r>
        <w:rPr>
          <w:rFonts w:ascii="Arial" w:cs="Arial" w:eastAsia="Arial" w:hAnsi="Arial"/>
          <w:sz w:val="18"/>
          <w:szCs w:val="18"/>
          <w:color w:val="auto"/>
        </w:rPr>
        <w:t>The consolidated financial statements include the accounts of the Company, its wholly owned subsidiaries, and other entities in which we have a controlling interest. All significant inter-company balances and transactions have been eliminated in the consolidated financial statements.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SEGMENT REPORTING</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 xml:space="preserve">Financial Accounting Standards Board (“FASB”) ASC Topic 280, </w:t>
      </w:r>
      <w:r>
        <w:rPr>
          <w:rFonts w:ascii="Arial" w:cs="Arial" w:eastAsia="Arial" w:hAnsi="Arial"/>
          <w:sz w:val="18"/>
          <w:szCs w:val="18"/>
          <w:i w:val="1"/>
          <w:iCs w:val="1"/>
          <w:color w:val="auto"/>
        </w:rPr>
        <w:t>Segment Reporting</w:t>
      </w:r>
      <w:r>
        <w:rPr>
          <w:rFonts w:ascii="Arial" w:cs="Arial" w:eastAsia="Arial" w:hAnsi="Arial"/>
          <w:sz w:val="18"/>
          <w:szCs w:val="18"/>
          <w:color w:val="auto"/>
        </w:rPr>
        <w:t>, establishes standards related to the manner in which enterprises report operating segment information. The Company operates in two primary business segments: income properties and commercial loans and investments. The Company has no other reportable segments. The Company’s chief executive officer, who is the chief operating decision maker, reviews financial information on an aggregate basis for purposes of evaluating financial performance.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USE OF ESTIMATES IN THE PREPARATION OF FINANCIAL STATEMENTS</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presented. Actual results could differ from those estimates.</w:t>
      </w:r>
    </w:p>
    <w:p>
      <w:pPr>
        <w:spacing w:after="0" w:line="188"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Among other factors, fluctuating market conditions that can exist in the national real estate markets and the volatility and uncertainty in the financial and credit markets make it possible that the estimates and assumptions, most notably those related to PINE’s investment in properties, could change materially due to continued volatility in the real estate and financial markets, or as a result of a significant dislocation in those markets.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LONG-LIVED ASSETS</w:t>
      </w:r>
    </w:p>
    <w:p>
      <w:pPr>
        <w:spacing w:after="0" w:line="22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 xml:space="preserve">The Company follows Financial Accounting Standards Board (“FASB”) Accounting Standards Codification (“ASC”) Topic 360-10,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xml:space="preserve"> in conducting its impairment analyses. The Company reviews the recoverability of long-lived assets, primarily real estate, and real estate held for sale, for impairment whenever events or changes in circumstances indicate that the carrying amount of an asset may not be recoverable. Examples of situations considered to be triggering events include: a substantial decline in operating cash flows during the period, a current or projected loss from operations, a property not fully leased or leased at rates that are less than current market rates, and any other quantitative or qualitative events deemed significant by management. Long-lived assets are evaluated for impairment by using an undiscounted cash flow approach, which considers future estimated capital expenditures. Impairment of long-lived assets is measured at fair value less cost to sell.</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PURCHASE ACCOUNTING FOR ACQUISITIONS OF REAL ESTATE SUBJECT TO A LEASE</w:t>
      </w:r>
    </w:p>
    <w:p>
      <w:pPr>
        <w:spacing w:after="0" w:line="225" w:lineRule="exact"/>
        <w:rPr>
          <w:sz w:val="20"/>
          <w:szCs w:val="20"/>
          <w:color w:val="auto"/>
        </w:rPr>
      </w:pPr>
    </w:p>
    <w:p>
      <w:pPr>
        <w:jc w:val="both"/>
        <w:ind w:left="60" w:right="59" w:firstLine="545"/>
        <w:spacing w:after="0" w:line="287" w:lineRule="auto"/>
        <w:rPr>
          <w:sz w:val="20"/>
          <w:szCs w:val="20"/>
          <w:color w:val="auto"/>
        </w:rPr>
      </w:pPr>
      <w:r>
        <w:rPr>
          <w:rFonts w:ascii="Arial" w:cs="Arial" w:eastAsia="Arial" w:hAnsi="Arial"/>
          <w:sz w:val="16"/>
          <w:szCs w:val="16"/>
          <w:color w:val="auto"/>
        </w:rPr>
        <w:t xml:space="preserve">Investments in real estate are carried at cost less accumulated depreciation and impairment losses, if any. The cost of investments in real estate reflects their purchase price or development cost. We evaluate each acquisition transaction to determine whether the acquired asset meets the definition of a business. Under Accounting Standards Update (“ASU”) 2017-01, Business Combinations (Topic 805): </w:t>
      </w:r>
      <w:r>
        <w:rPr>
          <w:rFonts w:ascii="Arial" w:cs="Arial" w:eastAsia="Arial" w:hAnsi="Arial"/>
          <w:sz w:val="16"/>
          <w:szCs w:val="16"/>
          <w:i w:val="1"/>
          <w:iCs w:val="1"/>
          <w:color w:val="auto"/>
        </w:rPr>
        <w:t>Clarifying the Definition of a Business</w:t>
      </w:r>
      <w:r>
        <w:rPr>
          <w:rFonts w:ascii="Arial" w:cs="Arial" w:eastAsia="Arial" w:hAnsi="Arial"/>
          <w:sz w:val="16"/>
          <w:szCs w:val="16"/>
          <w:color w:val="auto"/>
        </w:rPr>
        <w:t>, an acquisition does not qualify as a business when there is no substantive process acquired or substantially all of the fair value is concentrated in a single identifiable asset or group of similar identifiable assets or the acquisition does not include a substantive process in the form of an acquired workforce or an acquired contract that cannot be replaced without significant cost, effort or delay. Transaction costs related to acquisitions that are asset acquisitions are capitalized as part of the cost basis of the acquired assets, while transaction costs for acquisitions that are deemed to be acquisitions of a business are expensed as incurred. Improvements and replacements are capitalized when they extend the useful life or improve the productive capacity of the asset. Costs of repairs and maintenance are expensed as incurred.</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500"/>
        <w:spacing w:after="0" w:line="269" w:lineRule="auto"/>
        <w:rPr>
          <w:sz w:val="20"/>
          <w:szCs w:val="20"/>
          <w:color w:val="auto"/>
        </w:rPr>
      </w:pPr>
      <w:r>
        <w:rPr>
          <w:rFonts w:ascii="Arial" w:cs="Arial" w:eastAsia="Arial" w:hAnsi="Arial"/>
          <w:sz w:val="17"/>
          <w:szCs w:val="17"/>
          <w:color w:val="auto"/>
        </w:rPr>
        <w:t>In accordance with FASB guidance, the fair value of 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capitalized above-market lease values are amortized as a reduction of rental income over the remaining terms of the respective leases. The capitalized below-market lease values are amortized as an increase to rental income over the initial term unless management believes that it is likely that the tenant will renew the lease upon expiration, in which case the Company amortizes the value attributable to the renewal over the renewal period. The value of in-place leases and leasing costs are amortized to expense over the remaining non-cancelable periods of the respective leases. If a lease were to be terminated prior to its stated expiration, all unamortized amounts relating to that lease would be written off.</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ASSETS HELD FOR SALE</w:t>
      </w:r>
    </w:p>
    <w:p>
      <w:pPr>
        <w:spacing w:after="0" w:line="225" w:lineRule="exact"/>
        <w:rPr>
          <w:sz w:val="20"/>
          <w:szCs w:val="20"/>
          <w:color w:val="auto"/>
        </w:rPr>
      </w:pPr>
    </w:p>
    <w:p>
      <w:pPr>
        <w:jc w:val="both"/>
        <w:ind w:left="60" w:right="79" w:firstLine="500"/>
        <w:spacing w:after="0" w:line="286" w:lineRule="auto"/>
        <w:rPr>
          <w:sz w:val="20"/>
          <w:szCs w:val="20"/>
          <w:color w:val="auto"/>
        </w:rPr>
      </w:pPr>
      <w:r>
        <w:rPr>
          <w:rFonts w:ascii="Arial" w:cs="Arial" w:eastAsia="Arial" w:hAnsi="Arial"/>
          <w:sz w:val="17"/>
          <w:szCs w:val="17"/>
          <w:color w:val="auto"/>
        </w:rPr>
        <w:t xml:space="preserve">Investments in real estate which are determined to be “held for sale” pursuant to FASB Topic 360-10, </w:t>
      </w:r>
      <w:r>
        <w:rPr>
          <w:rFonts w:ascii="Arial" w:cs="Arial" w:eastAsia="Arial" w:hAnsi="Arial"/>
          <w:sz w:val="17"/>
          <w:szCs w:val="17"/>
          <w:i w:val="1"/>
          <w:iCs w:val="1"/>
          <w:color w:val="auto"/>
        </w:rPr>
        <w:t>Property,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Plant, and Equipment </w:t>
      </w:r>
      <w:r>
        <w:rPr>
          <w:rFonts w:ascii="Arial" w:cs="Arial" w:eastAsia="Arial" w:hAnsi="Arial"/>
          <w:sz w:val="17"/>
          <w:szCs w:val="17"/>
          <w:color w:val="auto"/>
        </w:rPr>
        <w:t>are reported separately on the consolidated balance sheets at the lesser of carrying value or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less costs to sell. Real estate investments classified as held for sale are not depreciated.</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OF REAL ESTATE</w:t>
      </w:r>
    </w:p>
    <w:p>
      <w:pPr>
        <w:spacing w:after="0" w:line="225" w:lineRule="exact"/>
        <w:rPr>
          <w:sz w:val="20"/>
          <w:szCs w:val="20"/>
          <w:color w:val="auto"/>
        </w:rPr>
      </w:pPr>
    </w:p>
    <w:p>
      <w:pPr>
        <w:jc w:val="both"/>
        <w:ind w:left="60" w:right="59" w:firstLine="500"/>
        <w:spacing w:after="0" w:line="257" w:lineRule="auto"/>
        <w:rPr>
          <w:sz w:val="20"/>
          <w:szCs w:val="20"/>
          <w:color w:val="auto"/>
        </w:rPr>
      </w:pPr>
      <w:r>
        <w:rPr>
          <w:rFonts w:ascii="Arial" w:cs="Arial" w:eastAsia="Arial" w:hAnsi="Arial"/>
          <w:sz w:val="18"/>
          <w:szCs w:val="18"/>
          <w:color w:val="auto"/>
        </w:rPr>
        <w:t>When properties are disposed of, the related cost basis of the real estate, intangible lease assets, and intangible lease liabilities, net of accumulated depreciation and/or amortization, and any accrued straight-line rental income balance for the underlying operating leases are removed, and gains or losses from the dispositions are reflected in net income within gain on dispositions of assets. In accordance with the FASB guidance, gains or losses on sales of real estate are generally recognized using the full accrual method.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PROPERTY LEASE REVENUE</w:t>
      </w:r>
    </w:p>
    <w:p>
      <w:pPr>
        <w:spacing w:after="0" w:line="22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The rental arrangements associated with the Company’s property portfolio are classified as operating leases. The Company recognizes lease income on these properties on a straight-line basis over the term of the lease. Accordingly, contractual lease payment increases are recognized evenly over the term of the lease. The periodic difference between lease income recognized under this method and contractual lease payment terms (i.e., straight-line rent) is recorded as a deferred operating lease receivable and is included in straight-line rent adjustment on the accompanying consolidated balance sheets. The Company’s leases provide for reimbursement from tenants for variable lease payments including common area maintenance, insurance, real estate taxes, and other operating expenses. A portion of our variable lease payment revenue is estimated each period and is recognized as rental income in the period the recoverable costs are incurred and accrued.</w:t>
      </w:r>
    </w:p>
    <w:p>
      <w:pPr>
        <w:spacing w:after="0" w:line="165"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The collectability of tenant receivables and straight-line rent adjustments is determined based on, among other things, the aging of the tenant receivable, management’s evaluation of credit risk associated with the tenant and industry of the tenant, and a review of specifically identified accounts using judgment. As of September 30, 2023 and December 31, 2022, the Company’s allowance for doubtful accounts totaled $0.3 million and $0.4 million, respectively.</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RECOGNITION OF INTEREST INCOME FROM COMMERCIAL LOANS AND INVESTMENTS</w:t>
      </w:r>
    </w:p>
    <w:p>
      <w:pPr>
        <w:spacing w:after="0" w:line="225" w:lineRule="exact"/>
        <w:rPr>
          <w:sz w:val="20"/>
          <w:szCs w:val="20"/>
          <w:color w:val="auto"/>
        </w:rPr>
      </w:pPr>
    </w:p>
    <w:p>
      <w:pPr>
        <w:jc w:val="both"/>
        <w:ind w:left="60" w:right="79" w:firstLine="389"/>
        <w:spacing w:after="0" w:line="259" w:lineRule="auto"/>
        <w:rPr>
          <w:sz w:val="20"/>
          <w:szCs w:val="20"/>
          <w:color w:val="auto"/>
        </w:rPr>
      </w:pPr>
      <w:r>
        <w:rPr>
          <w:rFonts w:ascii="Arial" w:cs="Arial" w:eastAsia="Arial" w:hAnsi="Arial"/>
          <w:sz w:val="18"/>
          <w:szCs w:val="18"/>
          <w:color w:val="auto"/>
        </w:rPr>
        <w:t>Interest income on commercial loans and investments includes interest payments made by the borrower and the accretion of loan origination fees, offset by the amortization of loan costs. Interest payments are accrued based on the actual coupon rate and the outstanding principal balance and purchase discounts and loan origination fees are accreted into income using the effective yield method, adjusted for prepayments.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OPERATING LAND LEASE EXPENSE</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 xml:space="preserve">The Company is the lessee under operating land leases for certain of its properties, which leases are classified as operating leases pursuant to FASB ASC Topic 842, </w:t>
      </w:r>
      <w:r>
        <w:rPr>
          <w:rFonts w:ascii="Arial" w:cs="Arial" w:eastAsia="Arial" w:hAnsi="Arial"/>
          <w:sz w:val="18"/>
          <w:szCs w:val="18"/>
          <w:i w:val="1"/>
          <w:iCs w:val="1"/>
          <w:color w:val="auto"/>
        </w:rPr>
        <w:t>Leases</w:t>
      </w:r>
      <w:r>
        <w:rPr>
          <w:rFonts w:ascii="Arial" w:cs="Arial" w:eastAsia="Arial" w:hAnsi="Arial"/>
          <w:sz w:val="18"/>
          <w:szCs w:val="18"/>
          <w:color w:val="auto"/>
        </w:rPr>
        <w:t>. The corresponding lease expense is recognized on a straight-line basis over the term of the lease and is included in real estate expenses in the accompanying consolidated statements of operations.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Cash and cash equivalents include cash on hand, bank demand accounts, and money market accounts having original maturities of 90 days or less. The Company’s bank balances as of September 30, 2023 and December 31, 2022 include certain amounts over the Federal Deposit Insurance Corporation limits. The carrying value of cash and cash equivalents is reported at Level 1 in the fair value hierarchy, which represents valuation based upon quoted prices in active markets for identical assets or liabilities.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CASH</w:t>
      </w:r>
    </w:p>
    <w:p>
      <w:pPr>
        <w:spacing w:after="0" w:line="225" w:lineRule="exact"/>
        <w:rPr>
          <w:sz w:val="20"/>
          <w:szCs w:val="20"/>
          <w:color w:val="auto"/>
        </w:rPr>
      </w:pPr>
    </w:p>
    <w:p>
      <w:pPr>
        <w:jc w:val="both"/>
        <w:ind w:left="60" w:right="59" w:firstLine="441"/>
        <w:spacing w:after="0" w:line="311" w:lineRule="auto"/>
        <w:rPr>
          <w:sz w:val="20"/>
          <w:szCs w:val="20"/>
          <w:color w:val="auto"/>
        </w:rPr>
      </w:pPr>
      <w:r>
        <w:rPr>
          <w:rFonts w:ascii="Arial" w:cs="Arial" w:eastAsia="Arial" w:hAnsi="Arial"/>
          <w:sz w:val="16"/>
          <w:szCs w:val="16"/>
          <w:color w:val="auto"/>
        </w:rPr>
        <w:t>Restricted cash totaled $11.2 million as of September 30, 2023, of which $10.6 million is being held in various escrow accounts to be reinvested through the like-kind exchange structure into other income properties and $0.6 million is being held in an interest, tax, and insurance reserve account related to the Company’s commercial loan investment.</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DERIVATIVE FINANCIAL INSTRUMENTS AND HEDGING ACTIVITY</w:t>
      </w:r>
    </w:p>
    <w:p>
      <w:pPr>
        <w:spacing w:after="0" w:line="225"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 xml:space="preserve">The Company accounts for its cash flow hedging derivatives in accordance with FASB ASC Topic 815-20, </w:t>
      </w:r>
      <w:r>
        <w:rPr>
          <w:rFonts w:ascii="Arial" w:cs="Arial" w:eastAsia="Arial" w:hAnsi="Arial"/>
          <w:sz w:val="17"/>
          <w:szCs w:val="17"/>
          <w:i w:val="1"/>
          <w:iCs w:val="1"/>
          <w:color w:val="auto"/>
        </w:rPr>
        <w:t>Derivatives</w:t>
      </w:r>
      <w:r>
        <w:rPr>
          <w:rFonts w:ascii="Arial" w:cs="Arial" w:eastAsia="Arial" w:hAnsi="Arial"/>
          <w:sz w:val="17"/>
          <w:szCs w:val="17"/>
          <w:color w:val="auto"/>
        </w:rPr>
        <w:t xml:space="preserve"> </w:t>
      </w:r>
      <w:r>
        <w:rPr>
          <w:rFonts w:ascii="Arial" w:cs="Arial" w:eastAsia="Arial" w:hAnsi="Arial"/>
          <w:sz w:val="17"/>
          <w:szCs w:val="17"/>
          <w:i w:val="1"/>
          <w:iCs w:val="1"/>
          <w:color w:val="auto"/>
        </w:rPr>
        <w:t>and Hedging</w:t>
      </w:r>
      <w:r>
        <w:rPr>
          <w:rFonts w:ascii="Arial" w:cs="Arial" w:eastAsia="Arial" w:hAnsi="Arial"/>
          <w:sz w:val="17"/>
          <w:szCs w:val="17"/>
          <w:color w:val="auto"/>
        </w:rPr>
        <w:t>. Depending upon the hedge’s value at each balance sheet date, the derivatives are included in either other</w:t>
      </w:r>
      <w:r>
        <w:rPr>
          <w:rFonts w:ascii="Arial" w:cs="Arial" w:eastAsia="Arial" w:hAnsi="Arial"/>
          <w:sz w:val="17"/>
          <w:szCs w:val="17"/>
          <w:i w:val="1"/>
          <w:iCs w:val="1"/>
          <w:color w:val="auto"/>
        </w:rPr>
        <w:t xml:space="preserve"> </w:t>
      </w:r>
      <w:r>
        <w:rPr>
          <w:rFonts w:ascii="Arial" w:cs="Arial" w:eastAsia="Arial" w:hAnsi="Arial"/>
          <w:sz w:val="17"/>
          <w:szCs w:val="17"/>
          <w:color w:val="auto"/>
        </w:rPr>
        <w:t>assets or accounts payable, accrued expenses, and other liabilities on the accompanying consolidated balance sheet at its fair value. On the date each interest rate swap was entered into, the Company designated the derivatives as a hedge of the variability of cash flows to be paid related to the recognized long-term debt liabilities.</w:t>
      </w:r>
    </w:p>
    <w:p>
      <w:pPr>
        <w:spacing w:after="0" w:line="176"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Company documented the relationship between the hedging instruments and the hedged item, as well as its risk-management objective and strategy for undertaking the hedge transactions. At the hedges’ inception, the Company assessed whether the derivatives that are used in hedging the transactions are highly effective in offsetting changes in cash flows of the hedged items and will continue to do so on a quarterly basis.</w:t>
      </w:r>
    </w:p>
    <w:p>
      <w:pPr>
        <w:spacing w:after="0" w:line="187"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Changes in fair value of the hedging instruments that are highly effective and designated and qualified as cash-flow hedges are recorded in other comprehensive income and loss, until earnings are affected by the variability in cash flows of the designated hedged items (see Note 12, “Interest Rate Swaps”).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carrying amounts of the Company’s financial assets and liabilities including cash and cash equivalents, restricted cash, accounts receivable included in other assets, accounts payable, accrued expenses and other liabilities approximate fair value because of the short maturity of these instruments. The carrying value of the Credit Facility, hereinafter defined, approximates current market rates for revolving credit arrangements with similar risks and maturities. The Company estimates the fair value of its commercial loans and investments and term loans based on incremental borrowing rates for similar types of borrowing arrangements with the same remaining maturity and on the discounted estimated future cash payments to be made for other debt. The discount rate used to calculate the fair value of debt approximates current lending rates for loans and assumes the debt is outstanding through maturity. Since such amounts are estimates that are based on limited available market information for similar transactions, which is a Level 2 non-recurring measurement, there can be no assurance that the disclosed value of any financial instrument could be realized by immediate settlement of the instrument.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FAIR VALUE MEASUREMENTS</w:t>
      </w:r>
    </w:p>
    <w:p>
      <w:pPr>
        <w:spacing w:after="0" w:line="212"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The Company’s estimates of fair value of financial and non-financial assets and liabilities is based on the framework established by GAAP. The framework specifies a hierarchy of valuation inputs which was established to increase consistency, clarity and comparability in fair value measurements and related disclosures. GAAP describes a fair value hierarchy based upon three levels of inputs that may be used to measure fair value, two of which are considered observable and one that is considered unobservable. The following describes the three levels:</w:t>
      </w:r>
    </w:p>
    <w:p>
      <w:pPr>
        <w:spacing w:after="0" w:line="163" w:lineRule="exact"/>
        <w:rPr>
          <w:sz w:val="20"/>
          <w:szCs w:val="20"/>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Valuation is based upon quoted prices in active markets for identical assets or liabilities.</w:t>
      </w:r>
    </w:p>
    <w:p>
      <w:pPr>
        <w:spacing w:after="0" w:line="211" w:lineRule="exact"/>
        <w:rPr>
          <w:rFonts w:ascii="Arial" w:cs="Arial" w:eastAsia="Arial" w:hAnsi="Arial"/>
          <w:sz w:val="18"/>
          <w:szCs w:val="18"/>
          <w:color w:val="auto"/>
        </w:rPr>
      </w:pPr>
    </w:p>
    <w:p>
      <w:pPr>
        <w:jc w:val="both"/>
        <w:ind w:left="720" w:right="79" w:hanging="319"/>
        <w:spacing w:after="0" w:line="249"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Valuation is based upon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67" w:lineRule="exact"/>
        <w:rPr>
          <w:rFonts w:ascii="Arial" w:cs="Arial" w:eastAsia="Arial" w:hAnsi="Arial"/>
          <w:sz w:val="18"/>
          <w:szCs w:val="18"/>
          <w:color w:val="auto"/>
        </w:rPr>
      </w:pPr>
    </w:p>
    <w:p>
      <w:pPr>
        <w:jc w:val="both"/>
        <w:ind w:left="720" w:right="79" w:hanging="319"/>
        <w:spacing w:after="0" w:line="249"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option pricing models, discounted cash flow models and similar techniques.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CONCENTRATION OF CREDIT RISK</w:t>
      </w:r>
    </w:p>
    <w:p>
      <w:pPr>
        <w:spacing w:after="0" w:line="225"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color w:val="auto"/>
        </w:rPr>
        <w:t>During the nine months ended September 30, 2023, Walgreens accounted for 11% of total revenues. There were no tenants who accounted for more than 10% of total revenues during the nine months ended September 30, 2022.</w:t>
      </w:r>
    </w:p>
    <w:p>
      <w:pPr>
        <w:spacing w:after="0" w:line="146"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As of September 30, 2023, 13%, 11%, and 10% of the Company’s real estate portfolio, based on square footage, was located in the states of Texas, New Jersey, and Michigan, respectively. As of December 31, 2022, 19% of the Company’s real estate portfolio, based on square footage, was located in the state of Texas.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RECLASSIFICATIONS</w:t>
      </w:r>
    </w:p>
    <w:p>
      <w:pPr>
        <w:spacing w:after="0" w:line="225"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Certain items in the prior period’s consolidated statement of operations have been reclassified to conform to the presentation for the three and nine months ending September 30, 2023. There was no impact to retained earnings as a result of the reclassifications.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3. PROPERTY PORTFOLIO</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As of September 30, 2023, the Company’s property portfolio consisted of 138 properties with total square footage of 3.9 million.</w:t>
      </w:r>
    </w:p>
    <w:p>
      <w:pPr>
        <w:spacing w:after="0" w:line="170"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Leasing revenue consists of long-term rental revenue from net leased commercial properties, which is recognized as earned, using the straight-line method over the life of each lease. Lease payments below include straight-line base rental revenue as well as the non-cash accretion of above and below market lease amortization. The variable lease payments are comprised of percentage rent payments and reimbursements from tenants for common area maintenance, insurance, real estate taxes, and other operating expenses.</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components of leasing revenue are as follows (in thousands):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6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6"/>
                <w:szCs w:val="16"/>
                <w:b w:val="1"/>
                <w:bCs w:val="1"/>
                <w:color w:val="auto"/>
              </w:rPr>
              <w:t>Three Months Ended</w:t>
            </w:r>
          </w:p>
        </w:tc>
        <w:tc>
          <w:tcPr>
            <w:tcW w:w="6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53"/>
              <w:spacing w:after="0"/>
              <w:rPr>
                <w:sz w:val="20"/>
                <w:szCs w:val="20"/>
                <w:color w:val="auto"/>
              </w:rPr>
            </w:pPr>
            <w:r>
              <w:rPr>
                <w:rFonts w:ascii="Arial" w:cs="Arial" w:eastAsia="Arial" w:hAnsi="Arial"/>
                <w:sz w:val="16"/>
                <w:szCs w:val="16"/>
                <w:b w:val="1"/>
                <w:bCs w:val="1"/>
                <w:color w:val="auto"/>
              </w:rPr>
              <w:t>Nine Months Ended</w:t>
            </w:r>
          </w:p>
        </w:tc>
        <w:tc>
          <w:tcPr>
            <w:tcW w:w="680" w:type="dxa"/>
            <w:vAlign w:val="bottom"/>
            <w:tcBorders>
              <w:bottom w:val="single" w:sz="8" w:color="auto"/>
            </w:tcBorders>
          </w:tcPr>
          <w:p>
            <w:pPr>
              <w:spacing w:after="0"/>
              <w:rPr>
                <w:sz w:val="18"/>
                <w:szCs w:val="18"/>
                <w:color w:val="auto"/>
              </w:rPr>
            </w:pPr>
          </w:p>
        </w:tc>
      </w:tr>
      <w:tr>
        <w:trPr>
          <w:trHeight w:val="202"/>
        </w:trPr>
        <w:tc>
          <w:tcPr>
            <w:tcW w:w="2660" w:type="dxa"/>
            <w:vAlign w:val="bottom"/>
          </w:tcPr>
          <w:p>
            <w:pPr>
              <w:spacing w:after="0"/>
              <w:rPr>
                <w:sz w:val="17"/>
                <w:szCs w:val="17"/>
                <w:color w:val="auto"/>
              </w:rPr>
            </w:pPr>
          </w:p>
        </w:tc>
        <w:tc>
          <w:tcPr>
            <w:tcW w:w="160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 2023</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September 30, 2022</w:t>
            </w:r>
          </w:p>
        </w:tc>
        <w:tc>
          <w:tcPr>
            <w:tcW w:w="160" w:type="dxa"/>
            <w:vAlign w:val="bottom"/>
          </w:tcPr>
          <w:p>
            <w:pPr>
              <w:spacing w:after="0"/>
              <w:rPr>
                <w:sz w:val="17"/>
                <w:szCs w:val="17"/>
                <w:color w:val="auto"/>
              </w:rPr>
            </w:pPr>
          </w:p>
        </w:tc>
        <w:tc>
          <w:tcPr>
            <w:tcW w:w="158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30, 2023</w:t>
            </w: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September 30, 2022</w:t>
            </w:r>
          </w:p>
        </w:tc>
      </w:tr>
      <w:tr>
        <w:trPr>
          <w:trHeight w:val="210"/>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Income</w:t>
            </w:r>
          </w:p>
        </w:tc>
        <w:tc>
          <w:tcPr>
            <w:tcW w:w="4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r>
      <w:tr>
        <w:trPr>
          <w:trHeight w:val="216"/>
        </w:trPr>
        <w:tc>
          <w:tcPr>
            <w:tcW w:w="2660" w:type="dxa"/>
            <w:vAlign w:val="bottom"/>
          </w:tcPr>
          <w:p>
            <w:pPr>
              <w:ind w:left="220"/>
              <w:spacing w:after="0"/>
              <w:rPr>
                <w:sz w:val="20"/>
                <w:szCs w:val="20"/>
                <w:color w:val="auto"/>
              </w:rPr>
            </w:pPr>
            <w:r>
              <w:rPr>
                <w:rFonts w:ascii="Arial" w:cs="Arial" w:eastAsia="Arial" w:hAnsi="Arial"/>
                <w:sz w:val="18"/>
                <w:szCs w:val="18"/>
                <w:color w:val="auto"/>
              </w:rPr>
              <w:t>Lease Payments</w:t>
            </w:r>
          </w:p>
        </w:tc>
        <w:tc>
          <w:tcPr>
            <w:tcW w:w="440" w:type="dxa"/>
            <w:vAlign w:val="bottom"/>
          </w:tcPr>
          <w:p>
            <w:pPr>
              <w:jc w:val="right"/>
              <w:ind w:right="253"/>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10,049</w:t>
            </w:r>
          </w:p>
        </w:tc>
        <w:tc>
          <w:tcPr>
            <w:tcW w:w="140" w:type="dxa"/>
            <w:vAlign w:val="bottom"/>
          </w:tcPr>
          <w:p>
            <w:pPr>
              <w:spacing w:after="0"/>
              <w:rPr>
                <w:sz w:val="18"/>
                <w:szCs w:val="18"/>
                <w:color w:val="auto"/>
              </w:rPr>
            </w:pPr>
          </w:p>
        </w:tc>
        <w:tc>
          <w:tcPr>
            <w:tcW w:w="800" w:type="dxa"/>
            <w:vAlign w:val="bottom"/>
          </w:tcPr>
          <w:p>
            <w:pPr>
              <w:jc w:val="right"/>
              <w:ind w:right="613"/>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9,927</w:t>
            </w:r>
          </w:p>
        </w:tc>
        <w:tc>
          <w:tcPr>
            <w:tcW w:w="160" w:type="dxa"/>
            <w:vAlign w:val="bottom"/>
          </w:tcPr>
          <w:p>
            <w:pPr>
              <w:spacing w:after="0"/>
              <w:rPr>
                <w:sz w:val="18"/>
                <w:szCs w:val="18"/>
                <w:color w:val="auto"/>
              </w:rPr>
            </w:pPr>
          </w:p>
        </w:tc>
        <w:tc>
          <w:tcPr>
            <w:tcW w:w="460" w:type="dxa"/>
            <w:vAlign w:val="bottom"/>
          </w:tcPr>
          <w:p>
            <w:pPr>
              <w:jc w:val="right"/>
              <w:ind w:right="273"/>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30,187</w:t>
            </w:r>
          </w:p>
        </w:tc>
        <w:tc>
          <w:tcPr>
            <w:tcW w:w="140" w:type="dxa"/>
            <w:vAlign w:val="bottom"/>
          </w:tcPr>
          <w:p>
            <w:pPr>
              <w:spacing w:after="0"/>
              <w:rPr>
                <w:sz w:val="18"/>
                <w:szCs w:val="18"/>
                <w:color w:val="auto"/>
              </w:rPr>
            </w:pPr>
          </w:p>
        </w:tc>
        <w:tc>
          <w:tcPr>
            <w:tcW w:w="760" w:type="dxa"/>
            <w:vAlign w:val="bottom"/>
          </w:tcPr>
          <w:p>
            <w:pPr>
              <w:jc w:val="right"/>
              <w:ind w:right="573"/>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29,818</w:t>
            </w:r>
          </w:p>
        </w:tc>
      </w:tr>
      <w:tr>
        <w:trPr>
          <w:trHeight w:val="216"/>
        </w:trPr>
        <w:tc>
          <w:tcPr>
            <w:tcW w:w="2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Variable Lease Payments</w:t>
            </w:r>
          </w:p>
        </w:tc>
        <w:tc>
          <w:tcPr>
            <w:tcW w:w="4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1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1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3,764</w:t>
            </w:r>
          </w:p>
        </w:tc>
        <w:tc>
          <w:tcPr>
            <w:tcW w:w="14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3,781</w:t>
            </w:r>
          </w:p>
        </w:tc>
      </w:tr>
      <w:tr>
        <w:trPr>
          <w:trHeight w:val="210"/>
        </w:trPr>
        <w:tc>
          <w:tcPr>
            <w:tcW w:w="2660" w:type="dxa"/>
            <w:vAlign w:val="bottom"/>
          </w:tcPr>
          <w:p>
            <w:pPr>
              <w:ind w:left="20"/>
              <w:spacing w:after="0"/>
              <w:rPr>
                <w:sz w:val="20"/>
                <w:szCs w:val="20"/>
                <w:color w:val="auto"/>
              </w:rPr>
            </w:pPr>
            <w:r>
              <w:rPr>
                <w:rFonts w:ascii="Arial" w:cs="Arial" w:eastAsia="Arial" w:hAnsi="Arial"/>
                <w:sz w:val="18"/>
                <w:szCs w:val="18"/>
                <w:color w:val="auto"/>
              </w:rPr>
              <w:t>Total Lease Income</w:t>
            </w:r>
          </w:p>
        </w:tc>
        <w:tc>
          <w:tcPr>
            <w:tcW w:w="44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11,447</w:t>
            </w:r>
          </w:p>
        </w:tc>
        <w:tc>
          <w:tcPr>
            <w:tcW w:w="140" w:type="dxa"/>
            <w:vAlign w:val="bottom"/>
          </w:tcPr>
          <w:p>
            <w:pPr>
              <w:spacing w:after="0"/>
              <w:rPr>
                <w:sz w:val="18"/>
                <w:szCs w:val="18"/>
                <w:color w:val="auto"/>
              </w:rPr>
            </w:pPr>
          </w:p>
        </w:tc>
        <w:tc>
          <w:tcPr>
            <w:tcW w:w="800" w:type="dxa"/>
            <w:vAlign w:val="bottom"/>
            <w:tcBorders>
              <w:bottom w:val="single" w:sz="8" w:color="auto"/>
            </w:tcBorders>
          </w:tcPr>
          <w:p>
            <w:pPr>
              <w:jc w:val="right"/>
              <w:ind w:right="613"/>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11,520</w:t>
            </w:r>
          </w:p>
        </w:tc>
        <w:tc>
          <w:tcPr>
            <w:tcW w:w="160" w:type="dxa"/>
            <w:vAlign w:val="bottom"/>
          </w:tcPr>
          <w:p>
            <w:pPr>
              <w:spacing w:after="0"/>
              <w:rPr>
                <w:sz w:val="18"/>
                <w:szCs w:val="18"/>
                <w:color w:val="auto"/>
              </w:rPr>
            </w:pPr>
          </w:p>
        </w:tc>
        <w:tc>
          <w:tcPr>
            <w:tcW w:w="46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33,951</w:t>
            </w:r>
          </w:p>
        </w:tc>
        <w:tc>
          <w:tcPr>
            <w:tcW w:w="140" w:type="dxa"/>
            <w:vAlign w:val="bottom"/>
          </w:tcPr>
          <w:p>
            <w:pPr>
              <w:spacing w:after="0"/>
              <w:rPr>
                <w:sz w:val="18"/>
                <w:szCs w:val="18"/>
                <w:color w:val="auto"/>
              </w:rPr>
            </w:pPr>
          </w:p>
        </w:tc>
        <w:tc>
          <w:tcPr>
            <w:tcW w:w="760" w:type="dxa"/>
            <w:vAlign w:val="bottom"/>
            <w:tcBorders>
              <w:bottom w:val="single" w:sz="8" w:color="auto"/>
            </w:tcBorders>
          </w:tcPr>
          <w:p>
            <w:pPr>
              <w:jc w:val="right"/>
              <w:ind w:right="573"/>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33,599</w:t>
            </w:r>
          </w:p>
        </w:tc>
      </w:tr>
      <w:tr>
        <w:trPr>
          <w:trHeight w:val="20"/>
        </w:trPr>
        <w:tc>
          <w:tcPr>
            <w:tcW w:w="2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Minimum Future Rental Receipts. </w:t>
      </w:r>
      <w:r>
        <w:rPr>
          <w:rFonts w:ascii="Arial" w:cs="Arial" w:eastAsia="Arial" w:hAnsi="Arial"/>
          <w:sz w:val="18"/>
          <w:szCs w:val="18"/>
          <w:color w:val="auto"/>
        </w:rPr>
        <w:t>Minimum future rental receipts under non-cancelable operating leases, excluding</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rent and other lease payments that are not fixed and determinable, having remaining terms in excess of one year subsequent to September 30, 2023, are summarized as follows (in thousands):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56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460" w:type="dxa"/>
            <w:vAlign w:val="bottom"/>
          </w:tcPr>
          <w:p>
            <w:pPr>
              <w:spacing w:after="0"/>
              <w:rPr>
                <w:sz w:val="20"/>
                <w:szCs w:val="20"/>
                <w:color w:val="auto"/>
              </w:rPr>
            </w:pPr>
          </w:p>
        </w:tc>
        <w:tc>
          <w:tcPr>
            <w:tcW w:w="1880" w:type="dxa"/>
            <w:vAlign w:val="bottom"/>
          </w:tcPr>
          <w:p>
            <w:pPr>
              <w:jc w:val="right"/>
              <w:ind w:right="730"/>
              <w:spacing w:after="0"/>
              <w:rPr>
                <w:sz w:val="20"/>
                <w:szCs w:val="20"/>
                <w:color w:val="auto"/>
              </w:rPr>
            </w:pPr>
            <w:r>
              <w:rPr>
                <w:rFonts w:ascii="Arial" w:cs="Arial" w:eastAsia="Arial" w:hAnsi="Arial"/>
                <w:sz w:val="18"/>
                <w:szCs w:val="18"/>
                <w:b w:val="1"/>
                <w:bCs w:val="1"/>
                <w:color w:val="auto"/>
              </w:rPr>
              <w:t>Amounts</w:t>
            </w:r>
          </w:p>
        </w:tc>
      </w:tr>
      <w:tr>
        <w:trPr>
          <w:trHeight w:val="210"/>
        </w:trPr>
        <w:tc>
          <w:tcPr>
            <w:tcW w:w="6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9,737</w:t>
            </w:r>
          </w:p>
        </w:tc>
      </w:tr>
      <w:tr>
        <w:trPr>
          <w:trHeight w:val="216"/>
        </w:trPr>
        <w:tc>
          <w:tcPr>
            <w:tcW w:w="6280" w:type="dxa"/>
            <w:vAlign w:val="bottom"/>
          </w:tcPr>
          <w:p>
            <w:pPr>
              <w:ind w:left="20"/>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38,763</w:t>
            </w: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37,041</w:t>
            </w:r>
          </w:p>
        </w:tc>
      </w:tr>
      <w:tr>
        <w:trPr>
          <w:trHeight w:val="216"/>
        </w:trPr>
        <w:tc>
          <w:tcPr>
            <w:tcW w:w="6280" w:type="dxa"/>
            <w:vAlign w:val="bottom"/>
          </w:tcPr>
          <w:p>
            <w:pPr>
              <w:ind w:left="20"/>
              <w:spacing w:after="0"/>
              <w:rPr>
                <w:sz w:val="20"/>
                <w:szCs w:val="20"/>
                <w:color w:val="auto"/>
              </w:rPr>
            </w:pPr>
            <w:r>
              <w:rPr>
                <w:rFonts w:ascii="Arial" w:cs="Arial" w:eastAsia="Arial" w:hAnsi="Arial"/>
                <w:sz w:val="18"/>
                <w:szCs w:val="18"/>
                <w:color w:val="auto"/>
              </w:rPr>
              <w:t>2026</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36,192</w:t>
            </w: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32,762</w:t>
            </w:r>
          </w:p>
        </w:tc>
      </w:tr>
      <w:tr>
        <w:trPr>
          <w:trHeight w:val="216"/>
        </w:trPr>
        <w:tc>
          <w:tcPr>
            <w:tcW w:w="6280" w:type="dxa"/>
            <w:vAlign w:val="bottom"/>
          </w:tcPr>
          <w:p>
            <w:pPr>
              <w:ind w:left="20"/>
              <w:spacing w:after="0"/>
              <w:rPr>
                <w:sz w:val="20"/>
                <w:szCs w:val="20"/>
                <w:color w:val="auto"/>
              </w:rPr>
            </w:pPr>
            <w:r>
              <w:rPr>
                <w:rFonts w:ascii="Arial" w:cs="Arial" w:eastAsia="Arial" w:hAnsi="Arial"/>
                <w:sz w:val="18"/>
                <w:szCs w:val="18"/>
                <w:color w:val="auto"/>
              </w:rPr>
              <w:t>2028</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28,859</w:t>
            </w:r>
          </w:p>
        </w:tc>
      </w:tr>
      <w:tr>
        <w:trPr>
          <w:trHeight w:val="216"/>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2029 and Thereafter (Cumulative)</w:t>
            </w:r>
          </w:p>
        </w:tc>
        <w:tc>
          <w:tcPr>
            <w:tcW w:w="46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94,062</w:t>
            </w:r>
          </w:p>
        </w:tc>
      </w:tr>
      <w:tr>
        <w:trPr>
          <w:trHeight w:val="209"/>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277,416</w:t>
            </w:r>
          </w:p>
        </w:tc>
      </w:tr>
      <w:tr>
        <w:trPr>
          <w:trHeight w:val="20"/>
        </w:trPr>
        <w:tc>
          <w:tcPr>
            <w:tcW w:w="6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i w:val="1"/>
          <w:iCs w:val="1"/>
          <w:color w:val="auto"/>
        </w:rPr>
        <w:t xml:space="preserve">2023 Activity. </w:t>
      </w:r>
      <w:r>
        <w:rPr>
          <w:rFonts w:ascii="Arial" w:cs="Arial" w:eastAsia="Arial" w:hAnsi="Arial"/>
          <w:sz w:val="16"/>
          <w:szCs w:val="16"/>
          <w:color w:val="auto"/>
        </w:rPr>
        <w:t>During the nine months ended September 30, 2023, the Company acquired 12 properties for a combined</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price of $79.9 million, or a cost of $81.2 million including capitalized acquisition costs. The properties are located in seven different states and had a weighted average remaining lease term of 8.7 years at the time of acquisition. Of the total acquisition cost, $22.1 million was allocated to land, $53.0 million was allocated to buildings and improvements, $8.0 million was allocated to intangible assets pertaining to the in-place lease value, leasing fees, and above market lease value, and $0.9 million was allocated to intangible liabilities for the below market lease value. The weighted average amortization period for the intangible assets and liabilities was 9.6 years at acquisition.</w:t>
      </w:r>
    </w:p>
    <w:p>
      <w:pPr>
        <w:spacing w:after="0" w:line="166"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During the nine months ended September 30, 2023, the Company sold 22 properties for an aggregate sales price of $99.6 million, generating aggregate gains on sale of $7.8 million. Seven properties were classified as held for sale as of September 30, 2023.</w:t>
      </w:r>
    </w:p>
    <w:p>
      <w:pPr>
        <w:spacing w:after="0" w:line="116"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i w:val="1"/>
          <w:iCs w:val="1"/>
          <w:color w:val="auto"/>
        </w:rPr>
        <w:t xml:space="preserve">2022 Activity. </w:t>
      </w:r>
      <w:r>
        <w:rPr>
          <w:rFonts w:ascii="Arial" w:cs="Arial" w:eastAsia="Arial" w:hAnsi="Arial"/>
          <w:sz w:val="16"/>
          <w:szCs w:val="16"/>
          <w:color w:val="auto"/>
        </w:rPr>
        <w:t>During the nine months ended September 30, 2022, the Company acquired 44 properties for a combined</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price of $145.7 million, or a total cost of $147.0 million including capitalized acquisition costs. The properties are located in 22 states, leased to 17 different tenants, and had a weighted average remaining lease term of 8.9 years at the time of acquisition. Of the total acquisition cost, $37.0 million was allocated to land, $94.1 million was allocated to buildings and improvements, $17.6 million was allocated to intangible assets pertaining to the in-place lease value, leasing fees, and above market lease value, and $1.7 million was allocated to intangible liabilities for the below market lease value. The weighted average amortization period for the intangible assets and liabilities was 9.2 years at acquisition.</w:t>
      </w:r>
    </w:p>
    <w:p>
      <w:pPr>
        <w:spacing w:after="0" w:line="166"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During the nine months ended September 30, 2022, the Company sold 11 properties for an aggregate sales price of $123.3 million, generating aggregate gains on sale of $27.2 million.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4. COMMERCIAL LOANS AND INVESTMENTS</w:t>
      </w:r>
    </w:p>
    <w:p>
      <w:pPr>
        <w:spacing w:after="0" w:line="216" w:lineRule="exact"/>
        <w:rPr>
          <w:sz w:val="20"/>
          <w:szCs w:val="20"/>
          <w:color w:val="auto"/>
        </w:rPr>
      </w:pPr>
    </w:p>
    <w:p>
      <w:pPr>
        <w:jc w:val="both"/>
        <w:ind w:left="60" w:right="59" w:firstLine="324"/>
        <w:spacing w:after="0" w:line="232" w:lineRule="auto"/>
        <w:rPr>
          <w:sz w:val="20"/>
          <w:szCs w:val="20"/>
          <w:color w:val="auto"/>
        </w:rPr>
      </w:pPr>
      <w:r>
        <w:rPr>
          <w:rFonts w:ascii="Arial" w:cs="Arial" w:eastAsia="Arial" w:hAnsi="Arial"/>
          <w:sz w:val="18"/>
          <w:szCs w:val="18"/>
          <w:i w:val="1"/>
          <w:iCs w:val="1"/>
          <w:color w:val="auto"/>
        </w:rPr>
        <w:t>2023 Activity</w:t>
      </w:r>
      <w:r>
        <w:rPr>
          <w:rFonts w:ascii="Arial" w:cs="Arial" w:eastAsia="Arial" w:hAnsi="Arial"/>
          <w:sz w:val="18"/>
          <w:szCs w:val="18"/>
          <w:color w:val="auto"/>
        </w:rPr>
        <w:t>. On July 25, 2023, the Company originated a construction loan secured by the property and</w:t>
      </w:r>
      <w:r>
        <w:rPr>
          <w:rFonts w:ascii="Arial" w:cs="Arial" w:eastAsia="Arial" w:hAnsi="Arial"/>
          <w:sz w:val="18"/>
          <w:szCs w:val="18"/>
          <w:i w:val="1"/>
          <w:iCs w:val="1"/>
          <w:color w:val="auto"/>
        </w:rPr>
        <w:t xml:space="preserve"> </w:t>
      </w:r>
      <w:r>
        <w:rPr>
          <w:rFonts w:ascii="Arial" w:cs="Arial" w:eastAsia="Arial" w:hAnsi="Arial"/>
          <w:sz w:val="18"/>
          <w:szCs w:val="18"/>
          <w:color w:val="auto"/>
        </w:rPr>
        <w:t>improvements to be constructed thereon for a 33-acre Wawa-anchored land development project in Greenwood, Indiana for $7.8 million. The construction loan matures on July 25, 2025, bears a fixed interest rate of 8.50% that increases to 9.25% on July 25, 2024, and requires payments of interest only prior to maturity. Funding of the loan will occur as the borrower completes the underlying construction. As of September 30, 2023, the Company has disbursed $6.9 million to the borrower.</w:t>
      </w:r>
    </w:p>
    <w:p>
      <w:pPr>
        <w:spacing w:after="0" w:line="163"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Company’s commercial loans and investments were comprised of the following at September 30, 2023 (in thousands):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4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8"/>
              </w:rPr>
              <w:t>Original</w:t>
            </w:r>
          </w:p>
        </w:tc>
        <w:tc>
          <w:tcPr>
            <w:tcW w:w="80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Current</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2"/>
        </w:trPr>
        <w:tc>
          <w:tcPr>
            <w:tcW w:w="4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160"/>
              <w:spacing w:after="0" w:line="162" w:lineRule="exact"/>
              <w:rPr>
                <w:sz w:val="20"/>
                <w:szCs w:val="20"/>
                <w:color w:val="auto"/>
              </w:rPr>
            </w:pPr>
            <w:r>
              <w:rPr>
                <w:rFonts w:ascii="Arial" w:cs="Arial" w:eastAsia="Arial" w:hAnsi="Arial"/>
                <w:sz w:val="15"/>
                <w:szCs w:val="15"/>
                <w:b w:val="1"/>
                <w:bCs w:val="1"/>
                <w:color w:val="auto"/>
                <w:w w:val="94"/>
              </w:rPr>
              <w:t>Date of</w:t>
            </w:r>
          </w:p>
        </w:tc>
        <w:tc>
          <w:tcPr>
            <w:tcW w:w="760" w:type="dxa"/>
            <w:vAlign w:val="bottom"/>
            <w:gridSpan w:val="2"/>
          </w:tcPr>
          <w:p>
            <w:pPr>
              <w:jc w:val="center"/>
              <w:ind w:right="160"/>
              <w:spacing w:after="0" w:line="162" w:lineRule="exact"/>
              <w:rPr>
                <w:sz w:val="20"/>
                <w:szCs w:val="20"/>
                <w:color w:val="auto"/>
              </w:rPr>
            </w:pPr>
            <w:r>
              <w:rPr>
                <w:rFonts w:ascii="Arial" w:cs="Arial" w:eastAsia="Arial" w:hAnsi="Arial"/>
                <w:sz w:val="15"/>
                <w:szCs w:val="15"/>
                <w:b w:val="1"/>
                <w:bCs w:val="1"/>
                <w:color w:val="auto"/>
              </w:rPr>
              <w:t>Maturity</w:t>
            </w:r>
          </w:p>
        </w:tc>
        <w:tc>
          <w:tcPr>
            <w:tcW w:w="780" w:type="dxa"/>
            <w:vAlign w:val="bottom"/>
            <w:gridSpan w:val="2"/>
          </w:tcPr>
          <w:p>
            <w:pPr>
              <w:jc w:val="center"/>
              <w:ind w:right="160"/>
              <w:spacing w:after="0" w:line="162" w:lineRule="exact"/>
              <w:rPr>
                <w:sz w:val="20"/>
                <w:szCs w:val="20"/>
                <w:color w:val="auto"/>
              </w:rPr>
            </w:pPr>
            <w:r>
              <w:rPr>
                <w:rFonts w:ascii="Arial" w:cs="Arial" w:eastAsia="Arial" w:hAnsi="Arial"/>
                <w:sz w:val="15"/>
                <w:szCs w:val="15"/>
                <w:b w:val="1"/>
                <w:bCs w:val="1"/>
                <w:color w:val="auto"/>
                <w:w w:val="87"/>
              </w:rPr>
              <w:t>Face</w:t>
            </w:r>
          </w:p>
        </w:tc>
        <w:tc>
          <w:tcPr>
            <w:tcW w:w="800" w:type="dxa"/>
            <w:vAlign w:val="bottom"/>
            <w:gridSpan w:val="2"/>
          </w:tcPr>
          <w:p>
            <w:pPr>
              <w:ind w:left="180"/>
              <w:spacing w:after="0" w:line="162" w:lineRule="exact"/>
              <w:rPr>
                <w:sz w:val="20"/>
                <w:szCs w:val="20"/>
                <w:color w:val="auto"/>
              </w:rPr>
            </w:pPr>
            <w:r>
              <w:rPr>
                <w:rFonts w:ascii="Arial" w:cs="Arial" w:eastAsia="Arial" w:hAnsi="Arial"/>
                <w:sz w:val="15"/>
                <w:szCs w:val="15"/>
                <w:b w:val="1"/>
                <w:bCs w:val="1"/>
                <w:color w:val="auto"/>
              </w:rPr>
              <w:t>Face</w:t>
            </w:r>
          </w:p>
        </w:tc>
        <w:tc>
          <w:tcPr>
            <w:tcW w:w="800" w:type="dxa"/>
            <w:vAlign w:val="bottom"/>
            <w:gridSpan w:val="2"/>
          </w:tcPr>
          <w:p>
            <w:pPr>
              <w:ind w:left="20"/>
              <w:spacing w:after="0" w:line="162" w:lineRule="exact"/>
              <w:rPr>
                <w:sz w:val="20"/>
                <w:szCs w:val="20"/>
                <w:color w:val="auto"/>
              </w:rPr>
            </w:pPr>
            <w:r>
              <w:rPr>
                <w:rFonts w:ascii="Arial" w:cs="Arial" w:eastAsia="Arial" w:hAnsi="Arial"/>
                <w:sz w:val="15"/>
                <w:szCs w:val="15"/>
                <w:b w:val="1"/>
                <w:bCs w:val="1"/>
                <w:color w:val="auto"/>
              </w:rPr>
              <w:t>Carrying</w:t>
            </w:r>
          </w:p>
        </w:tc>
        <w:tc>
          <w:tcPr>
            <w:tcW w:w="6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1"/>
              </w:rPr>
              <w:t>Coupon</w:t>
            </w:r>
          </w:p>
        </w:tc>
      </w:tr>
      <w:tr>
        <w:trPr>
          <w:trHeight w:val="179"/>
        </w:trPr>
        <w:tc>
          <w:tcPr>
            <w:tcW w:w="4240" w:type="dxa"/>
            <w:vAlign w:val="bottom"/>
            <w:gridSpan w:val="2"/>
          </w:tcPr>
          <w:p>
            <w:pPr>
              <w:ind w:left="20"/>
              <w:spacing w:after="0"/>
              <w:rPr>
                <w:sz w:val="20"/>
                <w:szCs w:val="20"/>
                <w:color w:val="auto"/>
              </w:rPr>
            </w:pPr>
            <w:r>
              <w:rPr>
                <w:rFonts w:ascii="Arial" w:cs="Arial" w:eastAsia="Arial" w:hAnsi="Arial"/>
                <w:sz w:val="15"/>
                <w:szCs w:val="15"/>
                <w:b w:val="1"/>
                <w:bCs w:val="1"/>
                <w:color w:val="auto"/>
              </w:rPr>
              <w:t>Description</w:t>
            </w:r>
          </w:p>
        </w:tc>
        <w:tc>
          <w:tcPr>
            <w:tcW w:w="92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0"/>
              </w:rPr>
              <w:t>Investment</w:t>
            </w:r>
          </w:p>
        </w:tc>
        <w:tc>
          <w:tcPr>
            <w:tcW w:w="76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8"/>
              </w:rPr>
              <w:t>Date</w:t>
            </w:r>
          </w:p>
        </w:tc>
        <w:tc>
          <w:tcPr>
            <w:tcW w:w="78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5"/>
              </w:rPr>
              <w:t>Amount</w:t>
            </w:r>
          </w:p>
        </w:tc>
        <w:tc>
          <w:tcPr>
            <w:tcW w:w="80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Amount</w:t>
            </w:r>
          </w:p>
        </w:tc>
        <w:tc>
          <w:tcPr>
            <w:tcW w:w="800" w:type="dxa"/>
            <w:vAlign w:val="bottom"/>
            <w:gridSpan w:val="2"/>
          </w:tcPr>
          <w:p>
            <w:pPr>
              <w:ind w:left="140"/>
              <w:spacing w:after="0"/>
              <w:rPr>
                <w:sz w:val="20"/>
                <w:szCs w:val="20"/>
                <w:color w:val="auto"/>
              </w:rPr>
            </w:pPr>
            <w:r>
              <w:rPr>
                <w:rFonts w:ascii="Arial" w:cs="Arial" w:eastAsia="Arial" w:hAnsi="Arial"/>
                <w:sz w:val="15"/>
                <w:szCs w:val="15"/>
                <w:b w:val="1"/>
                <w:bCs w:val="1"/>
                <w:color w:val="auto"/>
              </w:rPr>
              <w:t>Value</w:t>
            </w:r>
          </w:p>
        </w:tc>
        <w:tc>
          <w:tcPr>
            <w:tcW w:w="600" w:type="dxa"/>
            <w:vAlign w:val="bottom"/>
          </w:tcPr>
          <w:p>
            <w:pPr>
              <w:jc w:val="center"/>
              <w:spacing w:after="0"/>
              <w:rPr>
                <w:sz w:val="20"/>
                <w:szCs w:val="20"/>
                <w:color w:val="auto"/>
              </w:rPr>
            </w:pPr>
            <w:r>
              <w:rPr>
                <w:rFonts w:ascii="Arial" w:cs="Arial" w:eastAsia="Arial" w:hAnsi="Arial"/>
                <w:sz w:val="15"/>
                <w:szCs w:val="15"/>
                <w:b w:val="1"/>
                <w:bCs w:val="1"/>
                <w:color w:val="auto"/>
                <w:w w:val="92"/>
              </w:rPr>
              <w:t>Rate</w:t>
            </w:r>
          </w:p>
        </w:tc>
      </w:tr>
      <w:tr>
        <w:trPr>
          <w:trHeight w:val="155"/>
        </w:trPr>
        <w:tc>
          <w:tcPr>
            <w:tcW w:w="4080" w:type="dxa"/>
            <w:vAlign w:val="bottom"/>
            <w:tcBorders>
              <w:top w:val="single" w:sz="8" w:color="auto"/>
            </w:tcBorders>
            <w:shd w:val="clear" w:color="auto" w:fill="CCEEFF"/>
          </w:tcPr>
          <w:p>
            <w:pPr>
              <w:ind w:left="20"/>
              <w:spacing w:after="0" w:line="156" w:lineRule="exact"/>
              <w:rPr>
                <w:sz w:val="20"/>
                <w:szCs w:val="20"/>
                <w:color w:val="auto"/>
              </w:rPr>
            </w:pPr>
            <w:r>
              <w:rPr>
                <w:rFonts w:ascii="Arial" w:cs="Arial" w:eastAsia="Arial" w:hAnsi="Arial"/>
                <w:sz w:val="15"/>
                <w:szCs w:val="15"/>
                <w:color w:val="auto"/>
                <w:w w:val="94"/>
              </w:rPr>
              <w:t>Construction Loan – Wawa Land Development – Greenwood, IN</w:t>
            </w:r>
          </w:p>
        </w:tc>
        <w:tc>
          <w:tcPr>
            <w:tcW w:w="16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center"/>
              <w:spacing w:after="0" w:line="156" w:lineRule="exact"/>
              <w:rPr>
                <w:sz w:val="20"/>
                <w:szCs w:val="20"/>
                <w:color w:val="auto"/>
              </w:rPr>
            </w:pPr>
            <w:r>
              <w:rPr>
                <w:rFonts w:ascii="Arial" w:cs="Arial" w:eastAsia="Arial" w:hAnsi="Arial"/>
                <w:sz w:val="15"/>
                <w:szCs w:val="15"/>
                <w:color w:val="auto"/>
                <w:w w:val="93"/>
              </w:rPr>
              <w:t>July 2023</w:t>
            </w:r>
          </w:p>
        </w:tc>
        <w:tc>
          <w:tcPr>
            <w:tcW w:w="16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center"/>
              <w:spacing w:after="0" w:line="156" w:lineRule="exact"/>
              <w:rPr>
                <w:sz w:val="20"/>
                <w:szCs w:val="20"/>
                <w:color w:val="auto"/>
              </w:rPr>
            </w:pPr>
            <w:r>
              <w:rPr>
                <w:rFonts w:ascii="Arial" w:cs="Arial" w:eastAsia="Arial" w:hAnsi="Arial"/>
                <w:sz w:val="15"/>
                <w:szCs w:val="15"/>
                <w:color w:val="auto"/>
                <w:w w:val="93"/>
              </w:rPr>
              <w:t>July 2025</w:t>
            </w:r>
          </w:p>
        </w:tc>
        <w:tc>
          <w:tcPr>
            <w:tcW w:w="1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 xml:space="preserve">$  </w:t>
            </w:r>
            <w:r>
              <w:rPr>
                <w:rFonts w:ascii="Arial" w:cs="Arial" w:eastAsia="Arial" w:hAnsi="Arial"/>
                <w:sz w:val="14"/>
                <w:szCs w:val="14"/>
                <w:color w:val="auto"/>
              </w:rPr>
              <w:t>7,800</w:t>
            </w:r>
          </w:p>
        </w:tc>
        <w:tc>
          <w:tcPr>
            <w:tcW w:w="1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 xml:space="preserve">$   </w:t>
            </w:r>
            <w:r>
              <w:rPr>
                <w:rFonts w:ascii="Arial" w:cs="Arial" w:eastAsia="Arial" w:hAnsi="Arial"/>
                <w:sz w:val="14"/>
                <w:szCs w:val="14"/>
                <w:color w:val="auto"/>
              </w:rPr>
              <w:t>6,909</w:t>
            </w:r>
          </w:p>
        </w:tc>
        <w:tc>
          <w:tcPr>
            <w:tcW w:w="1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 xml:space="preserve">$   </w:t>
            </w:r>
            <w:r>
              <w:rPr>
                <w:rFonts w:ascii="Arial" w:cs="Arial" w:eastAsia="Arial" w:hAnsi="Arial"/>
                <w:sz w:val="14"/>
                <w:szCs w:val="14"/>
                <w:color w:val="auto"/>
              </w:rPr>
              <w:t>6,874</w:t>
            </w:r>
          </w:p>
        </w:tc>
        <w:tc>
          <w:tcPr>
            <w:tcW w:w="16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center"/>
              <w:spacing w:after="0" w:line="156" w:lineRule="exact"/>
              <w:rPr>
                <w:sz w:val="20"/>
                <w:szCs w:val="20"/>
                <w:color w:val="auto"/>
              </w:rPr>
            </w:pPr>
            <w:r>
              <w:rPr>
                <w:rFonts w:ascii="Arial" w:cs="Arial" w:eastAsia="Arial" w:hAnsi="Arial"/>
                <w:sz w:val="15"/>
                <w:szCs w:val="15"/>
                <w:color w:val="auto"/>
                <w:w w:val="93"/>
              </w:rPr>
              <w:t>8.50%</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firstLine="389"/>
        <w:spacing w:after="0" w:line="277" w:lineRule="auto"/>
        <w:rPr>
          <w:sz w:val="20"/>
          <w:szCs w:val="20"/>
          <w:color w:val="auto"/>
        </w:rPr>
      </w:pPr>
      <w:r>
        <w:rPr>
          <w:rFonts w:ascii="Arial" w:cs="Arial" w:eastAsia="Arial" w:hAnsi="Arial"/>
          <w:sz w:val="18"/>
          <w:szCs w:val="18"/>
          <w:color w:val="auto"/>
        </w:rPr>
        <w:t>The carrying value of the commercial loans and investments at September 30, 2023 consisted of the following (in thousands). There were no commercial loans and investments as of December 31, 2022:</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8"/>
                <w:szCs w:val="18"/>
                <w:b w:val="1"/>
                <w:bCs w:val="1"/>
                <w:color w:val="auto"/>
              </w:rPr>
              <w:t>As of</w:t>
            </w:r>
          </w:p>
        </w:tc>
        <w:tc>
          <w:tcPr>
            <w:tcW w:w="860" w:type="dxa"/>
            <w:vAlign w:val="bottom"/>
            <w:tcBorders>
              <w:bottom w:val="single" w:sz="8" w:color="auto"/>
            </w:tcBorders>
          </w:tcPr>
          <w:p>
            <w:pPr>
              <w:spacing w:after="0"/>
              <w:rPr>
                <w:sz w:val="20"/>
                <w:szCs w:val="20"/>
                <w:color w:val="auto"/>
              </w:rPr>
            </w:pPr>
          </w:p>
        </w:tc>
      </w:tr>
      <w:tr>
        <w:trPr>
          <w:trHeight w:val="209"/>
        </w:trPr>
        <w:tc>
          <w:tcPr>
            <w:tcW w:w="5500" w:type="dxa"/>
            <w:vAlign w:val="bottom"/>
          </w:tcPr>
          <w:p>
            <w:pPr>
              <w:spacing w:after="0"/>
              <w:rPr>
                <w:sz w:val="18"/>
                <w:szCs w:val="18"/>
                <w:color w:val="auto"/>
              </w:rPr>
            </w:pPr>
          </w:p>
        </w:tc>
        <w:tc>
          <w:tcPr>
            <w:tcW w:w="18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1"/>
              </w:rPr>
              <w:t>September 30, 2023</w:t>
            </w:r>
          </w:p>
        </w:tc>
        <w:tc>
          <w:tcPr>
            <w:tcW w:w="1600" w:type="dxa"/>
            <w:vAlign w:val="bottom"/>
            <w:gridSpan w:val="2"/>
          </w:tcPr>
          <w:p>
            <w:pPr>
              <w:ind w:left="80"/>
              <w:spacing w:after="0"/>
              <w:rPr>
                <w:sz w:val="20"/>
                <w:szCs w:val="20"/>
                <w:color w:val="auto"/>
              </w:rPr>
            </w:pPr>
            <w:r>
              <w:rPr>
                <w:rFonts w:ascii="Arial" w:cs="Arial" w:eastAsia="Arial" w:hAnsi="Arial"/>
                <w:sz w:val="18"/>
                <w:szCs w:val="18"/>
                <w:b w:val="1"/>
                <w:bCs w:val="1"/>
                <w:color w:val="auto"/>
                <w:w w:val="92"/>
              </w:rPr>
              <w:t>December 31, 2022</w:t>
            </w:r>
          </w:p>
        </w:tc>
      </w:tr>
      <w:tr>
        <w:trPr>
          <w:trHeight w:val="210"/>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Face Amount</w:t>
            </w:r>
          </w:p>
        </w:tc>
        <w:tc>
          <w:tcPr>
            <w:tcW w:w="62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6,909</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Unaccreted Origination Fees</w:t>
            </w:r>
          </w:p>
        </w:tc>
        <w:tc>
          <w:tcPr>
            <w:tcW w:w="6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(35)</w:t>
            </w:r>
          </w:p>
        </w:tc>
        <w:tc>
          <w:tcPr>
            <w:tcW w:w="740" w:type="dxa"/>
            <w:vAlign w:val="bottom"/>
          </w:tcPr>
          <w:p>
            <w:pPr>
              <w:spacing w:after="0"/>
              <w:rPr>
                <w:sz w:val="18"/>
                <w:szCs w:val="18"/>
                <w:color w:val="auto"/>
              </w:rPr>
            </w:pPr>
          </w:p>
        </w:tc>
        <w:tc>
          <w:tcPr>
            <w:tcW w:w="860" w:type="dxa"/>
            <w:vAlign w:val="bottom"/>
          </w:tcPr>
          <w:p>
            <w:pPr>
              <w:ind w:left="640"/>
              <w:spacing w:after="0"/>
              <w:rPr>
                <w:sz w:val="20"/>
                <w:szCs w:val="20"/>
                <w:color w:val="auto"/>
              </w:rPr>
            </w:pPr>
            <w:r>
              <w:rPr>
                <w:rFonts w:ascii="Arial" w:cs="Arial" w:eastAsia="Arial" w:hAnsi="Arial"/>
                <w:sz w:val="18"/>
                <w:szCs w:val="18"/>
                <w:color w:val="auto"/>
              </w:rPr>
              <w:t>—</w:t>
            </w:r>
          </w:p>
        </w:tc>
      </w:tr>
      <w:tr>
        <w:trPr>
          <w:trHeight w:val="209"/>
        </w:trPr>
        <w:tc>
          <w:tcPr>
            <w:tcW w:w="5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Commercial Loans and Investments</w:t>
            </w: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r>
      <w:tr>
        <w:trPr>
          <w:trHeight w:val="20"/>
        </w:trPr>
        <w:tc>
          <w:tcPr>
            <w:tcW w:w="55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5. FAIR VALUE OF FINANCIAL INSTRUMENTS</w:t>
      </w:r>
    </w:p>
    <w:p>
      <w:pPr>
        <w:spacing w:after="0" w:line="216" w:lineRule="exact"/>
        <w:rPr>
          <w:sz w:val="20"/>
          <w:szCs w:val="20"/>
          <w:color w:val="auto"/>
        </w:rPr>
      </w:pPr>
    </w:p>
    <w:p>
      <w:pPr>
        <w:jc w:val="both"/>
        <w:ind w:left="60" w:right="59" w:firstLine="324"/>
        <w:spacing w:after="0" w:line="324" w:lineRule="auto"/>
        <w:rPr>
          <w:sz w:val="20"/>
          <w:szCs w:val="20"/>
          <w:color w:val="auto"/>
        </w:rPr>
      </w:pPr>
      <w:r>
        <w:rPr>
          <w:rFonts w:ascii="Arial" w:cs="Arial" w:eastAsia="Arial" w:hAnsi="Arial"/>
          <w:sz w:val="16"/>
          <w:szCs w:val="16"/>
          <w:color w:val="auto"/>
        </w:rPr>
        <w:t>The following table presents the carrying value and estimated fair value of the Company’s financial instruments not carried at fair value on the consolidated balance sheets at September 30, 2023 and December 31, 2022 (in thousands):</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gridSpan w:val="5"/>
          </w:tcPr>
          <w:p>
            <w:pPr>
              <w:ind w:left="580"/>
              <w:spacing w:after="0"/>
              <w:rPr>
                <w:sz w:val="20"/>
                <w:szCs w:val="20"/>
                <w:color w:val="auto"/>
              </w:rPr>
            </w:pPr>
            <w:r>
              <w:rPr>
                <w:rFonts w:ascii="Arial" w:cs="Arial" w:eastAsia="Arial" w:hAnsi="Arial"/>
                <w:sz w:val="16"/>
                <w:szCs w:val="16"/>
                <w:b w:val="1"/>
                <w:bCs w:val="1"/>
                <w:color w:val="auto"/>
              </w:rPr>
              <w:t>September 30, 2023</w:t>
            </w:r>
          </w:p>
        </w:tc>
        <w:tc>
          <w:tcPr>
            <w:tcW w:w="80" w:type="dxa"/>
            <w:vAlign w:val="bottom"/>
          </w:tcPr>
          <w:p>
            <w:pPr>
              <w:spacing w:after="0"/>
              <w:rPr>
                <w:sz w:val="18"/>
                <w:szCs w:val="18"/>
                <w:color w:val="auto"/>
              </w:rPr>
            </w:pPr>
          </w:p>
        </w:tc>
        <w:tc>
          <w:tcPr>
            <w:tcW w:w="262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December 31, 2022</w:t>
            </w:r>
          </w:p>
        </w:tc>
      </w:tr>
      <w:tr>
        <w:trPr>
          <w:trHeight w:val="188"/>
        </w:trPr>
        <w:tc>
          <w:tcPr>
            <w:tcW w:w="33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rPr>
              <w:t>Estimated</w:t>
            </w:r>
          </w:p>
        </w:tc>
        <w:tc>
          <w:tcPr>
            <w:tcW w:w="1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Estimated</w:t>
            </w:r>
          </w:p>
        </w:tc>
      </w:tr>
      <w:tr>
        <w:trPr>
          <w:trHeight w:val="213"/>
        </w:trPr>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6"/>
                <w:szCs w:val="16"/>
                <w:b w:val="1"/>
                <w:bCs w:val="1"/>
                <w:color w:val="auto"/>
              </w:rPr>
              <w:t>Carrying Value</w:t>
            </w:r>
          </w:p>
        </w:tc>
        <w:tc>
          <w:tcPr>
            <w:tcW w:w="18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6"/>
                <w:szCs w:val="16"/>
                <w:b w:val="1"/>
                <w:bCs w:val="1"/>
                <w:color w:val="auto"/>
              </w:rPr>
              <w:t>Fair Value</w:t>
            </w:r>
          </w:p>
        </w:tc>
        <w:tc>
          <w:tcPr>
            <w:tcW w:w="8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6"/>
                <w:szCs w:val="16"/>
                <w:b w:val="1"/>
                <w:bCs w:val="1"/>
                <w:color w:val="auto"/>
              </w:rPr>
              <w:t>Carrying Value</w:t>
            </w:r>
          </w:p>
        </w:tc>
        <w:tc>
          <w:tcPr>
            <w:tcW w:w="180" w:type="dxa"/>
            <w:vAlign w:val="bottom"/>
          </w:tcPr>
          <w:p>
            <w:pPr>
              <w:spacing w:after="0"/>
              <w:rPr>
                <w:sz w:val="18"/>
                <w:szCs w:val="18"/>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b w:val="1"/>
                <w:bCs w:val="1"/>
                <w:color w:val="auto"/>
              </w:rPr>
              <w:t>Fair Value</w:t>
            </w:r>
          </w:p>
        </w:tc>
      </w:tr>
      <w:tr>
        <w:trPr>
          <w:trHeight w:val="199"/>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 Level 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6,265</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6,265</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9,018</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9,018</w:t>
            </w:r>
          </w:p>
        </w:tc>
      </w:tr>
      <w:tr>
        <w:trPr>
          <w:trHeight w:val="203"/>
        </w:trPr>
        <w:tc>
          <w:tcPr>
            <w:tcW w:w="3340" w:type="dxa"/>
            <w:vAlign w:val="bottom"/>
          </w:tcPr>
          <w:p>
            <w:pPr>
              <w:ind w:left="20"/>
              <w:spacing w:after="0"/>
              <w:rPr>
                <w:sz w:val="20"/>
                <w:szCs w:val="20"/>
                <w:color w:val="auto"/>
              </w:rPr>
            </w:pPr>
            <w:r>
              <w:rPr>
                <w:rFonts w:ascii="Arial" w:cs="Arial" w:eastAsia="Arial" w:hAnsi="Arial"/>
                <w:sz w:val="16"/>
                <w:szCs w:val="16"/>
                <w:color w:val="auto"/>
              </w:rPr>
              <w:t>Restricted Cash - Level 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11,166</w:t>
            </w:r>
          </w:p>
        </w:tc>
        <w:tc>
          <w:tcPr>
            <w:tcW w:w="16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11,166</w:t>
            </w:r>
          </w:p>
        </w:tc>
        <w:tc>
          <w:tcPr>
            <w:tcW w:w="1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4,026</w:t>
            </w:r>
          </w:p>
        </w:tc>
        <w:tc>
          <w:tcPr>
            <w:tcW w:w="16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4,026</w:t>
            </w:r>
          </w:p>
        </w:tc>
      </w:tr>
      <w:tr>
        <w:trPr>
          <w:trHeight w:val="203"/>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Loans and Investments - Level 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6,874</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7,015</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3340" w:type="dxa"/>
            <w:vAlign w:val="bottom"/>
          </w:tcPr>
          <w:p>
            <w:pPr>
              <w:ind w:left="20"/>
              <w:spacing w:after="0"/>
              <w:rPr>
                <w:sz w:val="20"/>
                <w:szCs w:val="20"/>
                <w:color w:val="auto"/>
              </w:rPr>
            </w:pPr>
            <w:r>
              <w:rPr>
                <w:rFonts w:ascii="Arial" w:cs="Arial" w:eastAsia="Arial" w:hAnsi="Arial"/>
                <w:sz w:val="16"/>
                <w:szCs w:val="16"/>
                <w:color w:val="auto"/>
              </w:rPr>
              <w:t>Long-Term Debt - Level 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249,099</w:t>
            </w:r>
          </w:p>
        </w:tc>
        <w:tc>
          <w:tcPr>
            <w:tcW w:w="16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230,827</w:t>
            </w:r>
          </w:p>
        </w:tc>
        <w:tc>
          <w:tcPr>
            <w:tcW w:w="1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267,116</w:t>
            </w:r>
          </w:p>
        </w:tc>
        <w:tc>
          <w:tcPr>
            <w:tcW w:w="16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250,568</w:t>
            </w:r>
          </w:p>
        </w:tc>
      </w:tr>
    </w:tbl>
    <w:p>
      <w:pPr>
        <w:spacing w:after="0" w:line="184" w:lineRule="exact"/>
        <w:rPr>
          <w:sz w:val="20"/>
          <w:szCs w:val="20"/>
          <w:color w:val="auto"/>
        </w:rPr>
      </w:pPr>
    </w:p>
    <w:p>
      <w:pPr>
        <w:jc w:val="both"/>
        <w:ind w:left="60" w:right="59" w:firstLine="324"/>
        <w:spacing w:after="0" w:line="235" w:lineRule="auto"/>
        <w:rPr>
          <w:sz w:val="20"/>
          <w:szCs w:val="20"/>
          <w:color w:val="auto"/>
        </w:rPr>
      </w:pPr>
      <w:r>
        <w:rPr>
          <w:rFonts w:ascii="Arial" w:cs="Arial" w:eastAsia="Arial" w:hAnsi="Arial"/>
          <w:sz w:val="18"/>
          <w:szCs w:val="18"/>
          <w:color w:val="auto"/>
        </w:rPr>
        <w:t>The estimated fair values are not necessarily indicative of the amount the Company could realize on disposition of the financial instruments. The use of different market assumptions or estimation methodologies could have a material effect on the estimated fair value amounts.</w:t>
      </w:r>
    </w:p>
    <w:p>
      <w:pPr>
        <w:spacing w:after="0" w:line="188" w:lineRule="exact"/>
        <w:rPr>
          <w:sz w:val="20"/>
          <w:szCs w:val="20"/>
          <w:color w:val="auto"/>
        </w:rPr>
      </w:pPr>
    </w:p>
    <w:p>
      <w:pPr>
        <w:jc w:val="both"/>
        <w:ind w:left="60" w:right="59" w:firstLine="324"/>
        <w:spacing w:after="0" w:line="235" w:lineRule="auto"/>
        <w:rPr>
          <w:sz w:val="20"/>
          <w:szCs w:val="20"/>
          <w:color w:val="auto"/>
        </w:rPr>
      </w:pPr>
      <w:r>
        <w:rPr>
          <w:rFonts w:ascii="Arial" w:cs="Arial" w:eastAsia="Arial" w:hAnsi="Arial"/>
          <w:sz w:val="18"/>
          <w:szCs w:val="18"/>
          <w:color w:val="auto"/>
        </w:rPr>
        <w:t>The following tables present the fair value of assets measured on a recurring basis by level as of September 30, 2023 and December 31, 2022 (in thousands). See Note 12, “Interest Rate Swaps” for further disclosure related to the Company’s interest rate swaps.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960" w:type="dxa"/>
            <w:vAlign w:val="bottom"/>
            <w:tcBorders>
              <w:bottom w:val="single" w:sz="8" w:color="auto"/>
            </w:tcBorders>
            <w:gridSpan w:val="7"/>
          </w:tcPr>
          <w:p>
            <w:pPr>
              <w:jc w:val="center"/>
              <w:ind w:right="30"/>
              <w:spacing w:after="0"/>
              <w:rPr>
                <w:sz w:val="20"/>
                <w:szCs w:val="20"/>
                <w:color w:val="auto"/>
              </w:rPr>
            </w:pPr>
            <w:r>
              <w:rPr>
                <w:rFonts w:ascii="Arial" w:cs="Arial" w:eastAsia="Arial" w:hAnsi="Arial"/>
                <w:sz w:val="18"/>
                <w:szCs w:val="18"/>
                <w:b w:val="1"/>
                <w:bCs w:val="1"/>
                <w:color w:val="auto"/>
                <w:w w:val="91"/>
              </w:rPr>
              <w:t>Fair Value at Reporting Date Using</w:t>
            </w:r>
          </w:p>
        </w:tc>
      </w:tr>
      <w:tr>
        <w:trPr>
          <w:trHeight w:val="191"/>
        </w:trPr>
        <w:tc>
          <w:tcPr>
            <w:tcW w:w="2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3"/>
          </w:tcPr>
          <w:p>
            <w:pPr>
              <w:jc w:val="center"/>
              <w:ind w:right="200"/>
              <w:spacing w:after="0" w:line="191" w:lineRule="exact"/>
              <w:rPr>
                <w:sz w:val="20"/>
                <w:szCs w:val="20"/>
                <w:color w:val="auto"/>
              </w:rPr>
            </w:pPr>
            <w:r>
              <w:rPr>
                <w:rFonts w:ascii="Arial" w:cs="Arial" w:eastAsia="Arial" w:hAnsi="Arial"/>
                <w:sz w:val="18"/>
                <w:szCs w:val="18"/>
                <w:b w:val="1"/>
                <w:bCs w:val="1"/>
                <w:color w:val="auto"/>
                <w:w w:val="90"/>
              </w:rPr>
              <w:t>Quoted Prices</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6"/>
        </w:trPr>
        <w:tc>
          <w:tcPr>
            <w:tcW w:w="2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in Active</w:t>
            </w:r>
          </w:p>
        </w:tc>
        <w:tc>
          <w:tcPr>
            <w:tcW w:w="12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Significant</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Markets for</w:t>
            </w:r>
          </w:p>
        </w:tc>
        <w:tc>
          <w:tcPr>
            <w:tcW w:w="12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140" w:type="dxa"/>
            <w:vAlign w:val="bottom"/>
          </w:tcPr>
          <w:p>
            <w:pPr>
              <w:ind w:left="120"/>
              <w:spacing w:after="0"/>
              <w:rPr>
                <w:sz w:val="20"/>
                <w:szCs w:val="20"/>
                <w:color w:val="auto"/>
              </w:rPr>
            </w:pPr>
            <w:r>
              <w:rPr>
                <w:rFonts w:ascii="Arial" w:cs="Arial" w:eastAsia="Arial" w:hAnsi="Arial"/>
                <w:sz w:val="18"/>
                <w:szCs w:val="18"/>
                <w:b w:val="1"/>
                <w:bCs w:val="1"/>
                <w:color w:val="auto"/>
              </w:rPr>
              <w:t>Significant</w:t>
            </w:r>
          </w:p>
        </w:tc>
      </w:tr>
      <w:tr>
        <w:trPr>
          <w:trHeight w:val="216"/>
        </w:trPr>
        <w:tc>
          <w:tcPr>
            <w:tcW w:w="2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rPr>
              <w:t>Identical Assets</w:t>
            </w:r>
          </w:p>
        </w:tc>
        <w:tc>
          <w:tcPr>
            <w:tcW w:w="12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Observable</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b w:val="1"/>
                <w:bCs w:val="1"/>
                <w:color w:val="auto"/>
                <w:w w:val="94"/>
              </w:rPr>
              <w:t>Unobservable</w:t>
            </w:r>
          </w:p>
        </w:tc>
      </w:tr>
      <w:tr>
        <w:trPr>
          <w:trHeight w:val="234"/>
        </w:trPr>
        <w:tc>
          <w:tcPr>
            <w:tcW w:w="2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20"/>
                <w:szCs w:val="20"/>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(Level 1)</w:t>
            </w: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rPr>
              <w:t>Inputs (Level 2)</w:t>
            </w: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w w:val="90"/>
              </w:rPr>
              <w:t>Inputs (Level 3)</w:t>
            </w:r>
          </w:p>
        </w:tc>
      </w:tr>
      <w:tr>
        <w:trPr>
          <w:trHeight w:val="209"/>
        </w:trPr>
        <w:tc>
          <w:tcPr>
            <w:tcW w:w="34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2023</w:t>
            </w: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16"/>
        </w:trPr>
        <w:tc>
          <w:tcPr>
            <w:tcW w:w="3400" w:type="dxa"/>
            <w:vAlign w:val="bottom"/>
            <w:gridSpan w:val="2"/>
          </w:tcPr>
          <w:p>
            <w:pPr>
              <w:ind w:left="340"/>
              <w:spacing w:after="0" w:line="216" w:lineRule="exact"/>
              <w:rPr>
                <w:sz w:val="20"/>
                <w:szCs w:val="20"/>
                <w:color w:val="auto"/>
              </w:rPr>
            </w:pPr>
            <w:r>
              <w:rPr>
                <w:rFonts w:ascii="Arial" w:cs="Arial" w:eastAsia="Arial" w:hAnsi="Arial"/>
                <w:sz w:val="17"/>
                <w:szCs w:val="17"/>
                <w:color w:val="auto"/>
              </w:rPr>
              <w:t xml:space="preserve">2026 Term Loan Interest Rate Swap </w:t>
            </w:r>
            <w:r>
              <w:rPr>
                <w:rFonts w:ascii="Arial" w:cs="Arial" w:eastAsia="Arial" w:hAnsi="Arial"/>
                <w:sz w:val="25"/>
                <w:szCs w:val="25"/>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6,639</w:t>
            </w: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6,639</w:t>
            </w:r>
          </w:p>
        </w:tc>
        <w:tc>
          <w:tcPr>
            <w:tcW w:w="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gridSpan w:val="2"/>
            <w:shd w:val="clear" w:color="auto" w:fill="CCEEFF"/>
          </w:tcPr>
          <w:p>
            <w:pPr>
              <w:ind w:left="340"/>
              <w:spacing w:after="0" w:line="216" w:lineRule="exact"/>
              <w:rPr>
                <w:sz w:val="20"/>
                <w:szCs w:val="20"/>
                <w:color w:val="auto"/>
              </w:rPr>
            </w:pPr>
            <w:r>
              <w:rPr>
                <w:rFonts w:ascii="Arial" w:cs="Arial" w:eastAsia="Arial" w:hAnsi="Arial"/>
                <w:sz w:val="17"/>
                <w:szCs w:val="17"/>
                <w:color w:val="auto"/>
              </w:rPr>
              <w:t xml:space="preserve">2027 Term Loan Interest Rate Swap </w:t>
            </w:r>
            <w:r>
              <w:rPr>
                <w:rFonts w:ascii="Arial" w:cs="Arial" w:eastAsia="Arial" w:hAnsi="Arial"/>
                <w:sz w:val="25"/>
                <w:szCs w:val="25"/>
                <w:color w:val="auto"/>
                <w:vertAlign w:val="superscript"/>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gridSpan w:val="2"/>
          </w:tcPr>
          <w:p>
            <w:pPr>
              <w:ind w:left="340"/>
              <w:spacing w:after="0" w:line="216" w:lineRule="exact"/>
              <w:rPr>
                <w:sz w:val="20"/>
                <w:szCs w:val="20"/>
                <w:color w:val="auto"/>
              </w:rPr>
            </w:pPr>
            <w:r>
              <w:rPr>
                <w:rFonts w:ascii="Arial" w:cs="Arial" w:eastAsia="Arial" w:hAnsi="Arial"/>
                <w:sz w:val="17"/>
                <w:szCs w:val="17"/>
                <w:color w:val="auto"/>
              </w:rPr>
              <w:t xml:space="preserve">Credit Facility Interest Rate Swap </w:t>
            </w:r>
            <w:r>
              <w:rPr>
                <w:rFonts w:ascii="Arial" w:cs="Arial" w:eastAsia="Arial" w:hAnsi="Arial"/>
                <w:sz w:val="25"/>
                <w:szCs w:val="25"/>
                <w:color w:val="auto"/>
                <w:vertAlign w:val="superscript"/>
              </w:rPr>
              <w:t>(3)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2,302</w:t>
            </w: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2,302</w:t>
            </w:r>
          </w:p>
        </w:tc>
        <w:tc>
          <w:tcPr>
            <w:tcW w:w="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2022</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3400" w:type="dxa"/>
            <w:vAlign w:val="bottom"/>
            <w:gridSpan w:val="2"/>
          </w:tcPr>
          <w:p>
            <w:pPr>
              <w:ind w:left="340"/>
              <w:spacing w:after="0" w:line="216" w:lineRule="exact"/>
              <w:rPr>
                <w:sz w:val="20"/>
                <w:szCs w:val="20"/>
                <w:color w:val="auto"/>
              </w:rPr>
            </w:pPr>
            <w:r>
              <w:rPr>
                <w:rFonts w:ascii="Arial" w:cs="Arial" w:eastAsia="Arial" w:hAnsi="Arial"/>
                <w:sz w:val="17"/>
                <w:szCs w:val="17"/>
                <w:color w:val="auto"/>
              </w:rPr>
              <w:t xml:space="preserve">2026 Term Loan Interest Rate Swap </w:t>
            </w:r>
            <w:r>
              <w:rPr>
                <w:rFonts w:ascii="Arial" w:cs="Arial" w:eastAsia="Arial" w:hAnsi="Arial"/>
                <w:sz w:val="25"/>
                <w:szCs w:val="25"/>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6,125</w:t>
            </w: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6,125</w:t>
            </w:r>
          </w:p>
        </w:tc>
        <w:tc>
          <w:tcPr>
            <w:tcW w:w="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gridSpan w:val="2"/>
            <w:shd w:val="clear" w:color="auto" w:fill="CCEEFF"/>
          </w:tcPr>
          <w:p>
            <w:pPr>
              <w:ind w:left="340"/>
              <w:spacing w:after="0" w:line="216" w:lineRule="exact"/>
              <w:rPr>
                <w:sz w:val="20"/>
                <w:szCs w:val="20"/>
                <w:color w:val="auto"/>
              </w:rPr>
            </w:pPr>
            <w:r>
              <w:rPr>
                <w:rFonts w:ascii="Arial" w:cs="Arial" w:eastAsia="Arial" w:hAnsi="Arial"/>
                <w:sz w:val="17"/>
                <w:szCs w:val="17"/>
                <w:color w:val="auto"/>
              </w:rPr>
              <w:t xml:space="preserve">2027 Term Loan Interest Rate Swap </w:t>
            </w:r>
            <w:r>
              <w:rPr>
                <w:rFonts w:ascii="Arial" w:cs="Arial" w:eastAsia="Arial" w:hAnsi="Arial"/>
                <w:sz w:val="25"/>
                <w:szCs w:val="25"/>
                <w:color w:val="auto"/>
                <w:vertAlign w:val="superscript"/>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94"/>
        </w:trPr>
        <w:tc>
          <w:tcPr>
            <w:tcW w:w="2240" w:type="dxa"/>
            <w:vAlign w:val="bottom"/>
            <w:tcBorders>
              <w:bottom w:val="single" w:sz="8" w:color="auto"/>
            </w:tcBorders>
          </w:tcPr>
          <w:p>
            <w:pPr>
              <w:spacing w:after="0"/>
              <w:rPr>
                <w:sz w:val="8"/>
                <w:szCs w:val="8"/>
                <w:color w:val="auto"/>
              </w:rPr>
            </w:pP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r>
    </w:tbl>
    <w:p>
      <w:pPr>
        <w:spacing w:after="0" w:line="62" w:lineRule="exact"/>
        <w:rPr>
          <w:sz w:val="20"/>
          <w:szCs w:val="20"/>
          <w:color w:val="auto"/>
        </w:rPr>
      </w:pPr>
    </w:p>
    <w:p>
      <w:pPr>
        <w:jc w:val="both"/>
        <w:ind w:left="380" w:right="79" w:hanging="330"/>
        <w:spacing w:after="0" w:line="227" w:lineRule="auto"/>
        <w:tabs>
          <w:tab w:leader="none" w:pos="380" w:val="left"/>
        </w:tabs>
        <w:numPr>
          <w:ilvl w:val="0"/>
          <w:numId w:val="4"/>
        </w:numPr>
        <w:rPr>
          <w:rFonts w:ascii="Arial" w:cs="Arial" w:eastAsia="Arial" w:hAnsi="Arial"/>
          <w:sz w:val="11"/>
          <w:szCs w:val="11"/>
          <w:color w:val="auto"/>
        </w:rPr>
      </w:pPr>
      <w:r>
        <w:rPr>
          <w:rFonts w:ascii="Arial" w:cs="Arial" w:eastAsia="Arial" w:hAnsi="Arial"/>
          <w:sz w:val="14"/>
          <w:szCs w:val="14"/>
          <w:color w:val="auto"/>
        </w:rPr>
        <w:t>As of September 30, 2023, the Company has utilized interest rate swaps to fix SOFR and achieve a weighted average fixed interest rate of 2.05% plus 0.10% and the applicable spread on the $100 million 2026 Term Loan (hereinafter defined) balance. See Note 12, “Interest Rate Swaps” for further disclosure related to the Company’s interest rate swaps.</w:t>
      </w:r>
    </w:p>
    <w:p>
      <w:pPr>
        <w:jc w:val="both"/>
        <w:ind w:left="380" w:right="79" w:hanging="330"/>
        <w:spacing w:after="0" w:line="221" w:lineRule="auto"/>
        <w:tabs>
          <w:tab w:leader="none" w:pos="380" w:val="left"/>
        </w:tabs>
        <w:numPr>
          <w:ilvl w:val="0"/>
          <w:numId w:val="4"/>
        </w:numPr>
        <w:rPr>
          <w:rFonts w:ascii="Arial" w:cs="Arial" w:eastAsia="Arial" w:hAnsi="Arial"/>
          <w:sz w:val="11"/>
          <w:szCs w:val="11"/>
          <w:color w:val="auto"/>
        </w:rPr>
      </w:pPr>
      <w:r>
        <w:rPr>
          <w:rFonts w:ascii="Arial" w:cs="Arial" w:eastAsia="Arial" w:hAnsi="Arial"/>
          <w:sz w:val="14"/>
          <w:szCs w:val="14"/>
          <w:color w:val="auto"/>
        </w:rPr>
        <w:t>As of September 30, 2023, the Company has utilized interest rate swaps to fix SOFR and achieve a weighted average fixed interest rate of 1.18% plus 0.10% and the applicable spread on the $100 million 2027 Term Loan (hereinafter defined) balance. See Note 12, “Interest Rate Swaps” for further disclosure related to the Company’s interest rate swaps.</w:t>
      </w:r>
    </w:p>
    <w:p>
      <w:pPr>
        <w:jc w:val="both"/>
        <w:ind w:left="380" w:right="79" w:hanging="330"/>
        <w:spacing w:after="0" w:line="232" w:lineRule="auto"/>
        <w:tabs>
          <w:tab w:leader="none" w:pos="380" w:val="left"/>
        </w:tabs>
        <w:numPr>
          <w:ilvl w:val="0"/>
          <w:numId w:val="4"/>
        </w:numPr>
        <w:rPr>
          <w:rFonts w:ascii="Arial" w:cs="Arial" w:eastAsia="Arial" w:hAnsi="Arial"/>
          <w:sz w:val="11"/>
          <w:szCs w:val="11"/>
          <w:color w:val="auto"/>
        </w:rPr>
      </w:pPr>
      <w:r>
        <w:rPr>
          <w:rFonts w:ascii="Arial" w:cs="Arial" w:eastAsia="Arial" w:hAnsi="Arial"/>
          <w:sz w:val="14"/>
          <w:szCs w:val="14"/>
          <w:color w:val="auto"/>
        </w:rPr>
        <w:t>As of September 30, 2023, the Company has utilized an interest rate swap to fix SOFR and achieve a fixed interest rate of 3.21% plus 0.10% and the applicable spread on $50 million of the outstanding balance on the Credit Facility (hereinafter defined). See Note 12, “Interest Rate Swaps” for further disclosure related to the Company’s interest rate swaps.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6. INTANGIBLE ASSETS AND LIABILITIES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Intangible assets and liabilities consist of the value of above-market and below-market leases, the value of in-place leases, and the value of leasing costs, based in each case on their fair values. Intangible assets and liabilities consisted of the following as of September 30, 2023 and December 31, 2022 (in thousands):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361"/>
              <w:spacing w:after="0"/>
              <w:rPr>
                <w:sz w:val="20"/>
                <w:szCs w:val="20"/>
                <w:color w:val="auto"/>
              </w:rPr>
            </w:pPr>
            <w:r>
              <w:rPr>
                <w:rFonts w:ascii="Arial" w:cs="Arial" w:eastAsia="Arial" w:hAnsi="Arial"/>
                <w:sz w:val="18"/>
                <w:szCs w:val="18"/>
                <w:b w:val="1"/>
                <w:bCs w:val="1"/>
                <w:color w:val="auto"/>
              </w:rPr>
              <w:t>As of</w:t>
            </w: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5540" w:type="dxa"/>
            <w:vAlign w:val="bottom"/>
          </w:tcPr>
          <w:p>
            <w:pPr>
              <w:spacing w:after="0"/>
              <w:rPr>
                <w:sz w:val="18"/>
                <w:szCs w:val="18"/>
                <w:color w:val="auto"/>
              </w:rPr>
            </w:pPr>
          </w:p>
        </w:tc>
        <w:tc>
          <w:tcPr>
            <w:tcW w:w="17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0"/>
              </w:rPr>
              <w:t>September 30, 2023</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2022</w:t>
            </w:r>
          </w:p>
        </w:tc>
        <w:tc>
          <w:tcPr>
            <w:tcW w:w="20" w:type="dxa"/>
            <w:vAlign w:val="bottom"/>
          </w:tcPr>
          <w:p>
            <w:pPr>
              <w:spacing w:after="0"/>
              <w:rPr>
                <w:sz w:val="18"/>
                <w:szCs w:val="18"/>
                <w:color w:val="auto"/>
              </w:rPr>
            </w:pPr>
          </w:p>
        </w:tc>
      </w:tr>
      <w:tr>
        <w:trPr>
          <w:trHeight w:val="209"/>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Lease Assets:</w:t>
            </w:r>
          </w:p>
        </w:tc>
        <w:tc>
          <w:tcPr>
            <w:tcW w:w="5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540" w:type="dxa"/>
            <w:vAlign w:val="bottom"/>
          </w:tcPr>
          <w:p>
            <w:pPr>
              <w:ind w:left="120"/>
              <w:spacing w:after="0"/>
              <w:rPr>
                <w:sz w:val="20"/>
                <w:szCs w:val="20"/>
                <w:color w:val="auto"/>
              </w:rPr>
            </w:pPr>
            <w:r>
              <w:rPr>
                <w:rFonts w:ascii="Arial" w:cs="Arial" w:eastAsia="Arial" w:hAnsi="Arial"/>
                <w:sz w:val="18"/>
                <w:szCs w:val="18"/>
                <w:color w:val="auto"/>
              </w:rPr>
              <w:t>Value of In-Place Leases</w:t>
            </w:r>
          </w:p>
        </w:tc>
        <w:tc>
          <w:tcPr>
            <w:tcW w:w="520" w:type="dxa"/>
            <w:vAlign w:val="bottom"/>
          </w:tcPr>
          <w:p>
            <w:pPr>
              <w:jc w:val="right"/>
              <w:ind w:right="361"/>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48,578</w:t>
            </w:r>
          </w:p>
        </w:tc>
        <w:tc>
          <w:tcPr>
            <w:tcW w:w="200" w:type="dxa"/>
            <w:vAlign w:val="bottom"/>
          </w:tcPr>
          <w:p>
            <w:pPr>
              <w:spacing w:after="0"/>
              <w:rPr>
                <w:sz w:val="18"/>
                <w:szCs w:val="18"/>
                <w:color w:val="auto"/>
              </w:rPr>
            </w:pPr>
          </w:p>
        </w:tc>
        <w:tc>
          <w:tcPr>
            <w:tcW w:w="540" w:type="dxa"/>
            <w:vAlign w:val="bottom"/>
          </w:tcPr>
          <w:p>
            <w:pPr>
              <w:jc w:val="right"/>
              <w:ind w:right="381"/>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49,974</w:t>
            </w:r>
          </w:p>
        </w:tc>
        <w:tc>
          <w:tcPr>
            <w:tcW w:w="20" w:type="dxa"/>
            <w:vAlign w:val="bottom"/>
          </w:tcPr>
          <w:p>
            <w:pPr>
              <w:spacing w:after="0"/>
              <w:rPr>
                <w:sz w:val="18"/>
                <w:szCs w:val="18"/>
                <w:color w:val="auto"/>
              </w:rPr>
            </w:pPr>
          </w:p>
        </w:tc>
      </w:tr>
      <w:tr>
        <w:trPr>
          <w:trHeight w:val="216"/>
        </w:trPr>
        <w:tc>
          <w:tcPr>
            <w:tcW w:w="5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Value of Above Market In-Place Leases</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3,897</w:t>
            </w:r>
          </w:p>
        </w:tc>
        <w:tc>
          <w:tcPr>
            <w:tcW w:w="20" w:type="dxa"/>
            <w:vAlign w:val="bottom"/>
          </w:tcPr>
          <w:p>
            <w:pPr>
              <w:spacing w:after="0"/>
              <w:rPr>
                <w:sz w:val="18"/>
                <w:szCs w:val="18"/>
                <w:color w:val="auto"/>
              </w:rPr>
            </w:pPr>
          </w:p>
        </w:tc>
      </w:tr>
      <w:tr>
        <w:trPr>
          <w:trHeight w:val="216"/>
        </w:trPr>
        <w:tc>
          <w:tcPr>
            <w:tcW w:w="55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Value of Intangible Leasing Costs</w:t>
            </w: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19,005</w:t>
            </w:r>
          </w:p>
        </w:tc>
        <w:tc>
          <w:tcPr>
            <w:tcW w:w="2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20,579</w:t>
            </w:r>
          </w:p>
        </w:tc>
        <w:tc>
          <w:tcPr>
            <w:tcW w:w="20" w:type="dxa"/>
            <w:vAlign w:val="bottom"/>
          </w:tcPr>
          <w:p>
            <w:pPr>
              <w:spacing w:after="0"/>
              <w:rPr>
                <w:sz w:val="18"/>
                <w:szCs w:val="18"/>
                <w:color w:val="auto"/>
              </w:rPr>
            </w:pPr>
          </w:p>
        </w:tc>
      </w:tr>
      <w:tr>
        <w:trPr>
          <w:trHeight w:val="209"/>
        </w:trPr>
        <w:tc>
          <w:tcPr>
            <w:tcW w:w="5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Sub-total Intangible Lease Assets</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70,509</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74,450</w:t>
            </w:r>
          </w:p>
        </w:tc>
        <w:tc>
          <w:tcPr>
            <w:tcW w:w="20" w:type="dxa"/>
            <w:vAlign w:val="bottom"/>
          </w:tcPr>
          <w:p>
            <w:pPr>
              <w:spacing w:after="0"/>
              <w:rPr>
                <w:sz w:val="18"/>
                <w:szCs w:val="18"/>
                <w:color w:val="auto"/>
              </w:rPr>
            </w:pPr>
          </w:p>
        </w:tc>
      </w:tr>
      <w:tr>
        <w:trPr>
          <w:trHeight w:val="216"/>
        </w:trPr>
        <w:tc>
          <w:tcPr>
            <w:tcW w:w="5540" w:type="dxa"/>
            <w:vAlign w:val="bottom"/>
          </w:tcPr>
          <w:p>
            <w:pPr>
              <w:ind w:left="220"/>
              <w:spacing w:after="0"/>
              <w:rPr>
                <w:sz w:val="20"/>
                <w:szCs w:val="20"/>
                <w:color w:val="auto"/>
              </w:rPr>
            </w:pPr>
            <w:r>
              <w:rPr>
                <w:rFonts w:ascii="Arial" w:cs="Arial" w:eastAsia="Arial" w:hAnsi="Arial"/>
                <w:sz w:val="18"/>
                <w:szCs w:val="18"/>
                <w:color w:val="auto"/>
              </w:rPr>
              <w:t>Accumulated Amortization</w:t>
            </w:r>
          </w:p>
        </w:tc>
        <w:tc>
          <w:tcPr>
            <w:tcW w:w="5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(18,885)</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(14,018)</w:t>
            </w:r>
          </w:p>
        </w:tc>
        <w:tc>
          <w:tcPr>
            <w:tcW w:w="20" w:type="dxa"/>
            <w:vAlign w:val="bottom"/>
          </w:tcPr>
          <w:p>
            <w:pPr>
              <w:spacing w:after="0"/>
              <w:rPr>
                <w:sz w:val="18"/>
                <w:szCs w:val="18"/>
                <w:color w:val="auto"/>
              </w:rPr>
            </w:pPr>
          </w:p>
        </w:tc>
      </w:tr>
      <w:tr>
        <w:trPr>
          <w:trHeight w:val="209"/>
        </w:trPr>
        <w:tc>
          <w:tcPr>
            <w:tcW w:w="55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Sub-total Intangible Lease Assets—Net</w:t>
            </w: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51,624</w:t>
            </w: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60,432</w:t>
            </w:r>
          </w:p>
        </w:tc>
        <w:tc>
          <w:tcPr>
            <w:tcW w:w="20" w:type="dxa"/>
            <w:vAlign w:val="bottom"/>
          </w:tcPr>
          <w:p>
            <w:pPr>
              <w:spacing w:after="0"/>
              <w:rPr>
                <w:sz w:val="18"/>
                <w:szCs w:val="18"/>
                <w:color w:val="auto"/>
              </w:rPr>
            </w:pPr>
          </w:p>
        </w:tc>
      </w:tr>
      <w:tr>
        <w:trPr>
          <w:trHeight w:val="209"/>
        </w:trPr>
        <w:tc>
          <w:tcPr>
            <w:tcW w:w="5540" w:type="dxa"/>
            <w:vAlign w:val="bottom"/>
          </w:tcPr>
          <w:p>
            <w:pPr>
              <w:ind w:left="20"/>
              <w:spacing w:after="0"/>
              <w:rPr>
                <w:sz w:val="20"/>
                <w:szCs w:val="20"/>
                <w:color w:val="auto"/>
              </w:rPr>
            </w:pPr>
            <w:r>
              <w:rPr>
                <w:rFonts w:ascii="Arial" w:cs="Arial" w:eastAsia="Arial" w:hAnsi="Arial"/>
                <w:sz w:val="18"/>
                <w:szCs w:val="18"/>
                <w:color w:val="auto"/>
              </w:rPr>
              <w:t>Intangible Lease Liabilities:</w:t>
            </w: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Value of Below Market In-Place Leases</w:t>
            </w:r>
          </w:p>
        </w:tc>
        <w:tc>
          <w:tcPr>
            <w:tcW w:w="5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(6,867)</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(6,130)</w:t>
            </w:r>
          </w:p>
        </w:tc>
        <w:tc>
          <w:tcPr>
            <w:tcW w:w="20" w:type="dxa"/>
            <w:vAlign w:val="bottom"/>
          </w:tcPr>
          <w:p>
            <w:pPr>
              <w:spacing w:after="0"/>
              <w:rPr>
                <w:sz w:val="18"/>
                <w:szCs w:val="18"/>
                <w:color w:val="auto"/>
              </w:rPr>
            </w:pPr>
          </w:p>
        </w:tc>
      </w:tr>
      <w:tr>
        <w:trPr>
          <w:trHeight w:val="210"/>
        </w:trPr>
        <w:tc>
          <w:tcPr>
            <w:tcW w:w="5540" w:type="dxa"/>
            <w:vAlign w:val="bottom"/>
          </w:tcPr>
          <w:p>
            <w:pPr>
              <w:ind w:left="220"/>
              <w:spacing w:after="0"/>
              <w:rPr>
                <w:sz w:val="20"/>
                <w:szCs w:val="20"/>
                <w:color w:val="auto"/>
              </w:rPr>
            </w:pPr>
            <w:r>
              <w:rPr>
                <w:rFonts w:ascii="Arial" w:cs="Arial" w:eastAsia="Arial" w:hAnsi="Arial"/>
                <w:sz w:val="18"/>
                <w:szCs w:val="18"/>
                <w:color w:val="auto"/>
              </w:rPr>
              <w:t>Sub-total Intangible Lease Liabilities</w:t>
            </w:r>
          </w:p>
        </w:tc>
        <w:tc>
          <w:tcPr>
            <w:tcW w:w="5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(6,867)</w:t>
            </w:r>
          </w:p>
        </w:tc>
        <w:tc>
          <w:tcPr>
            <w:tcW w:w="2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(6,130)</w:t>
            </w:r>
          </w:p>
        </w:tc>
        <w:tc>
          <w:tcPr>
            <w:tcW w:w="20" w:type="dxa"/>
            <w:vAlign w:val="bottom"/>
          </w:tcPr>
          <w:p>
            <w:pPr>
              <w:spacing w:after="0"/>
              <w:rPr>
                <w:sz w:val="18"/>
                <w:szCs w:val="18"/>
                <w:color w:val="auto"/>
              </w:rPr>
            </w:pPr>
          </w:p>
        </w:tc>
      </w:tr>
      <w:tr>
        <w:trPr>
          <w:trHeight w:val="216"/>
        </w:trPr>
        <w:tc>
          <w:tcPr>
            <w:tcW w:w="5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Amortization</w:t>
            </w: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2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20" w:type="dxa"/>
            <w:vAlign w:val="bottom"/>
          </w:tcPr>
          <w:p>
            <w:pPr>
              <w:spacing w:after="0"/>
              <w:rPr>
                <w:sz w:val="18"/>
                <w:szCs w:val="18"/>
                <w:color w:val="auto"/>
              </w:rPr>
            </w:pPr>
          </w:p>
        </w:tc>
      </w:tr>
      <w:tr>
        <w:trPr>
          <w:trHeight w:val="209"/>
        </w:trPr>
        <w:tc>
          <w:tcPr>
            <w:tcW w:w="55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Sub-total Intangible Lease Liabilities—Net</w:t>
            </w: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(5,184)</w:t>
            </w:r>
          </w:p>
        </w:tc>
        <w:tc>
          <w:tcPr>
            <w:tcW w:w="2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(5,050)</w:t>
            </w:r>
          </w:p>
        </w:tc>
        <w:tc>
          <w:tcPr>
            <w:tcW w:w="20" w:type="dxa"/>
            <w:vAlign w:val="bottom"/>
          </w:tcPr>
          <w:p>
            <w:pPr>
              <w:spacing w:after="0"/>
              <w:rPr>
                <w:sz w:val="18"/>
                <w:szCs w:val="18"/>
                <w:color w:val="auto"/>
              </w:rPr>
            </w:pPr>
          </w:p>
        </w:tc>
      </w:tr>
      <w:tr>
        <w:trPr>
          <w:trHeight w:val="21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 and Liabilities—Net</w:t>
            </w:r>
          </w:p>
        </w:tc>
        <w:tc>
          <w:tcPr>
            <w:tcW w:w="52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46,440</w:t>
            </w:r>
          </w:p>
        </w:tc>
        <w:tc>
          <w:tcPr>
            <w:tcW w:w="2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81"/>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55,382</w:t>
            </w:r>
          </w:p>
        </w:tc>
        <w:tc>
          <w:tcPr>
            <w:tcW w:w="20" w:type="dxa"/>
            <w:vAlign w:val="bottom"/>
          </w:tcPr>
          <w:p>
            <w:pPr>
              <w:spacing w:after="0"/>
              <w:rPr>
                <w:sz w:val="18"/>
                <w:szCs w:val="18"/>
                <w:color w:val="auto"/>
              </w:rPr>
            </w:pPr>
          </w:p>
        </w:tc>
      </w:tr>
      <w:tr>
        <w:trPr>
          <w:trHeight w:val="20"/>
        </w:trPr>
        <w:tc>
          <w:tcPr>
            <w:tcW w:w="55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39" w:firstLine="389"/>
        <w:spacing w:after="0" w:line="277" w:lineRule="auto"/>
        <w:rPr>
          <w:sz w:val="20"/>
          <w:szCs w:val="20"/>
          <w:color w:val="auto"/>
        </w:rPr>
      </w:pPr>
      <w:r>
        <w:rPr>
          <w:rFonts w:ascii="Arial" w:cs="Arial" w:eastAsia="Arial" w:hAnsi="Arial"/>
          <w:sz w:val="18"/>
          <w:szCs w:val="18"/>
          <w:color w:val="auto"/>
        </w:rPr>
        <w:t>The following table reflects the net amortization of intangible assets and liabilities during the three and nine months ended September 30, 2023 and 2022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0"/>
                <w:szCs w:val="20"/>
                <w:color w:val="auto"/>
              </w:rPr>
            </w:pPr>
          </w:p>
        </w:tc>
        <w:tc>
          <w:tcPr>
            <w:tcW w:w="2280" w:type="dxa"/>
            <w:vAlign w:val="bottom"/>
            <w:gridSpan w:val="5"/>
          </w:tcPr>
          <w:p>
            <w:pPr>
              <w:ind w:left="2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1"/>
        </w:trPr>
        <w:tc>
          <w:tcPr>
            <w:tcW w:w="3660" w:type="dxa"/>
            <w:vAlign w:val="bottom"/>
          </w:tcPr>
          <w:p>
            <w:pPr>
              <w:spacing w:after="0"/>
              <w:rPr>
                <w:sz w:val="16"/>
                <w:szCs w:val="16"/>
                <w:color w:val="auto"/>
              </w:rPr>
            </w:pPr>
          </w:p>
        </w:tc>
        <w:tc>
          <w:tcPr>
            <w:tcW w:w="1360" w:type="dxa"/>
            <w:vAlign w:val="bottom"/>
            <w:tcBorders>
              <w:top w:val="single" w:sz="8" w:color="auto"/>
            </w:tcBorders>
            <w:gridSpan w:val="3"/>
          </w:tcPr>
          <w:p>
            <w:pPr>
              <w:ind w:left="60"/>
              <w:spacing w:after="0" w:line="191" w:lineRule="exact"/>
              <w:rPr>
                <w:sz w:val="20"/>
                <w:szCs w:val="20"/>
                <w:color w:val="auto"/>
              </w:rPr>
            </w:pPr>
            <w:r>
              <w:rPr>
                <w:rFonts w:ascii="Arial" w:cs="Arial" w:eastAsia="Arial" w:hAnsi="Arial"/>
                <w:sz w:val="18"/>
                <w:szCs w:val="18"/>
                <w:b w:val="1"/>
                <w:bCs w:val="1"/>
                <w:color w:val="auto"/>
              </w:rPr>
              <w:t>September 30,</w:t>
            </w:r>
          </w:p>
        </w:tc>
        <w:tc>
          <w:tcPr>
            <w:tcW w:w="124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2"/>
              </w:rPr>
              <w:t>September 30,</w:t>
            </w:r>
          </w:p>
        </w:tc>
        <w:tc>
          <w:tcPr>
            <w:tcW w:w="120" w:type="dxa"/>
            <w:vAlign w:val="bottom"/>
          </w:tcPr>
          <w:p>
            <w:pPr>
              <w:spacing w:after="0"/>
              <w:rPr>
                <w:sz w:val="16"/>
                <w:szCs w:val="16"/>
                <w:color w:val="auto"/>
              </w:rPr>
            </w:pPr>
          </w:p>
        </w:tc>
        <w:tc>
          <w:tcPr>
            <w:tcW w:w="1320" w:type="dxa"/>
            <w:vAlign w:val="bottom"/>
            <w:tcBorders>
              <w:top w:val="single" w:sz="8" w:color="auto"/>
            </w:tcBorders>
            <w:gridSpan w:val="3"/>
          </w:tcPr>
          <w:p>
            <w:pPr>
              <w:jc w:val="right"/>
              <w:ind w:right="160"/>
              <w:spacing w:after="0" w:line="191" w:lineRule="exact"/>
              <w:rPr>
                <w:sz w:val="20"/>
                <w:szCs w:val="20"/>
                <w:color w:val="auto"/>
              </w:rPr>
            </w:pPr>
            <w:r>
              <w:rPr>
                <w:rFonts w:ascii="Arial" w:cs="Arial" w:eastAsia="Arial" w:hAnsi="Arial"/>
                <w:sz w:val="18"/>
                <w:szCs w:val="18"/>
                <w:b w:val="1"/>
                <w:bCs w:val="1"/>
                <w:color w:val="auto"/>
                <w:w w:val="92"/>
              </w:rPr>
              <w:t>September 30,</w:t>
            </w:r>
          </w:p>
        </w:tc>
        <w:tc>
          <w:tcPr>
            <w:tcW w:w="120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2"/>
              </w:rPr>
              <w:t>September 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0"/>
              <w:spacing w:after="0"/>
              <w:rPr>
                <w:sz w:val="20"/>
                <w:szCs w:val="20"/>
                <w:color w:val="auto"/>
              </w:rPr>
            </w:pPr>
            <w:r>
              <w:rPr>
                <w:rFonts w:ascii="Arial" w:cs="Arial" w:eastAsia="Arial" w:hAnsi="Arial"/>
                <w:sz w:val="18"/>
                <w:szCs w:val="18"/>
                <w:color w:val="auto"/>
              </w:rPr>
              <w:t>Accretion to Properties Revenue</w:t>
            </w: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(110)</w:t>
            </w: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(299)</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66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Net Amortization of Intangible Assets and</w:t>
            </w:r>
          </w:p>
        </w:tc>
        <w:tc>
          <w:tcPr>
            <w:tcW w:w="260" w:type="dxa"/>
            <w:vAlign w:val="bottom"/>
            <w:tcBorders>
              <w:top w:val="single" w:sz="8" w:color="auto"/>
            </w:tcBorders>
            <w:vMerge w:val="restart"/>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vMerge w:val="restart"/>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6,422</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6,236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estimated future amortization expense (income) related to net intangible assets and liabilities is as follows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Net Future</w:t>
            </w:r>
          </w:p>
        </w:tc>
      </w:tr>
      <w:tr>
        <w:trPr>
          <w:trHeight w:val="216"/>
        </w:trPr>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Amortization of</w:t>
            </w:r>
          </w:p>
        </w:tc>
      </w:tr>
      <w:tr>
        <w:trPr>
          <w:trHeight w:val="216"/>
        </w:trPr>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3"/>
              </w:rPr>
              <w:t>Future Amortization</w:t>
            </w:r>
          </w:p>
        </w:tc>
        <w:tc>
          <w:tcPr>
            <w:tcW w:w="120" w:type="dxa"/>
            <w:vAlign w:val="bottom"/>
          </w:tcPr>
          <w:p>
            <w:pPr>
              <w:spacing w:after="0"/>
              <w:rPr>
                <w:sz w:val="18"/>
                <w:szCs w:val="18"/>
                <w:color w:val="auto"/>
              </w:rPr>
            </w:pPr>
          </w:p>
        </w:tc>
        <w:tc>
          <w:tcPr>
            <w:tcW w:w="18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Future Accretion to</w:t>
            </w:r>
          </w:p>
        </w:tc>
        <w:tc>
          <w:tcPr>
            <w:tcW w:w="17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Intangible Assets and</w:t>
            </w:r>
          </w:p>
        </w:tc>
      </w:tr>
      <w:tr>
        <w:trPr>
          <w:trHeight w:val="234"/>
        </w:trPr>
        <w:tc>
          <w:tcPr>
            <w:tcW w:w="324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320" w:type="dxa"/>
            <w:vAlign w:val="bottom"/>
          </w:tcPr>
          <w:p>
            <w:pPr>
              <w:spacing w:after="0"/>
              <w:rPr>
                <w:sz w:val="20"/>
                <w:szCs w:val="20"/>
                <w:color w:val="auto"/>
              </w:rPr>
            </w:pPr>
          </w:p>
        </w:tc>
        <w:tc>
          <w:tcPr>
            <w:tcW w:w="16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6"/>
              </w:rPr>
              <w:t>Expense</w:t>
            </w:r>
          </w:p>
        </w:tc>
        <w:tc>
          <w:tcPr>
            <w:tcW w:w="120" w:type="dxa"/>
            <w:vAlign w:val="bottom"/>
          </w:tcPr>
          <w:p>
            <w:pPr>
              <w:spacing w:after="0"/>
              <w:rPr>
                <w:sz w:val="20"/>
                <w:szCs w:val="20"/>
                <w:color w:val="auto"/>
              </w:rPr>
            </w:pPr>
          </w:p>
        </w:tc>
        <w:tc>
          <w:tcPr>
            <w:tcW w:w="18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Property Revenue</w:t>
            </w:r>
          </w:p>
        </w:tc>
        <w:tc>
          <w:tcPr>
            <w:tcW w:w="180" w:type="dxa"/>
            <w:vAlign w:val="bottom"/>
          </w:tcPr>
          <w:p>
            <w:pPr>
              <w:spacing w:after="0"/>
              <w:rPr>
                <w:sz w:val="20"/>
                <w:szCs w:val="20"/>
                <w:color w:val="auto"/>
              </w:rPr>
            </w:pPr>
          </w:p>
        </w:tc>
        <w:tc>
          <w:tcPr>
            <w:tcW w:w="15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Liabilities</w:t>
            </w:r>
          </w:p>
        </w:tc>
      </w:tr>
      <w:tr>
        <w:trPr>
          <w:trHeight w:val="210"/>
        </w:trPr>
        <w:tc>
          <w:tcPr>
            <w:tcW w:w="3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w:t>
            </w:r>
          </w:p>
        </w:tc>
      </w:tr>
      <w:tr>
        <w:trPr>
          <w:trHeight w:val="216"/>
        </w:trPr>
        <w:tc>
          <w:tcPr>
            <w:tcW w:w="304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8,522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(465)</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8,057</w:t>
            </w:r>
          </w:p>
        </w:tc>
      </w:tr>
      <w:tr>
        <w:trPr>
          <w:trHeight w:val="216"/>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(437)</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7,424</w:t>
            </w:r>
          </w:p>
        </w:tc>
      </w:tr>
      <w:tr>
        <w:trPr>
          <w:trHeight w:val="216"/>
        </w:trPr>
        <w:tc>
          <w:tcPr>
            <w:tcW w:w="3040" w:type="dxa"/>
            <w:vAlign w:val="bottom"/>
          </w:tcPr>
          <w:p>
            <w:pPr>
              <w:ind w:left="20"/>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7,419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(454)</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6,965</w:t>
            </w:r>
          </w:p>
        </w:tc>
      </w:tr>
      <w:tr>
        <w:trPr>
          <w:trHeight w:val="216"/>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(428)</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5,461</w:t>
            </w:r>
          </w:p>
        </w:tc>
      </w:tr>
      <w:tr>
        <w:trPr>
          <w:trHeight w:val="216"/>
        </w:trPr>
        <w:tc>
          <w:tcPr>
            <w:tcW w:w="3040" w:type="dxa"/>
            <w:vAlign w:val="bottom"/>
          </w:tcPr>
          <w:p>
            <w:pPr>
              <w:ind w:left="20"/>
              <w:spacing w:after="0"/>
              <w:rPr>
                <w:sz w:val="20"/>
                <w:szCs w:val="20"/>
                <w:color w:val="auto"/>
              </w:rPr>
            </w:pPr>
            <w:r>
              <w:rPr>
                <w:rFonts w:ascii="Arial" w:cs="Arial" w:eastAsia="Arial" w:hAnsi="Arial"/>
                <w:sz w:val="18"/>
                <w:szCs w:val="18"/>
                <w:color w:val="auto"/>
              </w:rPr>
              <w:t>2028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(379)</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4,418</w:t>
            </w:r>
          </w:p>
        </w:tc>
      </w:tr>
      <w:tr>
        <w:trPr>
          <w:trHeight w:val="216"/>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2029 and Thereafter</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(835)</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12,010</w:t>
            </w:r>
          </w:p>
        </w:tc>
      </w:tr>
      <w:tr>
        <w:trPr>
          <w:trHeight w:val="209"/>
        </w:trPr>
        <w:tc>
          <w:tcPr>
            <w:tcW w:w="32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49,558</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(3,118)</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46,440</w:t>
            </w:r>
          </w:p>
        </w:tc>
      </w:tr>
      <w:tr>
        <w:trPr>
          <w:trHeight w:val="20"/>
        </w:trPr>
        <w:tc>
          <w:tcPr>
            <w:tcW w:w="3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As of September 30, 2023, the weighted average amortization period of both the total intangible assets and liabilities was 8.8 years.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7. PROVISION FOR IMPAIRMENT</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i w:val="1"/>
          <w:iCs w:val="1"/>
          <w:color w:val="auto"/>
        </w:rPr>
        <w:t>Income Properties</w:t>
      </w:r>
      <w:r>
        <w:rPr>
          <w:rFonts w:ascii="Arial" w:cs="Arial" w:eastAsia="Arial" w:hAnsi="Arial"/>
          <w:sz w:val="18"/>
          <w:szCs w:val="18"/>
          <w:color w:val="auto"/>
        </w:rPr>
        <w:t>. The Company assesses the impairment of long-lived assets whenever events or changes 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indicate that the carrying amount of an asset may not be recoverable. The fair value of long-lived assets required to be assessed for impairment is determined on a non-recurring basis using Level 3 inputs in the fair value hierarchy. These Level 3 inputs may include, but are not limited to, letters of intent on specific properties, executed purchase and sale agreements on specific properties, third person valuations, discounted cash flow models, and other model-based techniques.</w:t>
      </w:r>
    </w:p>
    <w:p>
      <w:pPr>
        <w:spacing w:after="0" w:line="192"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During the nine months ended September 30, 2023, the Company recorded a $2.9 million impairment charge representing the provision for losses related to seven assets within our income properties segment. The seven assets are leased to one tenant that filed for bankruptcy during the three months ended March 31, 2023. The seven leases underlying the assets were rejected as a part of the bankruptcy proceedings during August of 2023. The Company has executed letters of intent to sell the assets. The impairment charge of $2.9 million is equal to the estimated sales prices for the assets (as set forth in the executed letters of intent), less the book value of the assets as of September 30, 2023, less estimated costs to sell. There were no impairment charges on the Company’s income property portfolio during the three or nine months ended September 30, 2022.</w:t>
      </w:r>
    </w:p>
    <w:p>
      <w:pPr>
        <w:spacing w:after="0" w:line="19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Commercial Loans and Investments</w:t>
      </w:r>
      <w:r>
        <w:rPr>
          <w:rFonts w:ascii="Arial" w:cs="Arial" w:eastAsia="Arial" w:hAnsi="Arial"/>
          <w:sz w:val="18"/>
          <w:szCs w:val="18"/>
          <w:color w:val="auto"/>
        </w:rPr>
        <w:t>. The Company evaluates the collectability of its commercial loans and</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on a quarterly basis or whenever events or changes in circumstances indicate that the carrying amount of an asset may not be recoverable. The Company accounts for provisions for credit losses in accordance with ASC Topic 326, Measurement of Credit Losses on Financial Instruments.</w:t>
      </w:r>
    </w:p>
    <w:p>
      <w:pPr>
        <w:spacing w:after="0" w:line="187"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There were no impairment charges on the Company’s commercial loans and investments during the three or nine months ended September 30, 2023.</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780" w:type="dxa"/>
            <w:vAlign w:val="bottom"/>
            <w:gridSpan w:val="4"/>
          </w:tcPr>
          <w:p>
            <w:pPr>
              <w:ind w:left="20"/>
              <w:spacing w:after="0"/>
              <w:rPr>
                <w:sz w:val="20"/>
                <w:szCs w:val="20"/>
                <w:color w:val="auto"/>
              </w:rPr>
            </w:pPr>
            <w:r>
              <w:rPr>
                <w:rFonts w:ascii="Arial" w:cs="Arial" w:eastAsia="Arial" w:hAnsi="Arial"/>
                <w:sz w:val="18"/>
                <w:szCs w:val="18"/>
                <w:b w:val="1"/>
                <w:bCs w:val="1"/>
                <w:color w:val="auto"/>
              </w:rPr>
              <w:t>NOTE 8. OTHER ASSETS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5760" w:type="dxa"/>
            <w:vAlign w:val="bottom"/>
            <w:gridSpan w:val="3"/>
          </w:tcPr>
          <w:p>
            <w:pPr>
              <w:ind w:left="320"/>
              <w:spacing w:after="0"/>
              <w:rPr>
                <w:sz w:val="20"/>
                <w:szCs w:val="20"/>
                <w:color w:val="auto"/>
              </w:rPr>
            </w:pPr>
            <w:r>
              <w:rPr>
                <w:rFonts w:ascii="Arial" w:cs="Arial" w:eastAsia="Arial" w:hAnsi="Arial"/>
                <w:sz w:val="18"/>
                <w:szCs w:val="18"/>
                <w:color w:val="auto"/>
              </w:rPr>
              <w:t>Other assets consisted of the following (in thousands):</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45"/>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b w:val="1"/>
                <w:bCs w:val="1"/>
                <w:color w:val="auto"/>
              </w:rPr>
              <w:t>As of</w:t>
            </w:r>
          </w:p>
        </w:tc>
        <w:tc>
          <w:tcPr>
            <w:tcW w:w="940" w:type="dxa"/>
            <w:vAlign w:val="bottom"/>
            <w:tcBorders>
              <w:bottom w:val="single" w:sz="8" w:color="auto"/>
            </w:tcBorders>
          </w:tcPr>
          <w:p>
            <w:pPr>
              <w:spacing w:after="0"/>
              <w:rPr>
                <w:sz w:val="24"/>
                <w:szCs w:val="24"/>
                <w:color w:val="auto"/>
              </w:rPr>
            </w:pPr>
          </w:p>
        </w:tc>
      </w:tr>
      <w:tr>
        <w:trPr>
          <w:trHeight w:val="191"/>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620" w:type="dxa"/>
            <w:vAlign w:val="bottom"/>
            <w:gridSpan w:val="3"/>
          </w:tcPr>
          <w:p>
            <w:pPr>
              <w:ind w:left="200"/>
              <w:spacing w:after="0" w:line="191" w:lineRule="exact"/>
              <w:rPr>
                <w:sz w:val="20"/>
                <w:szCs w:val="20"/>
                <w:color w:val="auto"/>
              </w:rPr>
            </w:pPr>
            <w:r>
              <w:rPr>
                <w:rFonts w:ascii="Arial" w:cs="Arial" w:eastAsia="Arial" w:hAnsi="Arial"/>
                <w:sz w:val="18"/>
                <w:szCs w:val="18"/>
                <w:b w:val="1"/>
                <w:bCs w:val="1"/>
                <w:color w:val="auto"/>
              </w:rPr>
              <w:t>September 30,</w:t>
            </w: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4"/>
        </w:trPr>
        <w:tc>
          <w:tcPr>
            <w:tcW w:w="20" w:type="dxa"/>
            <w:vAlign w:val="bottom"/>
            <w:tcBorders>
              <w:bottom w:val="single" w:sz="8" w:color="CCEEFF"/>
            </w:tcBorders>
          </w:tcPr>
          <w:p>
            <w:pPr>
              <w:spacing w:after="0"/>
              <w:rPr>
                <w:sz w:val="20"/>
                <w:szCs w:val="20"/>
                <w:color w:val="auto"/>
              </w:rPr>
            </w:pPr>
          </w:p>
        </w:tc>
        <w:tc>
          <w:tcPr>
            <w:tcW w:w="2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54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6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88"/>
              </w:rPr>
              <w:t>December 31, 2022</w:t>
            </w:r>
          </w:p>
        </w:tc>
      </w:tr>
      <w:tr>
        <w:trPr>
          <w:trHeight w:val="209"/>
        </w:trPr>
        <w:tc>
          <w:tcPr>
            <w:tcW w:w="5780" w:type="dxa"/>
            <w:vAlign w:val="bottom"/>
            <w:gridSpan w:val="4"/>
            <w:shd w:val="clear" w:color="auto" w:fill="CCEEFF"/>
          </w:tcPr>
          <w:p>
            <w:pPr>
              <w:ind w:left="20"/>
              <w:spacing w:after="0" w:line="210" w:lineRule="exact"/>
              <w:rPr>
                <w:sz w:val="20"/>
                <w:szCs w:val="20"/>
                <w:color w:val="auto"/>
              </w:rPr>
            </w:pPr>
            <w:r>
              <w:rPr>
                <w:rFonts w:ascii="Arial" w:cs="Arial" w:eastAsia="Arial" w:hAnsi="Arial"/>
                <w:sz w:val="17"/>
                <w:szCs w:val="17"/>
                <w:color w:val="auto"/>
              </w:rPr>
              <w:t xml:space="preserve">Tenant Receivables—Net of Allowance for Doubtful Accounts </w:t>
            </w:r>
            <w:r>
              <w:rPr>
                <w:rFonts w:ascii="Arial" w:cs="Arial" w:eastAsia="Arial" w:hAnsi="Arial"/>
                <w:sz w:val="24"/>
                <w:szCs w:val="24"/>
                <w:color w:val="auto"/>
                <w:vertAlign w:val="superscript"/>
              </w:rPr>
              <w:t>(1)</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r>
      <w:tr>
        <w:trPr>
          <w:trHeight w:val="216"/>
        </w:trPr>
        <w:tc>
          <w:tcPr>
            <w:tcW w:w="5780" w:type="dxa"/>
            <w:vAlign w:val="bottom"/>
            <w:gridSpan w:val="4"/>
          </w:tcPr>
          <w:p>
            <w:pPr>
              <w:ind w:left="20"/>
              <w:spacing w:after="0"/>
              <w:rPr>
                <w:sz w:val="20"/>
                <w:szCs w:val="20"/>
                <w:color w:val="auto"/>
              </w:rPr>
            </w:pPr>
            <w:r>
              <w:rPr>
                <w:rFonts w:ascii="Arial" w:cs="Arial" w:eastAsia="Arial" w:hAnsi="Arial"/>
                <w:sz w:val="18"/>
                <w:szCs w:val="18"/>
                <w:color w:val="auto"/>
              </w:rPr>
              <w:t>Prepaid Insurance</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740</w:t>
            </w:r>
          </w:p>
        </w:tc>
      </w:tr>
      <w:tr>
        <w:trPr>
          <w:trHeight w:val="216"/>
        </w:trPr>
        <w:tc>
          <w:tcPr>
            <w:tcW w:w="57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Deposits on Acquisitions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5780" w:type="dxa"/>
            <w:vAlign w:val="bottom"/>
            <w:gridSpan w:val="4"/>
          </w:tcPr>
          <w:p>
            <w:pPr>
              <w:ind w:left="20"/>
              <w:spacing w:after="0"/>
              <w:rPr>
                <w:sz w:val="20"/>
                <w:szCs w:val="20"/>
                <w:color w:val="auto"/>
              </w:rPr>
            </w:pPr>
            <w:r>
              <w:rPr>
                <w:rFonts w:ascii="Arial" w:cs="Arial" w:eastAsia="Arial" w:hAnsi="Arial"/>
                <w:sz w:val="18"/>
                <w:szCs w:val="18"/>
                <w:color w:val="auto"/>
              </w:rPr>
              <w:t>Prepaid Expenses, Deposits, and Other</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2,307</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1,494</w:t>
            </w:r>
          </w:p>
        </w:tc>
      </w:tr>
      <w:tr>
        <w:trPr>
          <w:trHeight w:val="216"/>
        </w:trPr>
        <w:tc>
          <w:tcPr>
            <w:tcW w:w="57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Deferred Financing Costs—Net</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w:t>
            </w:r>
          </w:p>
        </w:tc>
      </w:tr>
      <w:tr>
        <w:trPr>
          <w:trHeight w:val="216"/>
        </w:trPr>
        <w:tc>
          <w:tcPr>
            <w:tcW w:w="5780" w:type="dxa"/>
            <w:vAlign w:val="bottom"/>
            <w:gridSpan w:val="4"/>
          </w:tcPr>
          <w:p>
            <w:pPr>
              <w:ind w:left="20"/>
              <w:spacing w:after="0"/>
              <w:rPr>
                <w:sz w:val="20"/>
                <w:szCs w:val="20"/>
                <w:color w:val="auto"/>
              </w:rPr>
            </w:pPr>
            <w:r>
              <w:rPr>
                <w:rFonts w:ascii="Arial" w:cs="Arial" w:eastAsia="Arial" w:hAnsi="Arial"/>
                <w:sz w:val="18"/>
                <w:szCs w:val="18"/>
                <w:color w:val="auto"/>
              </w:rPr>
              <w:t>Interest Rate Swaps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17,706</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14,632</w:t>
            </w:r>
          </w:p>
        </w:tc>
      </w:tr>
      <w:tr>
        <w:trPr>
          <w:trHeight w:val="216"/>
        </w:trPr>
        <w:tc>
          <w:tcPr>
            <w:tcW w:w="5780" w:type="dxa"/>
            <w:vAlign w:val="bottom"/>
            <w:gridSpan w:val="4"/>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Operating Leases - Right-of-Use Asset </w:t>
            </w:r>
            <w:r>
              <w:rPr>
                <w:rFonts w:ascii="Arial" w:cs="Arial" w:eastAsia="Arial" w:hAnsi="Arial"/>
                <w:sz w:val="25"/>
                <w:szCs w:val="25"/>
                <w:color w:val="auto"/>
                <w:vertAlign w:val="superscript"/>
              </w:rPr>
              <w:t>(2)</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1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w:t>
            </w:r>
          </w:p>
        </w:tc>
      </w:tr>
      <w:tr>
        <w:trPr>
          <w:trHeight w:val="210"/>
        </w:trPr>
        <w:tc>
          <w:tcPr>
            <w:tcW w:w="5780" w:type="dxa"/>
            <w:vAlign w:val="bottom"/>
            <w:gridSpan w:val="4"/>
          </w:tcPr>
          <w:p>
            <w:pPr>
              <w:ind w:left="20"/>
              <w:spacing w:after="0"/>
              <w:rPr>
                <w:sz w:val="20"/>
                <w:szCs w:val="20"/>
                <w:color w:val="auto"/>
              </w:rPr>
            </w:pPr>
            <w:r>
              <w:rPr>
                <w:rFonts w:ascii="Arial" w:cs="Arial" w:eastAsia="Arial" w:hAnsi="Arial"/>
                <w:sz w:val="18"/>
                <w:szCs w:val="18"/>
                <w:color w:val="auto"/>
              </w:rPr>
              <w:t>Total Other Assets</w:t>
            </w:r>
          </w:p>
        </w:tc>
        <w:tc>
          <w:tcPr>
            <w:tcW w:w="9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24,293</w:t>
            </w:r>
          </w:p>
        </w:tc>
        <w:tc>
          <w:tcPr>
            <w:tcW w:w="140" w:type="dxa"/>
            <w:vAlign w:val="bottom"/>
          </w:tcPr>
          <w:p>
            <w:pPr>
              <w:spacing w:after="0"/>
              <w:rPr>
                <w:sz w:val="18"/>
                <w:szCs w:val="18"/>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21,233</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540" w:type="dxa"/>
            <w:vAlign w:val="bottom"/>
          </w:tcPr>
          <w:p>
            <w:pPr>
              <w:spacing w:after="0"/>
              <w:rPr>
                <w:sz w:val="7"/>
                <w:szCs w:val="7"/>
                <w:color w:val="auto"/>
              </w:rPr>
            </w:pPr>
          </w:p>
        </w:tc>
        <w:tc>
          <w:tcPr>
            <w:tcW w:w="9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940" w:type="dxa"/>
            <w:vAlign w:val="bottom"/>
          </w:tcPr>
          <w:p>
            <w:pPr>
              <w:spacing w:after="0"/>
              <w:rPr>
                <w:sz w:val="7"/>
                <w:szCs w:val="7"/>
                <w:color w:val="auto"/>
              </w:rPr>
            </w:pPr>
          </w:p>
        </w:tc>
      </w:tr>
    </w:tbl>
    <w:p>
      <w:pPr>
        <w:spacing w:after="0" w:line="62" w:lineRule="exact"/>
        <w:rPr>
          <w:sz w:val="20"/>
          <w:szCs w:val="20"/>
          <w:color w:val="auto"/>
        </w:rPr>
      </w:pPr>
    </w:p>
    <w:p>
      <w:pPr>
        <w:ind w:left="380" w:hanging="330"/>
        <w:spacing w:after="0"/>
        <w:tabs>
          <w:tab w:leader="none" w:pos="380" w:val="left"/>
        </w:tabs>
        <w:numPr>
          <w:ilvl w:val="0"/>
          <w:numId w:val="5"/>
        </w:numPr>
        <w:rPr>
          <w:rFonts w:ascii="Arial" w:cs="Arial" w:eastAsia="Arial" w:hAnsi="Arial"/>
          <w:sz w:val="11"/>
          <w:szCs w:val="11"/>
          <w:color w:val="auto"/>
        </w:rPr>
      </w:pPr>
      <w:r>
        <w:rPr>
          <w:rFonts w:ascii="Arial" w:cs="Arial" w:eastAsia="Arial" w:hAnsi="Arial"/>
          <w:sz w:val="14"/>
          <w:szCs w:val="14"/>
          <w:color w:val="auto"/>
        </w:rPr>
        <w:t>Includes a $0.3 million and $0.4 million allowance for doubtful accounts as of September 30, 2023 and December 31, 2022, respectively.</w:t>
      </w:r>
    </w:p>
    <w:p>
      <w:pPr>
        <w:ind w:left="380" w:hanging="330"/>
        <w:spacing w:after="0"/>
        <w:tabs>
          <w:tab w:leader="none" w:pos="380" w:val="left"/>
        </w:tabs>
        <w:numPr>
          <w:ilvl w:val="0"/>
          <w:numId w:val="5"/>
        </w:numPr>
        <w:rPr>
          <w:rFonts w:ascii="Arial" w:cs="Arial" w:eastAsia="Arial" w:hAnsi="Arial"/>
          <w:sz w:val="11"/>
          <w:szCs w:val="11"/>
          <w:color w:val="auto"/>
        </w:rPr>
      </w:pPr>
      <w:r>
        <w:rPr>
          <w:rFonts w:ascii="Arial" w:cs="Arial" w:eastAsia="Arial" w:hAnsi="Arial"/>
          <w:sz w:val="14"/>
          <w:szCs w:val="14"/>
          <w:color w:val="auto"/>
        </w:rPr>
        <w:t>See Note 9, “Operating Land Leases” for further disclosure related to the Company’s right-of-use asset balance as of September 30, 2023.</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9. OPERATING LAND LEASES</w:t>
      </w:r>
    </w:p>
    <w:p>
      <w:pPr>
        <w:spacing w:after="0" w:line="229"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 xml:space="preserve">The Company is the lessee under operating land leases for certain of its properties. FASB ASC Topic 842, </w:t>
      </w:r>
      <w:r>
        <w:rPr>
          <w:rFonts w:ascii="Arial" w:cs="Arial" w:eastAsia="Arial" w:hAnsi="Arial"/>
          <w:sz w:val="16"/>
          <w:szCs w:val="16"/>
          <w:i w:val="1"/>
          <w:iCs w:val="1"/>
          <w:color w:val="auto"/>
        </w:rPr>
        <w:t>Leases</w:t>
      </w:r>
      <w:r>
        <w:rPr>
          <w:rFonts w:ascii="Arial" w:cs="Arial" w:eastAsia="Arial" w:hAnsi="Arial"/>
          <w:sz w:val="16"/>
          <w:szCs w:val="16"/>
          <w:color w:val="auto"/>
        </w:rPr>
        <w:t>, requires a lessee to recognize right-of-use assets and lease liabilities that arise from leases, whether qualifying as an operating or finance lease. As of September 30, 2023 and December 31, 2022, the Company’s right-of-use assets totaled $1.5 million and $1.6 million, respectively, and the corresponding lease liabilities totaled $1.5 million and $1.7 million, respectively, which balances are reflected within other assets and accounts payable, accrued expenses, and other liabilities, respectively, on the consolidated balance sheets. The right-of-use assets and lease liabilities are measured based on the present value of the lease payments utilizing discount rates estimated to be equal to that which the Company would pay to</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borrow on a collateralized basis over a similar term, for an amount equal to the lease payments, in a similar economic environment.</w:t>
      </w:r>
    </w:p>
    <w:p>
      <w:pPr>
        <w:spacing w:after="0" w:line="170"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color w:val="auto"/>
        </w:rPr>
        <w:t>The Company’s operating land leases do not include variable lease payments and generally provide renewal options, at the Company’s election, to extend the terms of the respective leases. Renewal option periods are included in the calculation of the right-of-use assets and corresponding lease liabilities when it is reasonably certain that the Company, as lessee, will exercise the option to extend the lease.</w:t>
      </w:r>
    </w:p>
    <w:p>
      <w:pPr>
        <w:spacing w:after="0" w:line="187"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Amortization of right-of-use assets for operating land leases is recognized on a straight-line basis over the term of the lease and is included within real estate expenses in the consolidated statements of operations. Amortization totaled less than $0.1 million and $0.1 million during the three and nine months ended September 30, 2023 and 2022, respectively.</w:t>
      </w:r>
    </w:p>
    <w:p>
      <w:pPr>
        <w:spacing w:after="0" w:line="135" w:lineRule="exact"/>
        <w:rPr>
          <w:sz w:val="20"/>
          <w:szCs w:val="20"/>
          <w:color w:val="auto"/>
        </w:rPr>
      </w:pPr>
    </w:p>
    <w:p>
      <w:pPr>
        <w:jc w:val="both"/>
        <w:ind w:left="60" w:right="79" w:firstLine="324"/>
        <w:spacing w:after="0" w:line="261" w:lineRule="auto"/>
        <w:rPr>
          <w:sz w:val="20"/>
          <w:szCs w:val="20"/>
          <w:color w:val="auto"/>
        </w:rPr>
      </w:pPr>
      <w:r>
        <w:rPr>
          <w:rFonts w:ascii="Arial" w:cs="Arial" w:eastAsia="Arial" w:hAnsi="Arial"/>
          <w:sz w:val="18"/>
          <w:szCs w:val="18"/>
          <w:color w:val="auto"/>
        </w:rPr>
        <w:t>The following table reflects a summary of operating land leases, under which the Company is the lessee, for the three and nine months ended September 30, 2023 and 2022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Nine Months Ended</w:t>
            </w:r>
          </w:p>
        </w:tc>
        <w:tc>
          <w:tcPr>
            <w:tcW w:w="3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r>
      <w:tr>
        <w:trPr>
          <w:trHeight w:val="191"/>
        </w:trPr>
        <w:tc>
          <w:tcPr>
            <w:tcW w:w="3320" w:type="dxa"/>
            <w:vAlign w:val="bottom"/>
          </w:tcPr>
          <w:p>
            <w:pPr>
              <w:spacing w:after="0"/>
              <w:rPr>
                <w:sz w:val="16"/>
                <w:szCs w:val="16"/>
                <w:color w:val="auto"/>
              </w:rPr>
            </w:pPr>
          </w:p>
        </w:tc>
        <w:tc>
          <w:tcPr>
            <w:tcW w:w="13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September 30,</w:t>
            </w:r>
          </w:p>
        </w:tc>
        <w:tc>
          <w:tcPr>
            <w:tcW w:w="110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160" w:type="dxa"/>
            <w:vAlign w:val="bottom"/>
          </w:tcPr>
          <w:p>
            <w:pPr>
              <w:spacing w:after="0"/>
              <w:rPr>
                <w:sz w:val="16"/>
                <w:szCs w:val="16"/>
                <w:color w:val="auto"/>
              </w:rPr>
            </w:pPr>
          </w:p>
        </w:tc>
        <w:tc>
          <w:tcPr>
            <w:tcW w:w="128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September 30,</w:t>
            </w:r>
          </w:p>
        </w:tc>
        <w:tc>
          <w:tcPr>
            <w:tcW w:w="114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340" w:type="dxa"/>
            <w:vAlign w:val="bottom"/>
          </w:tcPr>
          <w:p>
            <w:pPr>
              <w:spacing w:after="0"/>
              <w:rPr>
                <w:sz w:val="16"/>
                <w:szCs w:val="16"/>
                <w:color w:val="auto"/>
              </w:rPr>
            </w:pPr>
          </w:p>
        </w:tc>
      </w:tr>
      <w:tr>
        <w:trPr>
          <w:trHeight w:val="234"/>
        </w:trPr>
        <w:tc>
          <w:tcPr>
            <w:tcW w:w="3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6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r>
      <w:tr>
        <w:trPr>
          <w:trHeight w:val="196"/>
        </w:trPr>
        <w:tc>
          <w:tcPr>
            <w:tcW w:w="3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16"/>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Outflows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133</w:t>
            </w:r>
          </w:p>
        </w:tc>
        <w:tc>
          <w:tcPr>
            <w:tcW w:w="340" w:type="dxa"/>
            <w:vAlign w:val="bottom"/>
            <w:shd w:val="clear" w:color="auto" w:fill="CCEEFF"/>
          </w:tcPr>
          <w:p>
            <w:pPr>
              <w:spacing w:after="0"/>
              <w:rPr>
                <w:sz w:val="18"/>
                <w:szCs w:val="18"/>
                <w:color w:val="auto"/>
              </w:rPr>
            </w:pPr>
          </w:p>
        </w:tc>
      </w:tr>
      <w:tr>
        <w:trPr>
          <w:trHeight w:val="216"/>
        </w:trPr>
        <w:tc>
          <w:tcPr>
            <w:tcW w:w="3320" w:type="dxa"/>
            <w:vAlign w:val="bottom"/>
          </w:tcPr>
          <w:p>
            <w:pPr>
              <w:ind w:left="20"/>
              <w:spacing w:after="0"/>
              <w:rPr>
                <w:sz w:val="20"/>
                <w:szCs w:val="20"/>
                <w:color w:val="auto"/>
              </w:rPr>
            </w:pPr>
            <w:r>
              <w:rPr>
                <w:rFonts w:ascii="Arial" w:cs="Arial" w:eastAsia="Arial" w:hAnsi="Arial"/>
                <w:sz w:val="18"/>
                <w:szCs w:val="18"/>
                <w:color w:val="auto"/>
                <w:w w:val="96"/>
              </w:rPr>
              <w:t>Weighted Average Remaining Lease Term</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5"/>
              </w:rPr>
              <w:t>8.0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8.0</w:t>
            </w:r>
          </w:p>
        </w:tc>
        <w:tc>
          <w:tcPr>
            <w:tcW w:w="340" w:type="dxa"/>
            <w:vAlign w:val="bottom"/>
          </w:tcPr>
          <w:p>
            <w:pPr>
              <w:spacing w:after="0"/>
              <w:rPr>
                <w:sz w:val="18"/>
                <w:szCs w:val="18"/>
                <w:color w:val="auto"/>
              </w:rPr>
            </w:pPr>
          </w:p>
        </w:tc>
      </w:tr>
      <w:tr>
        <w:trPr>
          <w:trHeight w:val="216"/>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Discount Rate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2.0 %</w:t>
            </w:r>
          </w:p>
        </w:tc>
        <w:tc>
          <w:tcPr>
            <w:tcW w:w="7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2.0 %</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7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2.0 %</w:t>
            </w:r>
          </w:p>
        </w:tc>
      </w:tr>
    </w:tbl>
    <w:p>
      <w:pPr>
        <w:spacing w:after="0" w:line="202"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Minimum future lease payments under non-cancelable operating land leases, having remaining terms in excess of one year subsequent to September 30, 2023, are summarized as follows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50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10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10"/>
        </w:trPr>
        <w:tc>
          <w:tcPr>
            <w:tcW w:w="6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3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6180" w:type="dxa"/>
            <w:vAlign w:val="bottom"/>
          </w:tcPr>
          <w:p>
            <w:pPr>
              <w:ind w:left="20"/>
              <w:spacing w:after="0"/>
              <w:rPr>
                <w:sz w:val="20"/>
                <w:szCs w:val="20"/>
                <w:color w:val="auto"/>
              </w:rPr>
            </w:pPr>
            <w:r>
              <w:rPr>
                <w:rFonts w:ascii="Arial" w:cs="Arial" w:eastAsia="Arial" w:hAnsi="Arial"/>
                <w:sz w:val="18"/>
                <w:szCs w:val="18"/>
                <w:color w:val="auto"/>
              </w:rPr>
              <w:t>2024</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16"/>
        </w:trPr>
        <w:tc>
          <w:tcPr>
            <w:tcW w:w="6180" w:type="dxa"/>
            <w:vAlign w:val="bottom"/>
          </w:tcPr>
          <w:p>
            <w:pPr>
              <w:ind w:left="20"/>
              <w:spacing w:after="0"/>
              <w:rPr>
                <w:sz w:val="20"/>
                <w:szCs w:val="20"/>
                <w:color w:val="auto"/>
              </w:rPr>
            </w:pPr>
            <w:r>
              <w:rPr>
                <w:rFonts w:ascii="Arial" w:cs="Arial" w:eastAsia="Arial" w:hAnsi="Arial"/>
                <w:sz w:val="18"/>
                <w:szCs w:val="18"/>
                <w:color w:val="auto"/>
              </w:rPr>
              <w:t>2026</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16"/>
        </w:trPr>
        <w:tc>
          <w:tcPr>
            <w:tcW w:w="6180" w:type="dxa"/>
            <w:vAlign w:val="bottom"/>
          </w:tcPr>
          <w:p>
            <w:pPr>
              <w:ind w:left="20"/>
              <w:spacing w:after="0"/>
              <w:rPr>
                <w:sz w:val="20"/>
                <w:szCs w:val="20"/>
                <w:color w:val="auto"/>
              </w:rPr>
            </w:pPr>
            <w:r>
              <w:rPr>
                <w:rFonts w:ascii="Arial" w:cs="Arial" w:eastAsia="Arial" w:hAnsi="Arial"/>
                <w:sz w:val="18"/>
                <w:szCs w:val="18"/>
                <w:color w:val="auto"/>
              </w:rPr>
              <w:t>2028</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16"/>
        </w:trPr>
        <w:tc>
          <w:tcPr>
            <w:tcW w:w="6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2029 and Thereafter</w:t>
            </w:r>
          </w:p>
        </w:tc>
        <w:tc>
          <w:tcPr>
            <w:tcW w:w="10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r>
      <w:tr>
        <w:trPr>
          <w:trHeight w:val="210"/>
        </w:trPr>
        <w:tc>
          <w:tcPr>
            <w:tcW w:w="6500" w:type="dxa"/>
            <w:vAlign w:val="bottom"/>
            <w:gridSpan w:val="2"/>
          </w:tcPr>
          <w:p>
            <w:pPr>
              <w:ind w:left="20"/>
              <w:spacing w:after="0"/>
              <w:rPr>
                <w:sz w:val="20"/>
                <w:szCs w:val="20"/>
                <w:color w:val="auto"/>
              </w:rPr>
            </w:pPr>
            <w:r>
              <w:rPr>
                <w:rFonts w:ascii="Arial" w:cs="Arial" w:eastAsia="Arial" w:hAnsi="Arial"/>
                <w:sz w:val="18"/>
                <w:szCs w:val="18"/>
                <w:color w:val="auto"/>
              </w:rPr>
              <w:t>Total Lease Payments</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1,603</w:t>
            </w:r>
          </w:p>
        </w:tc>
      </w:tr>
      <w:tr>
        <w:trPr>
          <w:trHeight w:val="216"/>
        </w:trPr>
        <w:tc>
          <w:tcPr>
            <w:tcW w:w="6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Imputed Interest</w:t>
            </w:r>
          </w:p>
        </w:tc>
        <w:tc>
          <w:tcPr>
            <w:tcW w:w="10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10"/>
        </w:trPr>
        <w:tc>
          <w:tcPr>
            <w:tcW w:w="6500" w:type="dxa"/>
            <w:vAlign w:val="bottom"/>
            <w:gridSpan w:val="2"/>
          </w:tcPr>
          <w:p>
            <w:pPr>
              <w:ind w:left="20"/>
              <w:spacing w:after="0"/>
              <w:rPr>
                <w:sz w:val="20"/>
                <w:szCs w:val="20"/>
                <w:color w:val="auto"/>
              </w:rPr>
            </w:pPr>
            <w:r>
              <w:rPr>
                <w:rFonts w:ascii="Arial" w:cs="Arial" w:eastAsia="Arial" w:hAnsi="Arial"/>
                <w:sz w:val="18"/>
                <w:szCs w:val="18"/>
                <w:color w:val="auto"/>
              </w:rPr>
              <w:t>Operating Leases – Liability</w:t>
            </w:r>
          </w:p>
        </w:tc>
        <w:tc>
          <w:tcPr>
            <w:tcW w:w="10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w:t>
            </w:r>
          </w:p>
        </w:tc>
      </w:tr>
      <w:tr>
        <w:trPr>
          <w:trHeight w:val="20"/>
        </w:trPr>
        <w:tc>
          <w:tcPr>
            <w:tcW w:w="6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10. ACCOUNTS PAYABLE, ACCRUED EXPENSES, AND OTHER LIABILITIES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Accounts payable, accrued expenses, and other liabilities consisted of the following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640" w:type="dxa"/>
            <w:vAlign w:val="bottom"/>
            <w:tcBorders>
              <w:bottom w:val="single" w:sz="8" w:color="auto"/>
            </w:tcBorders>
          </w:tcPr>
          <w:p>
            <w:pPr>
              <w:spacing w:after="0"/>
              <w:rPr>
                <w:sz w:val="20"/>
                <w:szCs w:val="20"/>
                <w:color w:val="auto"/>
              </w:rPr>
            </w:pPr>
          </w:p>
        </w:tc>
      </w:tr>
      <w:tr>
        <w:trPr>
          <w:trHeight w:val="210"/>
        </w:trPr>
        <w:tc>
          <w:tcPr>
            <w:tcW w:w="22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 2023</w:t>
            </w:r>
          </w:p>
        </w:tc>
        <w:tc>
          <w:tcPr>
            <w:tcW w:w="140" w:type="dxa"/>
            <w:vAlign w:val="bottom"/>
          </w:tcPr>
          <w:p>
            <w:pPr>
              <w:spacing w:after="0"/>
              <w:rPr>
                <w:sz w:val="18"/>
                <w:szCs w:val="18"/>
                <w:color w:val="auto"/>
              </w:rPr>
            </w:pPr>
          </w:p>
        </w:tc>
        <w:tc>
          <w:tcPr>
            <w:tcW w:w="164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December 31, 2022</w:t>
            </w:r>
          </w:p>
        </w:tc>
      </w:tr>
      <w:tr>
        <w:trPr>
          <w:trHeight w:val="210"/>
        </w:trPr>
        <w:tc>
          <w:tcPr>
            <w:tcW w:w="51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2,788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1,609</w:t>
            </w:r>
          </w:p>
        </w:tc>
      </w:tr>
      <w:tr>
        <w:trPr>
          <w:trHeight w:val="216"/>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Tenant Security Deposits</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16"/>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Due to CTO</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1,215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932</w:t>
            </w:r>
          </w:p>
        </w:tc>
      </w:tr>
      <w:tr>
        <w:trPr>
          <w:trHeight w:val="216"/>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5180" w:type="dxa"/>
            <w:vAlign w:val="bottom"/>
            <w:tcBorders>
              <w:bottom w:val="single" w:sz="8" w:color="CCEEFF"/>
            </w:tcBorders>
            <w:gridSpan w:val="2"/>
          </w:tcPr>
          <w:p>
            <w:pPr>
              <w:ind w:left="20"/>
              <w:spacing w:after="0" w:line="216" w:lineRule="exact"/>
              <w:rPr>
                <w:sz w:val="20"/>
                <w:szCs w:val="20"/>
                <w:color w:val="auto"/>
              </w:rPr>
            </w:pPr>
            <w:r>
              <w:rPr>
                <w:rFonts w:ascii="Arial" w:cs="Arial" w:eastAsia="Arial" w:hAnsi="Arial"/>
                <w:sz w:val="17"/>
                <w:szCs w:val="17"/>
                <w:color w:val="auto"/>
              </w:rPr>
              <w:t xml:space="preserve">Operating Leases - Liability </w:t>
            </w:r>
            <w:r>
              <w:rPr>
                <w:rFonts w:ascii="Arial" w:cs="Arial" w:eastAsia="Arial" w:hAnsi="Arial"/>
                <w:sz w:val="25"/>
                <w:szCs w:val="25"/>
                <w:color w:val="auto"/>
                <w:vertAlign w:val="superscript"/>
              </w:rPr>
              <w:t>(1)</w:t>
            </w: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w:t>
            </w:r>
          </w:p>
        </w:tc>
      </w:tr>
      <w:tr>
        <w:trPr>
          <w:trHeight w:val="210"/>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9"/>
              </w:rPr>
              <w:t>Total Accounts Payable, Accrued Expenses, and Other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5,625</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4,411</w:t>
            </w:r>
          </w:p>
        </w:tc>
      </w:tr>
      <w:tr>
        <w:trPr>
          <w:trHeight w:val="20"/>
        </w:trPr>
        <w:tc>
          <w:tcPr>
            <w:tcW w:w="22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75"/>
        </w:trPr>
        <w:tc>
          <w:tcPr>
            <w:tcW w:w="2240" w:type="dxa"/>
            <w:vAlign w:val="bottom"/>
            <w:tcBorders>
              <w:bottom w:val="single" w:sz="8" w:color="auto"/>
            </w:tcBorders>
          </w:tcPr>
          <w:p>
            <w:pPr>
              <w:spacing w:after="0"/>
              <w:rPr>
                <w:sz w:val="6"/>
                <w:szCs w:val="6"/>
                <w:color w:val="auto"/>
              </w:rPr>
            </w:pPr>
          </w:p>
        </w:tc>
        <w:tc>
          <w:tcPr>
            <w:tcW w:w="2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40" w:type="dxa"/>
            <w:vAlign w:val="bottom"/>
          </w:tcPr>
          <w:p>
            <w:pPr>
              <w:spacing w:after="0"/>
              <w:rPr>
                <w:sz w:val="6"/>
                <w:szCs w:val="6"/>
                <w:color w:val="auto"/>
              </w:rPr>
            </w:pPr>
          </w:p>
        </w:tc>
      </w:tr>
    </w:tbl>
    <w:p>
      <w:pPr>
        <w:spacing w:after="0" w:line="62" w:lineRule="exact"/>
        <w:rPr>
          <w:sz w:val="20"/>
          <w:szCs w:val="20"/>
          <w:color w:val="auto"/>
        </w:rPr>
      </w:pPr>
    </w:p>
    <w:p>
      <w:pPr>
        <w:ind w:left="380" w:hanging="330"/>
        <w:spacing w:after="0"/>
        <w:tabs>
          <w:tab w:leader="none" w:pos="380" w:val="left"/>
        </w:tabs>
        <w:numPr>
          <w:ilvl w:val="0"/>
          <w:numId w:val="6"/>
        </w:numPr>
        <w:rPr>
          <w:rFonts w:ascii="Arial" w:cs="Arial" w:eastAsia="Arial" w:hAnsi="Arial"/>
          <w:sz w:val="10"/>
          <w:szCs w:val="10"/>
          <w:color w:val="auto"/>
        </w:rPr>
      </w:pPr>
      <w:r>
        <w:rPr>
          <w:rFonts w:ascii="Arial" w:cs="Arial" w:eastAsia="Arial" w:hAnsi="Arial"/>
          <w:sz w:val="13"/>
          <w:szCs w:val="13"/>
          <w:color w:val="auto"/>
        </w:rPr>
        <w:t>See Note 9, “Operating Land Leases” for further disclosure related to the Company’s operating lease liability balance as of September 30, 2023.</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11. LONG-TERM DEBT</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of September 30, 2023, the Company’s outstanding indebtedness, at face value, was as follows (in thousands):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ind w:left="40"/>
              <w:spacing w:after="0"/>
              <w:rPr>
                <w:sz w:val="20"/>
                <w:szCs w:val="20"/>
                <w:color w:val="auto"/>
              </w:rPr>
            </w:pPr>
            <w:r>
              <w:rPr>
                <w:rFonts w:ascii="Arial" w:cs="Arial" w:eastAsia="Arial" w:hAnsi="Arial"/>
                <w:sz w:val="18"/>
                <w:szCs w:val="18"/>
                <w:b w:val="1"/>
                <w:bCs w:val="1"/>
                <w:color w:val="auto"/>
              </w:rPr>
              <w:t>Face Value Debt</w:t>
            </w: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91"/>
              </w:rPr>
              <w:t>Stated Interest Rate</w:t>
            </w:r>
          </w:p>
        </w:tc>
        <w:tc>
          <w:tcPr>
            <w:tcW w:w="16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8"/>
              </w:rPr>
              <w:t>Maturity Date</w:t>
            </w:r>
          </w:p>
        </w:tc>
        <w:tc>
          <w:tcPr>
            <w:tcW w:w="0" w:type="dxa"/>
            <w:vAlign w:val="bottom"/>
          </w:tcPr>
          <w:p>
            <w:pPr>
              <w:spacing w:after="0"/>
              <w:rPr>
                <w:sz w:val="1"/>
                <w:szCs w:val="1"/>
                <w:color w:val="auto"/>
              </w:rPr>
            </w:pPr>
          </w:p>
        </w:tc>
      </w:tr>
      <w:tr>
        <w:trPr>
          <w:trHeight w:val="195"/>
        </w:trPr>
        <w:tc>
          <w:tcPr>
            <w:tcW w:w="3620" w:type="dxa"/>
            <w:vAlign w:val="bottom"/>
            <w:tcBorders>
              <w:top w:val="single" w:sz="8" w:color="CCEEFF"/>
            </w:tcBorders>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 xml:space="preserve">Credit Facility </w:t>
            </w:r>
            <w:r>
              <w:rPr>
                <w:rFonts w:ascii="Arial" w:cs="Arial" w:eastAsia="Arial" w:hAnsi="Arial"/>
                <w:sz w:val="26"/>
                <w:szCs w:val="26"/>
                <w:color w:val="auto"/>
                <w:vertAlign w:val="superscript"/>
              </w:rPr>
              <w:t>(1)</w:t>
            </w:r>
          </w:p>
        </w:tc>
        <w:tc>
          <w:tcPr>
            <w:tcW w:w="12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SOFR + 0.10% +</w:t>
            </w:r>
          </w:p>
        </w:tc>
        <w:tc>
          <w:tcPr>
            <w:tcW w:w="16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2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20"/>
                <w:szCs w:val="20"/>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[1.25% - 2.20%]</w:t>
            </w: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January 2027</w:t>
            </w:r>
          </w:p>
        </w:tc>
        <w:tc>
          <w:tcPr>
            <w:tcW w:w="0" w:type="dxa"/>
            <w:vAlign w:val="bottom"/>
          </w:tcPr>
          <w:p>
            <w:pPr>
              <w:spacing w:after="0"/>
              <w:rPr>
                <w:sz w:val="1"/>
                <w:szCs w:val="1"/>
                <w:color w:val="auto"/>
              </w:rPr>
            </w:pPr>
          </w:p>
        </w:tc>
      </w:tr>
      <w:tr>
        <w:trPr>
          <w:trHeight w:val="202"/>
        </w:trPr>
        <w:tc>
          <w:tcPr>
            <w:tcW w:w="3620" w:type="dxa"/>
            <w:vAlign w:val="bottom"/>
            <w:gridSpan w:val="2"/>
            <w:vMerge w:val="restart"/>
          </w:tcPr>
          <w:p>
            <w:pPr>
              <w:ind w:left="20"/>
              <w:spacing w:after="0"/>
              <w:rPr>
                <w:sz w:val="20"/>
                <w:szCs w:val="20"/>
                <w:color w:val="auto"/>
              </w:rPr>
            </w:pPr>
            <w:r>
              <w:rPr>
                <w:rFonts w:ascii="Arial" w:cs="Arial" w:eastAsia="Arial" w:hAnsi="Arial"/>
                <w:sz w:val="18"/>
                <w:szCs w:val="18"/>
                <w:color w:val="auto"/>
              </w:rPr>
              <w:t xml:space="preserve">2026 Term Loan </w:t>
            </w:r>
            <w:r>
              <w:rPr>
                <w:rFonts w:ascii="Arial" w:cs="Arial" w:eastAsia="Arial" w:hAnsi="Arial"/>
                <w:sz w:val="26"/>
                <w:szCs w:val="26"/>
                <w:color w:val="auto"/>
                <w:vertAlign w:val="superscript"/>
              </w:rPr>
              <w:t>(2)</w:t>
            </w: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tcPr>
          <w:p>
            <w:pPr>
              <w:jc w:val="center"/>
              <w:spacing w:after="0" w:line="201" w:lineRule="exact"/>
              <w:rPr>
                <w:sz w:val="20"/>
                <w:szCs w:val="20"/>
                <w:color w:val="auto"/>
              </w:rPr>
            </w:pPr>
            <w:r>
              <w:rPr>
                <w:rFonts w:ascii="Arial" w:cs="Arial" w:eastAsia="Arial" w:hAnsi="Arial"/>
                <w:sz w:val="18"/>
                <w:szCs w:val="18"/>
                <w:color w:val="auto"/>
                <w:w w:val="91"/>
              </w:rPr>
              <w:t>SOFR + 0.10% +</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20"/>
                <w:szCs w:val="20"/>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93"/>
              </w:rPr>
              <w:t>[1.35% - 1.95%]</w:t>
            </w:r>
          </w:p>
        </w:tc>
        <w:tc>
          <w:tcPr>
            <w:tcW w:w="16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May 2026</w:t>
            </w:r>
          </w:p>
        </w:tc>
        <w:tc>
          <w:tcPr>
            <w:tcW w:w="0" w:type="dxa"/>
            <w:vAlign w:val="bottom"/>
          </w:tcPr>
          <w:p>
            <w:pPr>
              <w:spacing w:after="0"/>
              <w:rPr>
                <w:sz w:val="1"/>
                <w:szCs w:val="1"/>
                <w:color w:val="auto"/>
              </w:rPr>
            </w:pPr>
          </w:p>
        </w:tc>
      </w:tr>
      <w:tr>
        <w:trPr>
          <w:trHeight w:val="202"/>
        </w:trPr>
        <w:tc>
          <w:tcPr>
            <w:tcW w:w="36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 xml:space="preserve">2027 Term Loan </w:t>
            </w:r>
            <w:r>
              <w:rPr>
                <w:rFonts w:ascii="Arial" w:cs="Arial" w:eastAsia="Arial" w:hAnsi="Arial"/>
                <w:sz w:val="26"/>
                <w:szCs w:val="26"/>
                <w:color w:val="auto"/>
                <w:vertAlign w:val="superscript"/>
              </w:rPr>
              <w:t>(3)</w:t>
            </w: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SOFR + 0.10% +</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gridSpan w:val="2"/>
            <w:vMerge w:val="continue"/>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shd w:val="clear" w:color="auto" w:fill="CCEEFF"/>
          </w:tcPr>
          <w:p>
            <w:pPr>
              <w:spacing w:after="0"/>
              <w:rPr>
                <w:sz w:val="20"/>
                <w:szCs w:val="20"/>
                <w:color w:val="auto"/>
              </w:rPr>
            </w:pPr>
          </w:p>
        </w:tc>
        <w:tc>
          <w:tcPr>
            <w:tcW w:w="20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[1.25% - 1.90%]</w:t>
            </w: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January 2027</w:t>
            </w:r>
          </w:p>
        </w:tc>
        <w:tc>
          <w:tcPr>
            <w:tcW w:w="0" w:type="dxa"/>
            <w:vAlign w:val="bottom"/>
          </w:tcPr>
          <w:p>
            <w:pPr>
              <w:spacing w:after="0"/>
              <w:rPr>
                <w:sz w:val="1"/>
                <w:szCs w:val="1"/>
                <w:color w:val="auto"/>
              </w:rPr>
            </w:pPr>
          </w:p>
        </w:tc>
      </w:tr>
      <w:tr>
        <w:trPr>
          <w:trHeight w:val="209"/>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Total Debt/Weighted-Average Rate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250,000</w:t>
            </w:r>
          </w:p>
        </w:tc>
        <w:tc>
          <w:tcPr>
            <w:tcW w:w="160" w:type="dxa"/>
            <w:vAlign w:val="bottom"/>
          </w:tcPr>
          <w:p>
            <w:pPr>
              <w:spacing w:after="0"/>
              <w:rPr>
                <w:sz w:val="18"/>
                <w:szCs w:val="18"/>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3.36%</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jc w:val="both"/>
        <w:ind w:left="380" w:right="79" w:hanging="330"/>
        <w:spacing w:after="0" w:line="227" w:lineRule="auto"/>
        <w:tabs>
          <w:tab w:leader="none" w:pos="380" w:val="left"/>
        </w:tabs>
        <w:numPr>
          <w:ilvl w:val="0"/>
          <w:numId w:val="7"/>
        </w:numPr>
        <w:rPr>
          <w:rFonts w:ascii="Arial" w:cs="Arial" w:eastAsia="Arial" w:hAnsi="Arial"/>
          <w:sz w:val="11"/>
          <w:szCs w:val="11"/>
          <w:color w:val="auto"/>
        </w:rPr>
      </w:pPr>
      <w:r>
        <w:rPr>
          <w:rFonts w:ascii="Arial" w:cs="Arial" w:eastAsia="Arial" w:hAnsi="Arial"/>
          <w:sz w:val="14"/>
          <w:szCs w:val="14"/>
          <w:color w:val="auto"/>
        </w:rPr>
        <w:t>As of September 30, 2023, the Company has utilized an interest rate swap to fix SOFR and achieve a fixed interest rate of 3.21% plus 0.10% and the applicable spread on $50 million of the outstanding balance on the Credit Facility (hereinafter defined). See Note 12, “Interest Rate Swaps” for further disclosure related to the Company’s interest rate swap.</w:t>
      </w:r>
    </w:p>
    <w:p>
      <w:pPr>
        <w:jc w:val="both"/>
        <w:ind w:left="380" w:right="79" w:hanging="330"/>
        <w:spacing w:after="0" w:line="221" w:lineRule="auto"/>
        <w:tabs>
          <w:tab w:leader="none" w:pos="380" w:val="left"/>
        </w:tabs>
        <w:numPr>
          <w:ilvl w:val="0"/>
          <w:numId w:val="7"/>
        </w:numPr>
        <w:rPr>
          <w:rFonts w:ascii="Arial" w:cs="Arial" w:eastAsia="Arial" w:hAnsi="Arial"/>
          <w:sz w:val="11"/>
          <w:szCs w:val="11"/>
          <w:color w:val="auto"/>
        </w:rPr>
      </w:pPr>
      <w:r>
        <w:rPr>
          <w:rFonts w:ascii="Arial" w:cs="Arial" w:eastAsia="Arial" w:hAnsi="Arial"/>
          <w:sz w:val="14"/>
          <w:szCs w:val="14"/>
          <w:color w:val="auto"/>
        </w:rPr>
        <w:t>As of September 30, 2023, the Company has utilized interest rate swaps to fix SOFR and achieve a weighted average fixed interest rate of 2.05% plus 0.10% and the applicable spread on the $100 million 2026 Term Loan (hereinafter defined) balance. See Note 12, “Interest Rate Swaps” for further disclosure related to the Company’s interest rate swaps.</w:t>
      </w:r>
    </w:p>
    <w:p>
      <w:pPr>
        <w:jc w:val="both"/>
        <w:ind w:left="380" w:right="79" w:hanging="330"/>
        <w:spacing w:after="0" w:line="232" w:lineRule="auto"/>
        <w:tabs>
          <w:tab w:leader="none" w:pos="380" w:val="left"/>
        </w:tabs>
        <w:numPr>
          <w:ilvl w:val="0"/>
          <w:numId w:val="7"/>
        </w:numPr>
        <w:rPr>
          <w:rFonts w:ascii="Arial" w:cs="Arial" w:eastAsia="Arial" w:hAnsi="Arial"/>
          <w:sz w:val="11"/>
          <w:szCs w:val="11"/>
          <w:color w:val="auto"/>
        </w:rPr>
      </w:pPr>
      <w:r>
        <w:rPr>
          <w:rFonts w:ascii="Arial" w:cs="Arial" w:eastAsia="Arial" w:hAnsi="Arial"/>
          <w:sz w:val="14"/>
          <w:szCs w:val="14"/>
          <w:color w:val="auto"/>
        </w:rPr>
        <w:t>As of September 30, 2023, the Company has utilized interest rate swaps to fix SOFR and achieve a weighted average fixed interest rate of 1.18% plus 0.10% and the applicable spread on the $100 million 2027 Term Loan (hereinafter defined) balance. See Note 12, “Interest Rate Swaps” for further disclosure related to the Company’s interest rate swaps.</w:t>
      </w:r>
    </w:p>
    <w:p>
      <w:pPr>
        <w:spacing w:after="0" w:line="187"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i w:val="1"/>
          <w:iCs w:val="1"/>
          <w:color w:val="auto"/>
        </w:rPr>
        <w:t xml:space="preserve">Credit Facility. </w:t>
      </w:r>
      <w:r>
        <w:rPr>
          <w:rFonts w:ascii="Arial" w:cs="Arial" w:eastAsia="Arial" w:hAnsi="Arial"/>
          <w:sz w:val="18"/>
          <w:szCs w:val="18"/>
          <w:color w:val="auto"/>
        </w:rPr>
        <w:t>On September 30, 2022, the Company and the Operating Partnership entered into a credit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“2022 Amended and Restated Credit Agreement” or “Credit Facility”) with KeyBank National Association, as administrative agent, and certain other lenders named therein, which amended and restated the 2027 Term Loan Credit Agreement (hereinafter defined) to include, among other things:</w:t>
      </w:r>
    </w:p>
    <w:p>
      <w:pPr>
        <w:spacing w:after="0" w:line="119" w:lineRule="exact"/>
        <w:rPr>
          <w:sz w:val="20"/>
          <w:szCs w:val="20"/>
          <w:color w:val="auto"/>
        </w:rPr>
      </w:pPr>
    </w:p>
    <w:p>
      <w:pPr>
        <w:ind w:left="1040" w:right="559" w:hanging="315"/>
        <w:spacing w:after="0" w:line="258"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origination of a new senior unsecured revolving credit facility in the amount of $250 million which matures on January 31, 2027, with the option to extend for one year;</w:t>
      </w:r>
    </w:p>
    <w:p>
      <w:pPr>
        <w:spacing w:after="0" w:line="1" w:lineRule="exact"/>
        <w:rPr>
          <w:rFonts w:ascii="Arial" w:cs="Arial" w:eastAsia="Arial" w:hAnsi="Arial"/>
          <w:sz w:val="18"/>
          <w:szCs w:val="18"/>
          <w:color w:val="auto"/>
        </w:rPr>
      </w:pPr>
    </w:p>
    <w:p>
      <w:pPr>
        <w:jc w:val="both"/>
        <w:ind w:left="1040" w:right="79" w:hanging="315"/>
        <w:spacing w:after="0" w:line="250"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accordion option that allows the Company to request additional revolving loan commitments and additional term loan commitments, provided the aggregate amount of revolving loan commitments and term loan commitments shall not exceed $750 million;</w:t>
      </w:r>
    </w:p>
    <w:p>
      <w:pPr>
        <w:spacing w:after="0" w:line="1" w:lineRule="exact"/>
        <w:rPr>
          <w:rFonts w:ascii="Arial" w:cs="Arial" w:eastAsia="Arial" w:hAnsi="Arial"/>
          <w:sz w:val="18"/>
          <w:szCs w:val="18"/>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amendment of certain financial covenants; and</w:t>
      </w:r>
    </w:p>
    <w:p>
      <w:pPr>
        <w:spacing w:after="0" w:line="9" w:lineRule="exact"/>
        <w:rPr>
          <w:rFonts w:ascii="Arial" w:cs="Arial" w:eastAsia="Arial" w:hAnsi="Arial"/>
          <w:sz w:val="18"/>
          <w:szCs w:val="18"/>
          <w:color w:val="auto"/>
        </w:rPr>
      </w:pPr>
    </w:p>
    <w:p>
      <w:pPr>
        <w:ind w:left="1040" w:right="79" w:hanging="315"/>
        <w:spacing w:after="0" w:line="290" w:lineRule="auto"/>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addition of a sustainability-linked pricing component pursuant to which the Company will receive interest rate reductions up to 0.025% based on performance against sustainability performance targets.</w:t>
      </w:r>
    </w:p>
    <w:p>
      <w:pPr>
        <w:spacing w:after="0" w:line="94"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Pursuant to the 2022 Amended and Restated Credit Agreement, the indebtedness outstanding under the Credit Facility accrues at a rate ranging from SOFR plus 0.10% plus 125 basis points to SOFR plus 0.10% plus 220 basis points, based on the total balance outstanding under the Credit Facility as a percentage of the total asset value of the Company, as defined in the 2022 Amended and Restated Credit Agreement. The Company may utilize daily simple SOFR or term SOFR, at its election. The Credit Facility also accrues a fee of 15 or 25 basis points for any unused portion of the borrowing capacity based on whether the unused portion is greater or less than 50% of the total borrowing capacity.</w:t>
      </w:r>
    </w:p>
    <w:p>
      <w:pPr>
        <w:spacing w:after="0" w:line="97" w:lineRule="exact"/>
        <w:rPr>
          <w:sz w:val="20"/>
          <w:szCs w:val="20"/>
          <w:color w:val="auto"/>
        </w:rPr>
      </w:pPr>
    </w:p>
    <w:p>
      <w:pPr>
        <w:jc w:val="both"/>
        <w:ind w:left="60" w:right="59" w:firstLine="369"/>
        <w:spacing w:after="0" w:line="273" w:lineRule="auto"/>
        <w:rPr>
          <w:sz w:val="20"/>
          <w:szCs w:val="20"/>
          <w:color w:val="auto"/>
        </w:rPr>
      </w:pPr>
      <w:r>
        <w:rPr>
          <w:rFonts w:ascii="Arial" w:cs="Arial" w:eastAsia="Arial" w:hAnsi="Arial"/>
          <w:sz w:val="17"/>
          <w:szCs w:val="17"/>
          <w:color w:val="auto"/>
        </w:rPr>
        <w:t>The Company is subject to customary restrictive covenants under the 2022 Amended and Restated Credit Agreement and the 2026 Term Loan Credit Agreement (hereinafter defined), as amended, collectively referred to herein as the “Credit Agreements”, including, but not limited to, limitations on the Company’s ability to: (a) incur indebtedness; (b) make certain investments; (c) incur certain liens; (d) engage in certain affiliate transactions; and (e) engage in certain major transactions such as mergers. The Credit Agreements also contain financial covenants covering the Company, including but not limited to, tangible net worth and fixed charge coverage ratios.</w:t>
      </w:r>
    </w:p>
    <w:p>
      <w:pPr>
        <w:spacing w:after="0" w:line="110"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At September 30, 2023, the commitment level under the Credit Facility was $250.0 million and the Company had an outstanding balance of $50.0 million.</w:t>
      </w:r>
    </w:p>
    <w:p>
      <w:pPr>
        <w:spacing w:after="0" w:line="103"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i w:val="1"/>
          <w:iCs w:val="1"/>
          <w:color w:val="auto"/>
        </w:rPr>
        <w:t xml:space="preserve">2026 Term Loan. </w:t>
      </w:r>
      <w:r>
        <w:rPr>
          <w:rFonts w:ascii="Arial" w:cs="Arial" w:eastAsia="Arial" w:hAnsi="Arial"/>
          <w:sz w:val="16"/>
          <w:szCs w:val="16"/>
          <w:color w:val="auto"/>
        </w:rPr>
        <w:t>On May 21, 2021, the Operating Partnership, the Company and certain subsidiaries of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entered into a credit agreement (the “2026 Term Loan Credit Agreement”) with Truist Bank, N.A. as administrative agent, and certain other lenders named therein, for a term loan (the “2026 Term Loan”) in an aggregate principal amount of $60.0</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million with a maturity of five years. On April 14, 2022, the Company entered into the Amendment, Increase and Joinder to the 2026 Term Loan Credit Agreement (the “2026 Term Loan Amendment”), which increased the term loan commitment under the 2026 Term Loan by $40 million to an aggregate of $100 million. The 2026 Term Loan Amendment also effectuated the transition of the underlying variable interest rate from LIBOR to SOFR.</w:t>
      </w:r>
    </w:p>
    <w:p>
      <w:pPr>
        <w:spacing w:after="0" w:line="104"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On October 5, 2022, the Company entered into an amendment which, among other things, amended certain financial covenants and added a sustainability-linked pricing component consistent with what is contained in the 2022 Amended and Restated Credit Agreement (the “2026 Term Loan Second Amendment”), effective September 30, 2022.</w:t>
      </w:r>
    </w:p>
    <w:p>
      <w:pPr>
        <w:spacing w:after="0" w:line="81"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i w:val="1"/>
          <w:iCs w:val="1"/>
          <w:color w:val="auto"/>
        </w:rPr>
        <w:t xml:space="preserve">2027 Term Loan. </w:t>
      </w:r>
      <w:r>
        <w:rPr>
          <w:rFonts w:ascii="Arial" w:cs="Arial" w:eastAsia="Arial" w:hAnsi="Arial"/>
          <w:sz w:val="16"/>
          <w:szCs w:val="16"/>
          <w:color w:val="auto"/>
        </w:rPr>
        <w:t>On September 30, 2021, the Operating Partnership, the Company and certain subsidiaries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entered into a credit agreement (the “2027 Term Loan Credit Agreement”) with KeyBank National Association as administrative agent, and certain other lenders named therein, for a term loan (the “2027 Term Loan”) in an aggregate principal amount of $80.0 million (the “Term Commitment”) maturing in January 2027. On April 14, 2022, the Company entered into the Amendment, Increase and Joinder to the 2027 Term Loan Credit Agreement (the “2027 Term Loan Amendment”), which increased the Term Commitment by $20 million to an aggregate of $100 million. The 2027 Term Loan Amendment also effectuated the transition of the underlying variable interest rate from LIBOR to SOFR.</w:t>
      </w:r>
    </w:p>
    <w:p>
      <w:pPr>
        <w:spacing w:after="0" w:line="99"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On September 30, 2022, the Company entered into the 2022 Amended and Restated Credit Agreement which amended and restated the 2027 Term Loan Credit Agreement to include the origination of a new revolving credit facility in the amount of $250.0 million as previously described. The 2022 Amended and Restated Credit Agreement includes an accordion option that allows the Company to request additional revolving loan commitments and additional term loan commitments not to exceed $750.0 million in the aggregate.</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Long-term debt as of September 30, 2023 and December 31, 2022 consisted of the following (in thousands):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gridSpan w:val="5"/>
          </w:tcPr>
          <w:p>
            <w:pPr>
              <w:ind w:left="180"/>
              <w:spacing w:after="0"/>
              <w:rPr>
                <w:sz w:val="20"/>
                <w:szCs w:val="20"/>
                <w:color w:val="auto"/>
              </w:rPr>
            </w:pPr>
            <w:r>
              <w:rPr>
                <w:rFonts w:ascii="Arial" w:cs="Arial" w:eastAsia="Arial" w:hAnsi="Arial"/>
                <w:sz w:val="18"/>
                <w:szCs w:val="18"/>
                <w:b w:val="1"/>
                <w:bCs w:val="1"/>
                <w:color w:val="auto"/>
              </w:rPr>
              <w:t>September 30, 2023</w:t>
            </w:r>
          </w:p>
        </w:tc>
        <w:tc>
          <w:tcPr>
            <w:tcW w:w="200" w:type="dxa"/>
            <w:vAlign w:val="bottom"/>
          </w:tcPr>
          <w:p>
            <w:pPr>
              <w:spacing w:after="0"/>
              <w:rPr>
                <w:sz w:val="20"/>
                <w:szCs w:val="20"/>
                <w:color w:val="auto"/>
              </w:rPr>
            </w:pPr>
          </w:p>
        </w:tc>
        <w:tc>
          <w:tcPr>
            <w:tcW w:w="2060" w:type="dxa"/>
            <w:vAlign w:val="bottom"/>
            <w:gridSpan w:val="4"/>
          </w:tcPr>
          <w:p>
            <w:pPr>
              <w:ind w:left="200"/>
              <w:spacing w:after="0"/>
              <w:rPr>
                <w:sz w:val="20"/>
                <w:szCs w:val="20"/>
                <w:color w:val="auto"/>
              </w:rPr>
            </w:pPr>
            <w:r>
              <w:rPr>
                <w:rFonts w:ascii="Arial" w:cs="Arial" w:eastAsia="Arial" w:hAnsi="Arial"/>
                <w:sz w:val="18"/>
                <w:szCs w:val="18"/>
                <w:b w:val="1"/>
                <w:bCs w:val="1"/>
                <w:color w:val="auto"/>
              </w:rPr>
              <w:t>December 31, 2022</w:t>
            </w:r>
          </w:p>
        </w:tc>
      </w:tr>
      <w:tr>
        <w:trPr>
          <w:trHeight w:val="191"/>
        </w:trPr>
        <w:tc>
          <w:tcPr>
            <w:tcW w:w="42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80"/>
              <w:spacing w:after="0" w:line="191" w:lineRule="exact"/>
              <w:rPr>
                <w:sz w:val="20"/>
                <w:szCs w:val="20"/>
                <w:color w:val="auto"/>
              </w:rPr>
            </w:pPr>
            <w:r>
              <w:rPr>
                <w:rFonts w:ascii="Arial" w:cs="Arial" w:eastAsia="Arial" w:hAnsi="Arial"/>
                <w:sz w:val="18"/>
                <w:szCs w:val="18"/>
                <w:b w:val="1"/>
                <w:bCs w:val="1"/>
                <w:color w:val="auto"/>
                <w:w w:val="99"/>
              </w:rPr>
              <w:t>Due Within</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80"/>
              <w:spacing w:after="0" w:line="191" w:lineRule="exact"/>
              <w:rPr>
                <w:sz w:val="20"/>
                <w:szCs w:val="20"/>
                <w:color w:val="auto"/>
              </w:rPr>
            </w:pPr>
            <w:r>
              <w:rPr>
                <w:rFonts w:ascii="Arial" w:cs="Arial" w:eastAsia="Arial" w:hAnsi="Arial"/>
                <w:sz w:val="18"/>
                <w:szCs w:val="18"/>
                <w:b w:val="1"/>
                <w:bCs w:val="1"/>
                <w:color w:val="auto"/>
                <w:w w:val="99"/>
              </w:rPr>
              <w:t>Due Within</w:t>
            </w:r>
          </w:p>
        </w:tc>
      </w:tr>
      <w:tr>
        <w:trPr>
          <w:trHeight w:val="234"/>
        </w:trPr>
        <w:tc>
          <w:tcPr>
            <w:tcW w:w="4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040" w:type="dxa"/>
            <w:vAlign w:val="bottom"/>
            <w:gridSpan w:val="2"/>
          </w:tcPr>
          <w:p>
            <w:pPr>
              <w:ind w:left="40"/>
              <w:spacing w:after="0"/>
              <w:rPr>
                <w:sz w:val="20"/>
                <w:szCs w:val="20"/>
                <w:color w:val="auto"/>
              </w:rPr>
            </w:pPr>
            <w:r>
              <w:rPr>
                <w:rFonts w:ascii="Arial" w:cs="Arial" w:eastAsia="Arial" w:hAnsi="Arial"/>
                <w:sz w:val="18"/>
                <w:szCs w:val="18"/>
                <w:b w:val="1"/>
                <w:bCs w:val="1"/>
                <w:color w:val="auto"/>
              </w:rPr>
              <w:t>One Year</w:t>
            </w:r>
          </w:p>
        </w:tc>
        <w:tc>
          <w:tcPr>
            <w:tcW w:w="20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900" w:type="dxa"/>
            <w:vAlign w:val="bottom"/>
          </w:tcPr>
          <w:p>
            <w:pPr>
              <w:ind w:left="20"/>
              <w:spacing w:after="0"/>
              <w:rPr>
                <w:sz w:val="20"/>
                <w:szCs w:val="20"/>
                <w:color w:val="auto"/>
              </w:rPr>
            </w:pPr>
            <w:r>
              <w:rPr>
                <w:rFonts w:ascii="Arial" w:cs="Arial" w:eastAsia="Arial" w:hAnsi="Arial"/>
                <w:sz w:val="18"/>
                <w:szCs w:val="18"/>
                <w:b w:val="1"/>
                <w:bCs w:val="1"/>
                <w:color w:val="auto"/>
              </w:rPr>
              <w:t>One Year</w:t>
            </w:r>
          </w:p>
        </w:tc>
      </w:tr>
      <w:tr>
        <w:trPr>
          <w:trHeight w:val="209"/>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Credit Facility</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68,250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4260" w:type="dxa"/>
            <w:vAlign w:val="bottom"/>
          </w:tcPr>
          <w:p>
            <w:pPr>
              <w:ind w:left="20"/>
              <w:spacing w:after="0"/>
              <w:rPr>
                <w:sz w:val="20"/>
                <w:szCs w:val="20"/>
                <w:color w:val="auto"/>
              </w:rPr>
            </w:pPr>
            <w:r>
              <w:rPr>
                <w:rFonts w:ascii="Arial" w:cs="Arial" w:eastAsia="Arial" w:hAnsi="Arial"/>
                <w:sz w:val="18"/>
                <w:szCs w:val="18"/>
                <w:color w:val="auto"/>
              </w:rPr>
              <w:t>2026 Term Loan</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 Term Loan</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4260" w:type="dxa"/>
            <w:vAlign w:val="bottom"/>
          </w:tcPr>
          <w:p>
            <w:pPr>
              <w:ind w:left="20"/>
              <w:spacing w:after="0"/>
              <w:rPr>
                <w:sz w:val="20"/>
                <w:szCs w:val="20"/>
                <w:color w:val="auto"/>
              </w:rPr>
            </w:pPr>
            <w:r>
              <w:rPr>
                <w:rFonts w:ascii="Arial" w:cs="Arial" w:eastAsia="Arial" w:hAnsi="Arial"/>
                <w:sz w:val="18"/>
                <w:szCs w:val="18"/>
                <w:color w:val="auto"/>
              </w:rPr>
              <w:t>Financing Costs, net of Accumulated Amortization</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(901)</w:t>
            </w:r>
          </w:p>
        </w:tc>
        <w:tc>
          <w:tcPr>
            <w:tcW w:w="120" w:type="dxa"/>
            <w:vAlign w:val="bottom"/>
          </w:tcPr>
          <w:p>
            <w:pPr>
              <w:spacing w:after="0"/>
              <w:rPr>
                <w:sz w:val="18"/>
                <w:szCs w:val="18"/>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(1,134)</w:t>
            </w:r>
          </w:p>
        </w:tc>
        <w:tc>
          <w:tcPr>
            <w:tcW w:w="140" w:type="dxa"/>
            <w:vAlign w:val="bottom"/>
          </w:tcPr>
          <w:p>
            <w:pPr>
              <w:spacing w:after="0"/>
              <w:rPr>
                <w:sz w:val="18"/>
                <w:szCs w:val="18"/>
                <w:color w:val="auto"/>
              </w:rPr>
            </w:pPr>
          </w:p>
        </w:tc>
        <w:tc>
          <w:tcPr>
            <w:tcW w:w="900" w:type="dxa"/>
            <w:vAlign w:val="bottom"/>
          </w:tcPr>
          <w:p>
            <w:pPr>
              <w:ind w:left="680"/>
              <w:spacing w:after="0"/>
              <w:rPr>
                <w:sz w:val="20"/>
                <w:szCs w:val="20"/>
                <w:color w:val="auto"/>
              </w:rPr>
            </w:pPr>
            <w:r>
              <w:rPr>
                <w:rFonts w:ascii="Arial" w:cs="Arial" w:eastAsia="Arial" w:hAnsi="Arial"/>
                <w:sz w:val="18"/>
                <w:szCs w:val="18"/>
                <w:color w:val="auto"/>
              </w:rPr>
              <w:t>—</w:t>
            </w:r>
          </w:p>
        </w:tc>
      </w:tr>
      <w:tr>
        <w:trPr>
          <w:trHeight w:val="210"/>
        </w:trPr>
        <w:tc>
          <w:tcPr>
            <w:tcW w:w="4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249,099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267,116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0"/>
        </w:trPr>
        <w:tc>
          <w:tcPr>
            <w:tcW w:w="4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559" w:firstLine="389"/>
        <w:spacing w:after="0" w:line="277" w:lineRule="auto"/>
        <w:rPr>
          <w:sz w:val="20"/>
          <w:szCs w:val="20"/>
          <w:color w:val="auto"/>
        </w:rPr>
      </w:pPr>
      <w:r>
        <w:rPr>
          <w:rFonts w:ascii="Arial" w:cs="Arial" w:eastAsia="Arial" w:hAnsi="Arial"/>
          <w:sz w:val="18"/>
          <w:szCs w:val="18"/>
          <w:color w:val="auto"/>
        </w:rPr>
        <w:t>Payments applicable to reduction of principal amounts as of September 30, 2023 will be required as follows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12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340" w:type="dxa"/>
            <w:vAlign w:val="bottom"/>
          </w:tcPr>
          <w:p>
            <w:pPr>
              <w:spacing w:after="0"/>
              <w:rPr>
                <w:sz w:val="20"/>
                <w:szCs w:val="20"/>
                <w:color w:val="auto"/>
              </w:rPr>
            </w:pPr>
          </w:p>
        </w:tc>
        <w:tc>
          <w:tcPr>
            <w:tcW w:w="1440" w:type="dxa"/>
            <w:vAlign w:val="bottom"/>
          </w:tcPr>
          <w:p>
            <w:pPr>
              <w:jc w:val="right"/>
              <w:ind w:right="470"/>
              <w:spacing w:after="0"/>
              <w:rPr>
                <w:sz w:val="20"/>
                <w:szCs w:val="20"/>
                <w:color w:val="auto"/>
              </w:rPr>
            </w:pPr>
            <w:r>
              <w:rPr>
                <w:rFonts w:ascii="Arial" w:cs="Arial" w:eastAsia="Arial" w:hAnsi="Arial"/>
                <w:sz w:val="18"/>
                <w:szCs w:val="18"/>
                <w:b w:val="1"/>
                <w:bCs w:val="1"/>
                <w:color w:val="auto"/>
              </w:rPr>
              <w:t>Amount</w:t>
            </w:r>
          </w:p>
        </w:tc>
      </w:tr>
      <w:tr>
        <w:trPr>
          <w:trHeight w:val="209"/>
        </w:trPr>
        <w:tc>
          <w:tcPr>
            <w:tcW w:w="6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tcPr>
          <w:p>
            <w:pPr>
              <w:ind w:left="2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tcPr>
          <w:p>
            <w:pPr>
              <w:ind w:left="20"/>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100,000</w:t>
            </w: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r>
      <w:tr>
        <w:trPr>
          <w:trHeight w:val="216"/>
        </w:trPr>
        <w:tc>
          <w:tcPr>
            <w:tcW w:w="6900" w:type="dxa"/>
            <w:vAlign w:val="bottom"/>
          </w:tcPr>
          <w:p>
            <w:pPr>
              <w:ind w:left="20"/>
              <w:spacing w:after="0"/>
              <w:rPr>
                <w:sz w:val="20"/>
                <w:szCs w:val="20"/>
                <w:color w:val="auto"/>
              </w:rPr>
            </w:pPr>
            <w:r>
              <w:rPr>
                <w:rFonts w:ascii="Arial" w:cs="Arial" w:eastAsia="Arial" w:hAnsi="Arial"/>
                <w:sz w:val="18"/>
                <w:szCs w:val="18"/>
                <w:color w:val="auto"/>
              </w:rPr>
              <w:t>2028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2029 and Thereafter</w:t>
            </w:r>
          </w:p>
        </w:tc>
        <w:tc>
          <w:tcPr>
            <w:tcW w:w="3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7120" w:type="dxa"/>
            <w:vAlign w:val="bottom"/>
            <w:gridSpan w:val="2"/>
          </w:tcPr>
          <w:p>
            <w:pPr>
              <w:ind w:left="20"/>
              <w:spacing w:after="0"/>
              <w:rPr>
                <w:sz w:val="20"/>
                <w:szCs w:val="20"/>
                <w:color w:val="auto"/>
              </w:rPr>
            </w:pPr>
            <w:r>
              <w:rPr>
                <w:rFonts w:ascii="Arial" w:cs="Arial" w:eastAsia="Arial" w:hAnsi="Arial"/>
                <w:sz w:val="18"/>
                <w:szCs w:val="18"/>
                <w:color w:val="auto"/>
              </w:rPr>
              <w:t>Total Long-Term Debt - Face Value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250,000</w:t>
            </w:r>
          </w:p>
        </w:tc>
      </w:tr>
      <w:tr>
        <w:trPr>
          <w:trHeight w:val="20"/>
        </w:trPr>
        <w:tc>
          <w:tcPr>
            <w:tcW w:w="6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carrying value of long-term debt as of September 30, 2023 consisted of the following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Total</w:t>
            </w:r>
          </w:p>
        </w:tc>
      </w:tr>
      <w:tr>
        <w:trPr>
          <w:trHeight w:val="209"/>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Face Amount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r>
      <w:tr>
        <w:trPr>
          <w:trHeight w:val="216"/>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Financing Costs, net of Accumulated Amortization</w:t>
            </w: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w:t>
            </w:r>
          </w:p>
        </w:tc>
      </w:tr>
      <w:tr>
        <w:trPr>
          <w:trHeight w:val="210"/>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249,099</w:t>
            </w:r>
          </w:p>
        </w:tc>
      </w:tr>
      <w:tr>
        <w:trPr>
          <w:trHeight w:val="20"/>
        </w:trPr>
        <w:tc>
          <w:tcPr>
            <w:tcW w:w="7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In addition to the $0.9 million of financing costs, net of accumulated amortization included in the table above, as of September 30, 2023, the Company also had financing costs, net of accumulated amortization related to the Credit Facility of $1.3 million which is included in other assets on the consolidated balance sheets. These costs are amortized on a straight-line basis over the term of the Credit Facility and are included in interest expense in the consolidated statements of operations.</w:t>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reflects a summary of interest expense incurred and paid during the three and nine months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2023 and 2022 (in thousands):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Expense</w:t>
      </w:r>
    </w:p>
    <w:p>
      <w:pPr>
        <w:spacing w:after="0" w:line="23" w:lineRule="exact"/>
        <w:rPr>
          <w:sz w:val="20"/>
          <w:szCs w:val="20"/>
          <w:color w:val="auto"/>
        </w:rPr>
      </w:pPr>
    </w:p>
    <w:p>
      <w:pPr>
        <w:ind w:left="60"/>
        <w:spacing w:after="0" w:line="258" w:lineRule="auto"/>
        <w:rPr>
          <w:sz w:val="20"/>
          <w:szCs w:val="20"/>
          <w:color w:val="auto"/>
        </w:rPr>
      </w:pPr>
      <w:r>
        <w:rPr>
          <w:rFonts w:ascii="Arial" w:cs="Arial" w:eastAsia="Arial" w:hAnsi="Arial"/>
          <w:sz w:val="18"/>
          <w:szCs w:val="18"/>
          <w:color w:val="auto"/>
        </w:rPr>
        <w:t>Amortization of Deferred Financing Costs to Interest Expense</w:t>
      </w:r>
    </w:p>
    <w:p>
      <w:pPr>
        <w:ind w:left="60"/>
        <w:spacing w:after="0"/>
        <w:rPr>
          <w:sz w:val="20"/>
          <w:szCs w:val="20"/>
          <w:color w:val="auto"/>
        </w:rPr>
      </w:pPr>
      <w:r>
        <w:rPr>
          <w:rFonts w:ascii="Arial" w:cs="Arial" w:eastAsia="Arial" w:hAnsi="Arial"/>
          <w:sz w:val="18"/>
          <w:szCs w:val="18"/>
          <w:color w:val="auto"/>
        </w:rPr>
        <w:t>Total Interest Expense</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p>
        </w:tc>
        <w:tc>
          <w:tcPr>
            <w:tcW w:w="218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0"/>
                <w:szCs w:val="20"/>
                <w:color w:val="auto"/>
              </w:rPr>
            </w:pPr>
          </w:p>
        </w:tc>
        <w:tc>
          <w:tcPr>
            <w:tcW w:w="208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9"/>
              </w:rPr>
              <w:t>Nine Months Ended</w:t>
            </w:r>
          </w:p>
        </w:tc>
      </w:tr>
      <w:tr>
        <w:trPr>
          <w:trHeight w:val="191"/>
        </w:trPr>
        <w:tc>
          <w:tcPr>
            <w:tcW w:w="2300" w:type="dxa"/>
            <w:vAlign w:val="bottom"/>
            <w:tcBorders>
              <w:top w:val="single" w:sz="8" w:color="auto"/>
            </w:tcBorders>
            <w:gridSpan w:val="5"/>
          </w:tcPr>
          <w:p>
            <w:pPr>
              <w:spacing w:after="0" w:line="191" w:lineRule="exact"/>
              <w:rPr>
                <w:sz w:val="20"/>
                <w:szCs w:val="20"/>
                <w:color w:val="auto"/>
              </w:rPr>
            </w:pPr>
            <w:r>
              <w:rPr>
                <w:rFonts w:ascii="Arial" w:cs="Arial" w:eastAsia="Arial" w:hAnsi="Arial"/>
                <w:sz w:val="18"/>
                <w:szCs w:val="18"/>
                <w:b w:val="1"/>
                <w:bCs w:val="1"/>
                <w:color w:val="auto"/>
                <w:w w:val="90"/>
              </w:rPr>
              <w:t>September 30, September 30,</w:t>
            </w:r>
          </w:p>
        </w:tc>
        <w:tc>
          <w:tcPr>
            <w:tcW w:w="80" w:type="dxa"/>
            <w:vAlign w:val="bottom"/>
          </w:tcPr>
          <w:p>
            <w:pPr>
              <w:spacing w:after="0"/>
              <w:rPr>
                <w:sz w:val="16"/>
                <w:szCs w:val="16"/>
                <w:color w:val="auto"/>
              </w:rPr>
            </w:pPr>
          </w:p>
        </w:tc>
        <w:tc>
          <w:tcPr>
            <w:tcW w:w="120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w w:val="94"/>
              </w:rPr>
              <w:t>September 30,</w:t>
            </w:r>
          </w:p>
        </w:tc>
        <w:tc>
          <w:tcPr>
            <w:tcW w:w="112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87"/>
              </w:rPr>
              <w:t>September 30,</w:t>
            </w:r>
          </w:p>
        </w:tc>
      </w:tr>
      <w:tr>
        <w:trPr>
          <w:trHeight w:val="234"/>
        </w:trPr>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r>
      <w:tr>
        <w:trPr>
          <w:trHeight w:val="2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2,264</w:t>
            </w:r>
          </w:p>
        </w:tc>
        <w:tc>
          <w:tcPr>
            <w:tcW w:w="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2,394</w:t>
            </w:r>
          </w:p>
        </w:tc>
        <w:tc>
          <w:tcPr>
            <w:tcW w:w="8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6,964</w:t>
            </w:r>
          </w:p>
        </w:tc>
        <w:tc>
          <w:tcPr>
            <w:tcW w:w="8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5,940</w:t>
            </w:r>
          </w:p>
        </w:tc>
      </w:tr>
      <w:tr>
        <w:trPr>
          <w:trHeight w:val="418"/>
        </w:trPr>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r>
      <w:tr>
        <w:trPr>
          <w:trHeight w:val="210"/>
        </w:trPr>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2,443</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2,544</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7,494</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6,347</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-2660650</wp:posOffset>
            </wp:positionH>
            <wp:positionV relativeFrom="paragraph">
              <wp:posOffset>-590550</wp:posOffset>
            </wp:positionV>
            <wp:extent cx="564896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48960" cy="145415"/>
                    </a:xfrm>
                    <a:prstGeom prst="rect">
                      <a:avLst/>
                    </a:prstGeom>
                    <a:noFill/>
                  </pic:spPr>
                </pic:pic>
              </a:graphicData>
            </a:graphic>
          </wp:anchor>
        </w:drawing>
        <w:drawing>
          <wp:anchor simplePos="0" relativeHeight="251657728" behindDoc="1" locked="0" layoutInCell="0" allowOverlap="1">
            <wp:simplePos x="0" y="0"/>
            <wp:positionH relativeFrom="column">
              <wp:posOffset>-2660650</wp:posOffset>
            </wp:positionH>
            <wp:positionV relativeFrom="paragraph">
              <wp:posOffset>-170815</wp:posOffset>
            </wp:positionV>
            <wp:extent cx="564896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60" w:space="380"/>
            <w:col w:w="4779"/>
          </w:cols>
          <w:pgMar w:left="1440" w:top="517" w:right="1440" w:bottom="1440" w:gutter="0" w:footer="0" w:header="0"/>
          <w:type w:val="continuous"/>
        </w:sectPr>
      </w:pPr>
    </w:p>
    <w:p>
      <w:pPr>
        <w:spacing w:after="0" w:line="2" w:lineRule="exact"/>
        <w:rPr>
          <w:sz w:val="20"/>
          <w:szCs w:val="20"/>
          <w:color w:val="auto"/>
        </w:rPr>
      </w:pPr>
    </w:p>
    <w:p>
      <w:pPr>
        <w:ind w:left="60"/>
        <w:spacing w:after="0"/>
        <w:tabs>
          <w:tab w:leader="none" w:pos="4220" w:val="left"/>
          <w:tab w:leader="none" w:pos="4860" w:val="left"/>
          <w:tab w:leader="none" w:pos="6060" w:val="left"/>
          <w:tab w:leader="none" w:pos="7260" w:val="left"/>
          <w:tab w:leader="none" w:pos="8460" w:val="left"/>
        </w:tabs>
        <w:rPr>
          <w:sz w:val="20"/>
          <w:szCs w:val="20"/>
          <w:color w:val="auto"/>
        </w:rPr>
      </w:pPr>
      <w:r>
        <w:rPr>
          <w:rFonts w:ascii="Arial" w:cs="Arial" w:eastAsia="Arial" w:hAnsi="Arial"/>
          <w:sz w:val="18"/>
          <w:szCs w:val="18"/>
          <w:color w:val="auto"/>
        </w:rPr>
        <w:t>Total Interest Paid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2,243  $</w:t>
      </w:r>
      <w:r>
        <w:rPr>
          <w:sz w:val="20"/>
          <w:szCs w:val="20"/>
          <w:color w:val="auto"/>
        </w:rPr>
        <w:tab/>
      </w:r>
      <w:r>
        <w:rPr>
          <w:rFonts w:ascii="Arial" w:cs="Arial" w:eastAsia="Arial" w:hAnsi="Arial"/>
          <w:sz w:val="18"/>
          <w:szCs w:val="18"/>
          <w:color w:val="auto"/>
        </w:rPr>
        <w:t>2,454  $</w:t>
      </w:r>
      <w:r>
        <w:rPr>
          <w:sz w:val="20"/>
          <w:szCs w:val="20"/>
          <w:color w:val="auto"/>
        </w:rPr>
        <w:tab/>
      </w:r>
      <w:r>
        <w:rPr>
          <w:rFonts w:ascii="Arial" w:cs="Arial" w:eastAsia="Arial" w:hAnsi="Arial"/>
          <w:sz w:val="18"/>
          <w:szCs w:val="18"/>
          <w:color w:val="auto"/>
        </w:rPr>
        <w:t>6,924  $</w:t>
      </w:r>
      <w:r>
        <w:rPr>
          <w:sz w:val="20"/>
          <w:szCs w:val="20"/>
          <w:color w:val="auto"/>
        </w:rPr>
        <w:tab/>
      </w:r>
      <w:r>
        <w:rPr>
          <w:rFonts w:ascii="Arial" w:cs="Arial" w:eastAsia="Arial" w:hAnsi="Arial"/>
          <w:sz w:val="16"/>
          <w:szCs w:val="16"/>
          <w:color w:val="auto"/>
        </w:rPr>
        <w:t>5,806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4896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48960" cy="163195"/>
                    </a:xfrm>
                    <a:prstGeom prst="rect">
                      <a:avLst/>
                    </a:prstGeom>
                    <a:noFill/>
                  </pic:spPr>
                </pic:pic>
              </a:graphicData>
            </a:graphic>
          </wp:anchor>
        </w:drawing>
      </w:r>
    </w:p>
    <w:p>
      <w:pPr>
        <w:spacing w:after="0" w:line="24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 was in compliance with all of its debt covenants as of September 30, 2023.</w:t>
      </w:r>
    </w:p>
    <w:p>
      <w:pPr>
        <w:spacing w:after="0" w:line="23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12. INTEREST RATE SWAPS</w:t>
      </w:r>
    </w:p>
    <w:p>
      <w:pPr>
        <w:spacing w:after="0" w:line="121" w:lineRule="exact"/>
        <w:rPr>
          <w:sz w:val="20"/>
          <w:szCs w:val="20"/>
          <w:color w:val="auto"/>
        </w:rPr>
      </w:pPr>
    </w:p>
    <w:p>
      <w:pPr>
        <w:jc w:val="both"/>
        <w:ind w:left="60" w:right="59" w:firstLine="389"/>
        <w:spacing w:after="0" w:line="293" w:lineRule="auto"/>
        <w:rPr>
          <w:sz w:val="20"/>
          <w:szCs w:val="20"/>
          <w:color w:val="auto"/>
        </w:rPr>
      </w:pPr>
      <w:r>
        <w:rPr>
          <w:rFonts w:ascii="Arial" w:cs="Arial" w:eastAsia="Arial" w:hAnsi="Arial"/>
          <w:sz w:val="16"/>
          <w:szCs w:val="16"/>
          <w:color w:val="auto"/>
        </w:rPr>
        <w:t>The Company has entered into interest rate swap agreements to hedge against changes in future cash flows resulting from fluctuating interest rates related to the below noted borrowings. The interest rate agreements were 100% effective during the three months ended September 30, 2023. Accordingly, the changes in fair value on the interest rate swaps have been classified in accumulated other comprehensive income. The fair value of the interest rate swap agreements are included in other assets and accounts payable, accrued expenses and other liabilities, respectively, on the consolidated balance sheets. Information related to the Company’s interest rate swap agreements is noted below (in thousands):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Fair Value as of</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ind w:left="100"/>
              <w:spacing w:after="0"/>
              <w:rPr>
                <w:sz w:val="20"/>
                <w:szCs w:val="20"/>
                <w:color w:val="auto"/>
              </w:rPr>
            </w:pPr>
            <w:r>
              <w:rPr>
                <w:rFonts w:ascii="Arial" w:cs="Arial" w:eastAsia="Arial" w:hAnsi="Arial"/>
                <w:sz w:val="16"/>
                <w:szCs w:val="16"/>
                <w:b w:val="1"/>
                <w:bCs w:val="1"/>
                <w:color w:val="auto"/>
              </w:rPr>
              <w:t>Effective</w:t>
            </w:r>
          </w:p>
        </w:tc>
        <w:tc>
          <w:tcPr>
            <w:tcW w:w="920" w:type="dxa"/>
            <w:vAlign w:val="bottom"/>
            <w:gridSpan w:val="2"/>
          </w:tcPr>
          <w:p>
            <w:pPr>
              <w:ind w:left="80"/>
              <w:spacing w:after="0"/>
              <w:rPr>
                <w:sz w:val="20"/>
                <w:szCs w:val="20"/>
                <w:color w:val="auto"/>
              </w:rPr>
            </w:pPr>
            <w:r>
              <w:rPr>
                <w:rFonts w:ascii="Arial" w:cs="Arial" w:eastAsia="Arial" w:hAnsi="Arial"/>
                <w:sz w:val="16"/>
                <w:szCs w:val="16"/>
                <w:b w:val="1"/>
                <w:bCs w:val="1"/>
                <w:color w:val="auto"/>
              </w:rPr>
              <w:t>Maturity</w:t>
            </w: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right="19"/>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213"/>
        </w:trPr>
        <w:tc>
          <w:tcPr>
            <w:tcW w:w="27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Hedged Item</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Date</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Date</w:t>
            </w:r>
          </w:p>
        </w:tc>
        <w:tc>
          <w:tcPr>
            <w:tcW w:w="120" w:type="dxa"/>
            <w:vAlign w:val="bottom"/>
            <w:tcBorders>
              <w:bottom w:val="single" w:sz="8" w:color="CCEEFF"/>
            </w:tcBorders>
          </w:tcPr>
          <w:p>
            <w:pPr>
              <w:spacing w:after="0"/>
              <w:rPr>
                <w:sz w:val="18"/>
                <w:szCs w:val="18"/>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Rate</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5"/>
              </w:rPr>
              <w:t>Amount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2023</w:t>
            </w:r>
          </w:p>
        </w:tc>
        <w:tc>
          <w:tcPr>
            <w:tcW w:w="0" w:type="dxa"/>
            <w:vAlign w:val="bottom"/>
          </w:tcPr>
          <w:p>
            <w:pPr>
              <w:spacing w:after="0"/>
              <w:rPr>
                <w:sz w:val="1"/>
                <w:szCs w:val="1"/>
                <w:color w:val="auto"/>
              </w:rPr>
            </w:pPr>
          </w:p>
        </w:tc>
      </w:tr>
      <w:tr>
        <w:trPr>
          <w:trHeight w:val="189"/>
        </w:trPr>
        <w:tc>
          <w:tcPr>
            <w:tcW w:w="360" w:type="dxa"/>
            <w:vAlign w:val="bottom"/>
            <w:shd w:val="clear" w:color="auto" w:fill="CCEEFF"/>
          </w:tcPr>
          <w:p>
            <w:pPr>
              <w:spacing w:after="0"/>
              <w:rPr>
                <w:sz w:val="16"/>
                <w:szCs w:val="16"/>
                <w:color w:val="auto"/>
              </w:rPr>
            </w:pPr>
          </w:p>
        </w:tc>
        <w:tc>
          <w:tcPr>
            <w:tcW w:w="250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 xml:space="preserve">Term Loan </w:t>
            </w:r>
            <w:r>
              <w:rPr>
                <w:rFonts w:ascii="Arial" w:cs="Arial" w:eastAsia="Arial" w:hAnsi="Arial"/>
                <w:sz w:val="24"/>
                <w:szCs w:val="24"/>
                <w:color w:val="auto"/>
                <w:vertAlign w:val="superscript"/>
              </w:rPr>
              <w:t>(1)</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2.05% + 0.10% +</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2026</w:t>
            </w:r>
          </w:p>
        </w:tc>
        <w:tc>
          <w:tcPr>
            <w:tcW w:w="2500" w:type="dxa"/>
            <w:vAlign w:val="bottom"/>
            <w:gridSpan w:val="2"/>
            <w:vMerge w:val="continue"/>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5/21/2021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5/21/2026</w:t>
            </w:r>
          </w:p>
        </w:tc>
        <w:tc>
          <w:tcPr>
            <w:tcW w:w="1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0"/>
              </w:rPr>
              <w:t>applicable spread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6,639</w:t>
            </w:r>
          </w:p>
        </w:tc>
        <w:tc>
          <w:tcPr>
            <w:tcW w:w="0" w:type="dxa"/>
            <w:vAlign w:val="bottom"/>
          </w:tcPr>
          <w:p>
            <w:pPr>
              <w:spacing w:after="0"/>
              <w:rPr>
                <w:sz w:val="1"/>
                <w:szCs w:val="1"/>
                <w:color w:val="auto"/>
              </w:rPr>
            </w:pPr>
          </w:p>
        </w:tc>
      </w:tr>
      <w:tr>
        <w:trPr>
          <w:trHeight w:val="193"/>
        </w:trPr>
        <w:tc>
          <w:tcPr>
            <w:tcW w:w="360" w:type="dxa"/>
            <w:vAlign w:val="bottom"/>
          </w:tcPr>
          <w:p>
            <w:pPr>
              <w:spacing w:after="0"/>
              <w:rPr>
                <w:sz w:val="16"/>
                <w:szCs w:val="16"/>
                <w:color w:val="auto"/>
              </w:rPr>
            </w:pPr>
          </w:p>
        </w:tc>
        <w:tc>
          <w:tcPr>
            <w:tcW w:w="2500" w:type="dxa"/>
            <w:vAlign w:val="bottom"/>
            <w:gridSpan w:val="2"/>
            <w:vMerge w:val="restart"/>
          </w:tcPr>
          <w:p>
            <w:pPr>
              <w:ind w:left="20"/>
              <w:spacing w:after="0"/>
              <w:rPr>
                <w:sz w:val="20"/>
                <w:szCs w:val="20"/>
                <w:color w:val="auto"/>
              </w:rPr>
            </w:pPr>
            <w:r>
              <w:rPr>
                <w:rFonts w:ascii="Arial" w:cs="Arial" w:eastAsia="Arial" w:hAnsi="Arial"/>
                <w:sz w:val="16"/>
                <w:szCs w:val="16"/>
                <w:color w:val="auto"/>
              </w:rPr>
              <w:t xml:space="preserve">Term Loan </w:t>
            </w:r>
            <w:r>
              <w:rPr>
                <w:rFonts w:ascii="Arial" w:cs="Arial" w:eastAsia="Arial" w:hAnsi="Arial"/>
                <w:sz w:val="24"/>
                <w:szCs w:val="24"/>
                <w:color w:val="auto"/>
                <w:vertAlign w:val="superscript"/>
              </w:rPr>
              <w:t>(2)</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w w:val="92"/>
              </w:rPr>
              <w:t>1.18%+ 0.10%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60" w:type="dxa"/>
            <w:vAlign w:val="bottom"/>
          </w:tcPr>
          <w:p>
            <w:pPr>
              <w:ind w:left="20"/>
              <w:spacing w:after="0"/>
              <w:rPr>
                <w:sz w:val="20"/>
                <w:szCs w:val="20"/>
                <w:color w:val="auto"/>
              </w:rPr>
            </w:pPr>
            <w:r>
              <w:rPr>
                <w:rFonts w:ascii="Arial" w:cs="Arial" w:eastAsia="Arial" w:hAnsi="Arial"/>
                <w:sz w:val="16"/>
                <w:szCs w:val="16"/>
                <w:color w:val="auto"/>
                <w:w w:val="89"/>
              </w:rPr>
              <w:t>2027</w:t>
            </w:r>
          </w:p>
        </w:tc>
        <w:tc>
          <w:tcPr>
            <w:tcW w:w="2500" w:type="dxa"/>
            <w:vAlign w:val="bottom"/>
            <w:gridSpan w:val="2"/>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9/30/2021</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89"/>
              </w:rPr>
              <w:t>11/26/2024</w:t>
            </w:r>
          </w:p>
        </w:tc>
        <w:tc>
          <w:tcPr>
            <w:tcW w:w="120" w:type="dxa"/>
            <w:vAlign w:val="bottom"/>
          </w:tcPr>
          <w:p>
            <w:pPr>
              <w:spacing w:after="0"/>
              <w:rPr>
                <w:sz w:val="18"/>
                <w:szCs w:val="18"/>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applicable spread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100,000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4,821</w:t>
            </w:r>
          </w:p>
        </w:tc>
        <w:tc>
          <w:tcPr>
            <w:tcW w:w="0" w:type="dxa"/>
            <w:vAlign w:val="bottom"/>
          </w:tcPr>
          <w:p>
            <w:pPr>
              <w:spacing w:after="0"/>
              <w:rPr>
                <w:sz w:val="1"/>
                <w:szCs w:val="1"/>
                <w:color w:val="auto"/>
              </w:rPr>
            </w:pPr>
          </w:p>
        </w:tc>
      </w:tr>
      <w:tr>
        <w:trPr>
          <w:trHeight w:val="193"/>
        </w:trPr>
        <w:tc>
          <w:tcPr>
            <w:tcW w:w="360" w:type="dxa"/>
            <w:vAlign w:val="bottom"/>
            <w:shd w:val="clear" w:color="auto" w:fill="CCEEFF"/>
          </w:tcPr>
          <w:p>
            <w:pPr>
              <w:spacing w:after="0"/>
              <w:rPr>
                <w:sz w:val="16"/>
                <w:szCs w:val="16"/>
                <w:color w:val="auto"/>
              </w:rPr>
            </w:pPr>
          </w:p>
        </w:tc>
        <w:tc>
          <w:tcPr>
            <w:tcW w:w="250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 xml:space="preserve">Term Loan </w:t>
            </w:r>
            <w:r>
              <w:rPr>
                <w:rFonts w:ascii="Arial" w:cs="Arial" w:eastAsia="Arial" w:hAnsi="Arial"/>
                <w:sz w:val="24"/>
                <w:szCs w:val="24"/>
                <w:color w:val="auto"/>
                <w:vertAlign w:val="superscript"/>
              </w:rPr>
              <w:t>(3)</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1.60%+ 0.10% +</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2027</w:t>
            </w:r>
          </w:p>
        </w:tc>
        <w:tc>
          <w:tcPr>
            <w:tcW w:w="2500" w:type="dxa"/>
            <w:vAlign w:val="bottom"/>
            <w:gridSpan w:val="2"/>
            <w:vMerge w:val="continue"/>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11/26/2024</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1/31/2027</w:t>
            </w:r>
          </w:p>
        </w:tc>
        <w:tc>
          <w:tcPr>
            <w:tcW w:w="1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0"/>
              </w:rPr>
              <w:t>applicable spread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3,944</w:t>
            </w:r>
          </w:p>
        </w:tc>
        <w:tc>
          <w:tcPr>
            <w:tcW w:w="0" w:type="dxa"/>
            <w:vAlign w:val="bottom"/>
          </w:tcPr>
          <w:p>
            <w:pPr>
              <w:spacing w:after="0"/>
              <w:rPr>
                <w:sz w:val="1"/>
                <w:szCs w:val="1"/>
                <w:color w:val="auto"/>
              </w:rPr>
            </w:pPr>
          </w:p>
        </w:tc>
      </w:tr>
      <w:tr>
        <w:trPr>
          <w:trHeight w:val="193"/>
        </w:trPr>
        <w:tc>
          <w:tcPr>
            <w:tcW w:w="2860" w:type="dxa"/>
            <w:vAlign w:val="bottom"/>
            <w:gridSpan w:val="3"/>
            <w:vMerge w:val="restart"/>
          </w:tcPr>
          <w:p>
            <w:pPr>
              <w:ind w:left="20"/>
              <w:spacing w:after="0"/>
              <w:rPr>
                <w:sz w:val="20"/>
                <w:szCs w:val="20"/>
                <w:color w:val="auto"/>
              </w:rPr>
            </w:pPr>
            <w:r>
              <w:rPr>
                <w:rFonts w:ascii="Arial" w:cs="Arial" w:eastAsia="Arial" w:hAnsi="Arial"/>
                <w:sz w:val="16"/>
                <w:szCs w:val="16"/>
                <w:color w:val="auto"/>
              </w:rPr>
              <w:t xml:space="preserve">Credit Facility </w:t>
            </w:r>
            <w:r>
              <w:rPr>
                <w:rFonts w:ascii="Arial" w:cs="Arial" w:eastAsia="Arial" w:hAnsi="Arial"/>
                <w:sz w:val="24"/>
                <w:szCs w:val="24"/>
                <w:color w:val="auto"/>
                <w:vertAlign w:val="superscript"/>
              </w:rPr>
              <w:t>(4)</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w w:val="93"/>
              </w:rPr>
              <w:t>3.21%+ 0.10%+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3"/>
        </w:trPr>
        <w:tc>
          <w:tcPr>
            <w:tcW w:w="2860" w:type="dxa"/>
            <w:vAlign w:val="bottom"/>
            <w:gridSpan w:val="3"/>
            <w:vMerge w:val="continue"/>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3/1/2023</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3/1/2028</w:t>
            </w:r>
          </w:p>
        </w:tc>
        <w:tc>
          <w:tcPr>
            <w:tcW w:w="120" w:type="dxa"/>
            <w:vAlign w:val="bottom"/>
          </w:tcPr>
          <w:p>
            <w:pPr>
              <w:spacing w:after="0"/>
              <w:rPr>
                <w:sz w:val="24"/>
                <w:szCs w:val="24"/>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applicable spread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2,302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11430</wp:posOffset>
            </wp:positionV>
            <wp:extent cx="141414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87" w:lineRule="exact"/>
        <w:rPr>
          <w:sz w:val="20"/>
          <w:szCs w:val="20"/>
          <w:color w:val="auto"/>
        </w:rPr>
      </w:pPr>
    </w:p>
    <w:p>
      <w:pPr>
        <w:ind w:left="380" w:right="119" w:hanging="330"/>
        <w:spacing w:after="0" w:line="224" w:lineRule="auto"/>
        <w:tabs>
          <w:tab w:leader="none" w:pos="380" w:val="left"/>
        </w:tabs>
        <w:numPr>
          <w:ilvl w:val="0"/>
          <w:numId w:val="9"/>
        </w:numPr>
        <w:rPr>
          <w:rFonts w:ascii="Arial" w:cs="Arial" w:eastAsia="Arial" w:hAnsi="Arial"/>
          <w:sz w:val="11"/>
          <w:szCs w:val="11"/>
          <w:color w:val="auto"/>
        </w:rPr>
      </w:pPr>
      <w:r>
        <w:rPr>
          <w:rFonts w:ascii="Arial" w:cs="Arial" w:eastAsia="Arial" w:hAnsi="Arial"/>
          <w:sz w:val="14"/>
          <w:szCs w:val="14"/>
          <w:color w:val="auto"/>
        </w:rPr>
        <w:t>As of September 30, 2023, the Company has utilized interest rate swaps to fix SOFR and achieve a weighted average fixed interest rate of 2.05% plus 0.10% and the applicable spread on the $100 million 2026 Term Loan balance. The weighted average fixed interest rate of 2.05%, is comprised of: (i) rate swaps on $60.0 million of the 2026 Term Loan balance effective May 21, 2021, as amended on April 14, 2022 in connection with the 2026 Term Loan Amendment, to fix SOFR (prior to April 14, 2022, the swap was to fix LIBOR), and (ii) a rate swap on $40.0 million of the 2026 Term Loan Balance effective September 30, 2022, to fix SOFR.</w:t>
      </w:r>
    </w:p>
    <w:p>
      <w:pPr>
        <w:spacing w:after="0" w:line="3" w:lineRule="exact"/>
        <w:rPr>
          <w:rFonts w:ascii="Arial" w:cs="Arial" w:eastAsia="Arial" w:hAnsi="Arial"/>
          <w:sz w:val="11"/>
          <w:szCs w:val="11"/>
          <w:color w:val="auto"/>
        </w:rPr>
      </w:pPr>
    </w:p>
    <w:p>
      <w:pPr>
        <w:jc w:val="both"/>
        <w:ind w:left="380" w:right="79" w:hanging="330"/>
        <w:spacing w:after="0" w:line="221" w:lineRule="auto"/>
        <w:tabs>
          <w:tab w:leader="none" w:pos="380" w:val="left"/>
        </w:tabs>
        <w:numPr>
          <w:ilvl w:val="0"/>
          <w:numId w:val="9"/>
        </w:numPr>
        <w:rPr>
          <w:rFonts w:ascii="Arial" w:cs="Arial" w:eastAsia="Arial" w:hAnsi="Arial"/>
          <w:sz w:val="11"/>
          <w:szCs w:val="11"/>
          <w:color w:val="auto"/>
        </w:rPr>
      </w:pPr>
      <w:r>
        <w:rPr>
          <w:rFonts w:ascii="Arial" w:cs="Arial" w:eastAsia="Arial" w:hAnsi="Arial"/>
          <w:sz w:val="14"/>
          <w:szCs w:val="14"/>
          <w:color w:val="auto"/>
        </w:rPr>
        <w:t>As of September 30, 2023, the Company has utilized interest rate swaps to fix SOFR and achieve a weighted average fixed interest rate of 1.18% plus 0.10% and the applicable spread on the $100 million 2027 Term Loan balance. The weighted average fixed interest rate of 1.18%, is comprised of: (i) rate swaps on $80.0 million of the 2027 Term Loan balance effective September 30, 2021, as amended on April 14, 2022 in connection with the 2027 Term Loan Amendment, to fix SOFR, (prior to April 14, 2022, the swap was to fix LIBOR), and (ii) a rate swap on $20.0 million of the 2027 Term Loan balance effective September 30, 2022, to fix SOFR.</w:t>
      </w:r>
    </w:p>
    <w:p>
      <w:pPr>
        <w:spacing w:after="0" w:line="1" w:lineRule="exact"/>
        <w:rPr>
          <w:rFonts w:ascii="Arial" w:cs="Arial" w:eastAsia="Arial" w:hAnsi="Arial"/>
          <w:sz w:val="11"/>
          <w:szCs w:val="11"/>
          <w:color w:val="auto"/>
        </w:rPr>
      </w:pPr>
    </w:p>
    <w:p>
      <w:pPr>
        <w:ind w:left="380" w:right="79" w:hanging="330"/>
        <w:spacing w:after="0" w:line="238" w:lineRule="auto"/>
        <w:tabs>
          <w:tab w:leader="none" w:pos="380" w:val="left"/>
        </w:tabs>
        <w:numPr>
          <w:ilvl w:val="0"/>
          <w:numId w:val="9"/>
        </w:numPr>
        <w:rPr>
          <w:rFonts w:ascii="Arial" w:cs="Arial" w:eastAsia="Arial" w:hAnsi="Arial"/>
          <w:sz w:val="10"/>
          <w:szCs w:val="10"/>
          <w:color w:val="auto"/>
        </w:rPr>
      </w:pPr>
      <w:r>
        <w:rPr>
          <w:rFonts w:ascii="Arial" w:cs="Arial" w:eastAsia="Arial" w:hAnsi="Arial"/>
          <w:sz w:val="13"/>
          <w:szCs w:val="13"/>
          <w:color w:val="auto"/>
        </w:rPr>
        <w:t>The interest rate swap agreement hedges $80.0 million of the $100.0 million 2027 Term Loan balance under different terms and commences concurrent to the interest rate agreements maturing on November 26, 2024 to extend the fixed interest rate through maturity on January 31, 2027.</w:t>
      </w:r>
    </w:p>
    <w:p>
      <w:pPr>
        <w:ind w:left="380" w:right="79" w:hanging="330"/>
        <w:spacing w:after="0" w:line="271" w:lineRule="auto"/>
        <w:tabs>
          <w:tab w:leader="none" w:pos="380" w:val="left"/>
        </w:tabs>
        <w:numPr>
          <w:ilvl w:val="0"/>
          <w:numId w:val="9"/>
        </w:numPr>
        <w:rPr>
          <w:rFonts w:ascii="Arial" w:cs="Arial" w:eastAsia="Arial" w:hAnsi="Arial"/>
          <w:sz w:val="10"/>
          <w:szCs w:val="10"/>
          <w:color w:val="auto"/>
        </w:rPr>
      </w:pPr>
      <w:r>
        <w:rPr>
          <w:rFonts w:ascii="Arial" w:cs="Arial" w:eastAsia="Arial" w:hAnsi="Arial"/>
          <w:sz w:val="13"/>
          <w:szCs w:val="13"/>
          <w:color w:val="auto"/>
        </w:rPr>
        <w:t>As of September 30, 2023, the Company has utilized an interest rate swap to fix SOFR and achieve a fixed interest rate of 3.21% plus 0.10% and the applicable spread on $50 million of the outstanding balance on the Credit Facility. The swap was effective on March 1, 2023.</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13. EQUITY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SHELF REGISTRATION</w:t>
      </w:r>
    </w:p>
    <w:p>
      <w:pPr>
        <w:spacing w:after="0" w:line="171"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On December 1, 2020, the Company filed a shelf registration statement on Form S-3, relating to the registration and potential issuance of its common stock, preferred stock, warrants, rights, and units with a maximum aggregate offering price of up to $350.0 million (the “2020 Registration Statement”). The Securities and Exchange Commission declared the 2020 Registration Statement effective on December 11, 2020.</w:t>
      </w:r>
    </w:p>
    <w:p>
      <w:pPr>
        <w:spacing w:after="0" w:line="187"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On September 27, 2023, the Company filed a shelf registration statement on Form S-3, relating to the registration and potential issuance of common stock, preferred stock, debt securities, warrants, rights, and units with a maximum aggregate offering price of up to $350.0 million (the “2023 Registration Statement”). The 2020 Registration Statement was terminated concurrently with the filing of the 2023 Registration Statement. The Securities and Exchange Commission declared the 2023 Registration Statement effective on September 29, 2023.</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FOLLOW-ON PUBLIC OFFERING</w:t>
      </w:r>
    </w:p>
    <w:p>
      <w:pPr>
        <w:spacing w:after="0" w:line="21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June 2021, the Company completed a follow-on public offering of 3,220,000 shares of common stock, which included the full exercise of the underwriters’ option to purchase an additional 420,000 shares of common stock. Upon closing, the Company issued 3,220,000 shares and received net proceeds of $54.3 million, after deducting the underwriting discount and expenses.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ATM PROGRAM</w:t>
      </w:r>
    </w:p>
    <w:p>
      <w:pPr>
        <w:spacing w:after="0" w:line="18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On December 14, 2020, the Company implemented a $100.0 million “at-the-market” equity offering program (the “2020 ATM Program”) pursuant to which the Company may sell, from time to time, shares of the Company’s common stock. During the three months ended September 30, 2022, the Company sold 44,384 shares under the 2020 ATM Program for gross proceeds of $0.8 million at a weighted average price of $18.69 per share, generating net proceeds of $0.8 million after deducting transaction fees totaling $0.01 million. During the nine months ended September 30, 2022, the Company sold 446,167 shares under the 2020 ATM Program for gross proceeds of $8.7 million at a weighted average price of $19.44 per share, generating net proceeds of $8.5 million after deducting transaction fees totaling $0.1 million. During the year ended December 31, 2022, the Company sold 446,167 shares under the 2020 ATM Program for gross proceeds of $8.7 million at a weighted average price of $19.44 per share, generating net proceeds of $8.6 million after deducting transaction fees totaling $0.1 million. During the year ended December 31, 2021, the Company sold 761,902 shares under the 2020 ATM Program for gross proceeds of $14.0 million at a weighted average price of $18.36 per share, generating net proceeds of $13.8 million after deducting transaction fees totaling $0.2 million. The Company was not active under the 2020 ATM Program during the year ended December 31, 2020. The 2020 ATM Program was terminated in advance of implementing the 2022 ATM Program, hereinafter defined.</w:t>
      </w:r>
    </w:p>
    <w:p>
      <w:pPr>
        <w:spacing w:after="0" w:line="157"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On October 21, 2022, the Company implemented a $150.0 million “at-the-market” equity offering program (the “2022 ATM Program”) pursuant to which the Company may sell, from time to time, shares of the Company’s common stock. The Company was not active under the 2022 ATM Program during the three months ended September 30, 2023. During the nine months ended September 30, 2023, the Company sold 665,929 shares under the 2022 ATM Program for gross proceeds of $12.6 million at a weighted average price of $18.96 per share, generating net proceeds of $12.4 million after deducting transaction fees totaling $0.2 million. During the year ended December 31, 2022, the Company sold 1,479,241 shares under the 2022 ATM Program for gross proceeds of $27.8 million at a weighted average price of $18.81 per share, generating net proceeds of $27.4 million after deducting transaction fees totaling $0.4 million.</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NONCONTROLLING INTEREST</w:t>
      </w:r>
    </w:p>
    <w:p>
      <w:pPr>
        <w:spacing w:after="0" w:line="212"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As of September 30, 2023, CTO holds, directly and indirectly, a 7.9% noncontrolling ownership interest in the Operating Partnership as a result of 1,223,854 OP Units issued to CTO at the time of the Company’s IPO. An additional 3.1% noncontrolling ownership interest is held by an unrelated third party in connection with the issuance of 479,640 OP Units as consideration for a portfolio of net lease properties acquired during the year ended December 31,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Company has elected to be taxed as a REIT for U.S. federal income tax purposes under the Code. To qualify as a REIT, the Company must annually distribute, at a minimum, an amount equal to 90% of its taxable income, determined without regard to the deduction for dividends paid and excluding net capital gains, and must distribute 100% of its taxable income (including net capital gains) to eliminate U.S. federal corporate income taxes payable by the Company. Because taxable income differs from cash flow from operations due to non-cash revenues and expenses (such as depreciation and other items), in certain circumstances, the Company may generate operating cash flow in excess of its dividends, or alternatively, may need to make dividend payments in excess of operating cash flows. During the three months ended September 30, 2023 and 2022, the Company declared and paid cash dividends on its common stock and OP Units of $0.275 per share and $0.275 per share, respectively. During the nine months ended September 30, 2023 and 2022, the Company declared and paid cash dividends on its common stock and OP Units of $0.825 per share and $0.815 per share, respectively.</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14. COMMON STOCK AND EARNINGS PER SHARE</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Basic earnings per common share are computed by dividing net income attributable to the Company for the period by the weighted average number of shares of common stock outstanding for the period. Diluted earnings per common share are determined based on the assumption of the conversion of OP Units on a one-for-one basis using the treasury stock method at average market prices for the periods.</w:t>
      </w:r>
    </w:p>
    <w:p>
      <w:pPr>
        <w:spacing w:after="0" w:line="187"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following is a reconciliation of basic and diluted earnings per common share (in thousands, except share and per share data):</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6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12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1"/>
        </w:trPr>
        <w:tc>
          <w:tcPr>
            <w:tcW w:w="4280" w:type="dxa"/>
            <w:vAlign w:val="bottom"/>
          </w:tcPr>
          <w:p>
            <w:pPr>
              <w:spacing w:after="0"/>
              <w:rPr>
                <w:sz w:val="16"/>
                <w:szCs w:val="16"/>
                <w:color w:val="auto"/>
              </w:rPr>
            </w:pPr>
          </w:p>
        </w:tc>
        <w:tc>
          <w:tcPr>
            <w:tcW w:w="2280" w:type="dxa"/>
            <w:vAlign w:val="bottom"/>
            <w:tcBorders>
              <w:top w:val="single" w:sz="8" w:color="auto"/>
            </w:tcBorders>
            <w:gridSpan w:val="5"/>
          </w:tcPr>
          <w:p>
            <w:pPr>
              <w:ind w:left="20"/>
              <w:spacing w:after="0" w:line="191" w:lineRule="exact"/>
              <w:rPr>
                <w:sz w:val="20"/>
                <w:szCs w:val="20"/>
                <w:color w:val="auto"/>
              </w:rPr>
            </w:pPr>
            <w:r>
              <w:rPr>
                <w:rFonts w:ascii="Arial" w:cs="Arial" w:eastAsia="Arial" w:hAnsi="Arial"/>
                <w:sz w:val="18"/>
                <w:szCs w:val="18"/>
                <w:b w:val="1"/>
                <w:bCs w:val="1"/>
                <w:color w:val="auto"/>
                <w:w w:val="89"/>
              </w:rPr>
              <w:t>September 30, September 30,</w:t>
            </w:r>
          </w:p>
        </w:tc>
        <w:tc>
          <w:tcPr>
            <w:tcW w:w="60" w:type="dxa"/>
            <w:vAlign w:val="bottom"/>
          </w:tcPr>
          <w:p>
            <w:pPr>
              <w:spacing w:after="0"/>
              <w:rPr>
                <w:sz w:val="16"/>
                <w:szCs w:val="16"/>
                <w:color w:val="auto"/>
              </w:rPr>
            </w:pPr>
          </w:p>
        </w:tc>
        <w:tc>
          <w:tcPr>
            <w:tcW w:w="2280" w:type="dxa"/>
            <w:vAlign w:val="bottom"/>
            <w:tcBorders>
              <w:top w:val="single" w:sz="8" w:color="auto"/>
            </w:tcBorders>
            <w:gridSpan w:val="5"/>
          </w:tcPr>
          <w:p>
            <w:pPr>
              <w:spacing w:after="0" w:line="191" w:lineRule="exact"/>
              <w:rPr>
                <w:sz w:val="20"/>
                <w:szCs w:val="20"/>
                <w:color w:val="auto"/>
              </w:rPr>
            </w:pPr>
            <w:r>
              <w:rPr>
                <w:rFonts w:ascii="Arial" w:cs="Arial" w:eastAsia="Arial" w:hAnsi="Arial"/>
                <w:sz w:val="18"/>
                <w:szCs w:val="18"/>
                <w:b w:val="1"/>
                <w:bCs w:val="1"/>
                <w:color w:val="auto"/>
                <w:w w:val="89"/>
              </w:rPr>
              <w:t>September 30, September 30,</w:t>
            </w:r>
          </w:p>
        </w:tc>
        <w:tc>
          <w:tcPr>
            <w:tcW w:w="0" w:type="dxa"/>
            <w:vAlign w:val="bottom"/>
          </w:tcPr>
          <w:p>
            <w:pPr>
              <w:spacing w:after="0"/>
              <w:rPr>
                <w:sz w:val="1"/>
                <w:szCs w:val="1"/>
                <w:color w:val="auto"/>
              </w:rPr>
            </w:pPr>
          </w:p>
        </w:tc>
      </w:tr>
      <w:tr>
        <w:trPr>
          <w:trHeight w:val="234"/>
        </w:trPr>
        <w:tc>
          <w:tcPr>
            <w:tcW w:w="42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82"/>
        </w:trPr>
        <w:tc>
          <w:tcPr>
            <w:tcW w:w="42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Net Income (Loss) Attributable to Alpine Income</w:t>
            </w: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(837)</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9,770</w:t>
            </w:r>
          </w:p>
        </w:tc>
        <w:tc>
          <w:tcPr>
            <w:tcW w:w="6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2,582</w:t>
            </w:r>
          </w:p>
        </w:tc>
        <w:tc>
          <w:tcPr>
            <w:tcW w:w="4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24,858</w:t>
            </w:r>
          </w:p>
        </w:tc>
        <w:tc>
          <w:tcPr>
            <w:tcW w:w="0" w:type="dxa"/>
            <w:vAlign w:val="bottom"/>
          </w:tcPr>
          <w:p>
            <w:pPr>
              <w:spacing w:after="0"/>
              <w:rPr>
                <w:sz w:val="1"/>
                <w:szCs w:val="1"/>
                <w:color w:val="auto"/>
              </w:rPr>
            </w:pPr>
          </w:p>
        </w:tc>
      </w:tr>
      <w:tr>
        <w:trPr>
          <w:trHeight w:val="217"/>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Trust, Inc.</w:t>
            </w:r>
          </w:p>
        </w:tc>
        <w:tc>
          <w:tcPr>
            <w:tcW w:w="180" w:type="dxa"/>
            <w:vAlign w:val="bottom"/>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Weighted Average Number of Common Shares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13,946,194</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11,888,171</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14,001,774</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11,799,151</w:t>
            </w:r>
          </w:p>
        </w:tc>
        <w:tc>
          <w:tcPr>
            <w:tcW w:w="0" w:type="dxa"/>
            <w:vAlign w:val="bottom"/>
          </w:tcPr>
          <w:p>
            <w:pPr>
              <w:spacing w:after="0"/>
              <w:rPr>
                <w:sz w:val="1"/>
                <w:szCs w:val="1"/>
                <w:color w:val="auto"/>
              </w:rPr>
            </w:pPr>
          </w:p>
        </w:tc>
      </w:tr>
      <w:tr>
        <w:trPr>
          <w:trHeight w:val="192"/>
        </w:trPr>
        <w:tc>
          <w:tcPr>
            <w:tcW w:w="4280" w:type="dxa"/>
            <w:vAlign w:val="bottom"/>
          </w:tcPr>
          <w:p>
            <w:pPr>
              <w:ind w:left="20"/>
              <w:spacing w:after="0" w:line="192" w:lineRule="exact"/>
              <w:rPr>
                <w:sz w:val="20"/>
                <w:szCs w:val="20"/>
                <w:color w:val="auto"/>
              </w:rPr>
            </w:pPr>
            <w:r>
              <w:rPr>
                <w:rFonts w:ascii="Arial" w:cs="Arial" w:eastAsia="Arial" w:hAnsi="Arial"/>
                <w:sz w:val="18"/>
                <w:szCs w:val="18"/>
                <w:color w:val="auto"/>
              </w:rPr>
              <w:t>Weighted Average Number of Common Shares</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4280" w:type="dxa"/>
            <w:vAlign w:val="bottom"/>
            <w:tcBorders>
              <w:bottom w:val="single" w:sz="8" w:color="CCEEFF"/>
            </w:tcBorders>
          </w:tcPr>
          <w:p>
            <w:pPr>
              <w:ind w:left="20"/>
              <w:spacing w:after="0" w:line="240" w:lineRule="exact"/>
              <w:rPr>
                <w:sz w:val="20"/>
                <w:szCs w:val="20"/>
                <w:color w:val="auto"/>
              </w:rPr>
            </w:pPr>
            <w:r>
              <w:rPr>
                <w:rFonts w:ascii="Arial" w:cs="Arial" w:eastAsia="Arial" w:hAnsi="Arial"/>
                <w:sz w:val="18"/>
                <w:szCs w:val="18"/>
                <w:color w:val="auto"/>
                <w:w w:val="95"/>
              </w:rPr>
              <w:t xml:space="preserve">Applicable to OP Units using Treasury Stock Method </w:t>
            </w:r>
            <w:r>
              <w:rPr>
                <w:rFonts w:ascii="Arial" w:cs="Arial" w:eastAsia="Arial" w:hAnsi="Arial"/>
                <w:sz w:val="26"/>
                <w:szCs w:val="26"/>
                <w:color w:val="auto"/>
                <w:w w:val="95"/>
                <w:vertAlign w:val="superscript"/>
              </w:rPr>
              <w:t>(1)</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1,703,494</w:t>
            </w:r>
          </w:p>
        </w:tc>
        <w:tc>
          <w:tcPr>
            <w:tcW w:w="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1,703,494</w:t>
            </w: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1,703,494</w:t>
            </w:r>
          </w:p>
        </w:tc>
        <w:tc>
          <w:tcPr>
            <w:tcW w:w="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1,703,494</w:t>
            </w:r>
          </w:p>
        </w:tc>
        <w:tc>
          <w:tcPr>
            <w:tcW w:w="0" w:type="dxa"/>
            <w:vAlign w:val="bottom"/>
          </w:tcPr>
          <w:p>
            <w:pPr>
              <w:spacing w:after="0"/>
              <w:rPr>
                <w:sz w:val="1"/>
                <w:szCs w:val="1"/>
                <w:color w:val="auto"/>
              </w:rPr>
            </w:pPr>
          </w:p>
        </w:tc>
      </w:tr>
      <w:tr>
        <w:trPr>
          <w:trHeight w:val="209"/>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Total Shares Applicable to Diluted Earnings per Share</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15,649,688</w:t>
            </w: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13,591,665</w:t>
            </w: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15,705,268</w:t>
            </w: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13,502,645</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Per Common Share Data:</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80" w:type="dxa"/>
            <w:vAlign w:val="bottom"/>
          </w:tcPr>
          <w:p>
            <w:pPr>
              <w:ind w:left="20"/>
              <w:spacing w:after="0" w:line="201" w:lineRule="exact"/>
              <w:rPr>
                <w:sz w:val="20"/>
                <w:szCs w:val="20"/>
                <w:color w:val="auto"/>
              </w:rPr>
            </w:pPr>
            <w:r>
              <w:rPr>
                <w:rFonts w:ascii="Arial" w:cs="Arial" w:eastAsia="Arial" w:hAnsi="Arial"/>
                <w:sz w:val="18"/>
                <w:szCs w:val="18"/>
                <w:color w:val="auto"/>
              </w:rPr>
              <w:t>Net Income (Loss) Attributable to Alpine Income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Property Trust, Inc.</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30"/>
        </w:trPr>
        <w:tc>
          <w:tcPr>
            <w:tcW w:w="4280" w:type="dxa"/>
            <w:vAlign w:val="bottom"/>
          </w:tcPr>
          <w:p>
            <w:pPr>
              <w:ind w:left="220"/>
              <w:spacing w:after="0"/>
              <w:rPr>
                <w:sz w:val="20"/>
                <w:szCs w:val="20"/>
                <w:color w:val="auto"/>
              </w:rPr>
            </w:pPr>
            <w:r>
              <w:rPr>
                <w:rFonts w:ascii="Arial" w:cs="Arial" w:eastAsia="Arial" w:hAnsi="Arial"/>
                <w:sz w:val="18"/>
                <w:szCs w:val="18"/>
                <w:color w:val="auto"/>
              </w:rPr>
              <w:t>Diluted</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(0.05)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0.72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0.16</w:t>
            </w:r>
          </w:p>
        </w:tc>
        <w:tc>
          <w:tcPr>
            <w:tcW w:w="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50800</wp:posOffset>
            </wp:positionV>
            <wp:extent cx="14141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36" w:lineRule="exact"/>
        <w:rPr>
          <w:sz w:val="20"/>
          <w:szCs w:val="20"/>
          <w:color w:val="auto"/>
        </w:rPr>
      </w:pPr>
    </w:p>
    <w:p>
      <w:pPr>
        <w:jc w:val="both"/>
        <w:ind w:left="380" w:right="79" w:hanging="330"/>
        <w:spacing w:after="0" w:line="238" w:lineRule="auto"/>
        <w:tabs>
          <w:tab w:leader="none" w:pos="380" w:val="left"/>
        </w:tabs>
        <w:numPr>
          <w:ilvl w:val="0"/>
          <w:numId w:val="10"/>
        </w:numPr>
        <w:rPr>
          <w:rFonts w:ascii="Arial" w:cs="Arial" w:eastAsia="Arial" w:hAnsi="Arial"/>
          <w:sz w:val="11"/>
          <w:szCs w:val="11"/>
          <w:color w:val="auto"/>
        </w:rPr>
      </w:pPr>
      <w:r>
        <w:rPr>
          <w:rFonts w:ascii="Arial" w:cs="Arial" w:eastAsia="Arial" w:hAnsi="Arial"/>
          <w:sz w:val="14"/>
          <w:szCs w:val="14"/>
          <w:color w:val="auto"/>
        </w:rPr>
        <w:t>Represents shares underlying OP Units including (i) 1,223,854 shares underlying OP Units issued to CTO in connection with our formation transactions and (ii) 479,640 shares underlying OP Units issued to an unrelated third party in connection with the acquisition of a portfolio of properties during the year ended December 31, 2021 (see Note 13, “Equity”).</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15. SHARE REPURCHASES</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March 2020, the Board approved a $5.0 million stock repurchase program (the “2020 $5.0 Million Repurchase Program”). During the year ended December 31, 2020, the Company repurchased 456,237 shares of its common stock on the open market for a total cost of $5.0 million, or an average price per share of $11.02, which completed the 2020 $5.0 Million Repurchase Program.</w:t>
      </w:r>
    </w:p>
    <w:p>
      <w:pPr>
        <w:spacing w:after="0" w:line="187"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color w:val="auto"/>
        </w:rPr>
        <w:t>In May 2023, the Board approved a $5.0 million stock repurchase program (the “2023 $5.0 Million Repurchase Program”). Under the 2023 $5.0 Million Repurchase Program, the Company repurchased 23,889 shares of its common</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stock on the open market for a total cost of $0.4 million, or an average price per share of $15.22, during the nine months ended September 30, 2023. The Company did not repurchase any shares of its common stock under the 2023 $5.0 Million Repurchase Program during the three months ended September 30, 2023.</w:t>
      </w:r>
    </w:p>
    <w:p>
      <w:pPr>
        <w:spacing w:after="0" w:line="184" w:lineRule="exact"/>
        <w:rPr>
          <w:sz w:val="20"/>
          <w:szCs w:val="20"/>
          <w:color w:val="auto"/>
        </w:rPr>
      </w:pPr>
    </w:p>
    <w:p>
      <w:pPr>
        <w:jc w:val="both"/>
        <w:ind w:left="60" w:right="59" w:firstLine="383"/>
        <w:spacing w:after="0" w:line="257" w:lineRule="auto"/>
        <w:rPr>
          <w:sz w:val="20"/>
          <w:szCs w:val="20"/>
          <w:color w:val="auto"/>
        </w:rPr>
      </w:pPr>
      <w:r>
        <w:rPr>
          <w:rFonts w:ascii="Arial" w:cs="Arial" w:eastAsia="Arial" w:hAnsi="Arial"/>
          <w:sz w:val="18"/>
          <w:szCs w:val="18"/>
          <w:color w:val="auto"/>
        </w:rPr>
        <w:t>In July 2023, the Board approved a $15.0 million stock repurchase program (the “2023 $15.0 Million Repurchase Program”). The 2023 $15.0 Million Repurchase Program replaced the 2023 $5.0 Million Repurchase Program. Under the 2023 $15.0 Million Repurchase Program, the Company repurchased 280,332 shares of its common stock on the open market for a total cost of $4.7 million, or an average price per share of $16.78, during the three months ended September 30, 2023.</w:t>
      </w:r>
    </w:p>
    <w:p>
      <w:pPr>
        <w:spacing w:after="0" w:line="188" w:lineRule="exact"/>
        <w:rPr>
          <w:sz w:val="20"/>
          <w:szCs w:val="20"/>
          <w:color w:val="auto"/>
        </w:rPr>
      </w:pPr>
    </w:p>
    <w:p>
      <w:pPr>
        <w:jc w:val="both"/>
        <w:ind w:left="60" w:right="79" w:firstLine="324"/>
        <w:spacing w:after="0" w:line="286" w:lineRule="auto"/>
        <w:rPr>
          <w:sz w:val="20"/>
          <w:szCs w:val="20"/>
          <w:color w:val="auto"/>
        </w:rPr>
      </w:pPr>
      <w:r>
        <w:rPr>
          <w:rFonts w:ascii="Arial" w:cs="Arial" w:eastAsia="Arial" w:hAnsi="Arial"/>
          <w:sz w:val="17"/>
          <w:szCs w:val="17"/>
          <w:color w:val="auto"/>
        </w:rPr>
        <w:t>In aggregate, the Company repurchased 304,221 shares of its common stock on the open market for a total cost of $5.1 million, or an average price per share of $16.66, during the nine months ended September 30, 2023. There were no repurchases of the Company’s common stock during the nine months ended September 30, 2022.</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16. STOCK-BASED COMPENSATION</w:t>
      </w:r>
    </w:p>
    <w:p>
      <w:pPr>
        <w:spacing w:after="0" w:line="229" w:lineRule="exact"/>
        <w:rPr>
          <w:sz w:val="20"/>
          <w:szCs w:val="20"/>
          <w:color w:val="auto"/>
        </w:rPr>
      </w:pPr>
    </w:p>
    <w:p>
      <w:pPr>
        <w:jc w:val="both"/>
        <w:ind w:left="60" w:right="59" w:firstLine="486"/>
        <w:spacing w:after="0" w:line="255" w:lineRule="auto"/>
        <w:rPr>
          <w:sz w:val="20"/>
          <w:szCs w:val="20"/>
          <w:color w:val="auto"/>
        </w:rPr>
      </w:pPr>
      <w:r>
        <w:rPr>
          <w:rFonts w:ascii="Arial" w:cs="Arial" w:eastAsia="Arial" w:hAnsi="Arial"/>
          <w:sz w:val="18"/>
          <w:szCs w:val="18"/>
          <w:color w:val="auto"/>
        </w:rPr>
        <w:t>In connection with the closing of the IPO, the Company adopted the Individual Equity Incentive Plan (the “Individual Plan”) and the Manager Equity Incentive Plan (the “Manager Plan”), which are collectively referred to herein as the Equity Incentive Plans. The purpose of the Equity Incentive Plans is to provide equity incentive opportunities to members of the Manager’s management team and employees who perform services for the Company, the Company’s independent directors, advisers, consultants and other personnel, either individually or via grants of incentive equity to the Manager.</w:t>
      </w:r>
    </w:p>
    <w:p>
      <w:pPr>
        <w:spacing w:after="0" w:line="192" w:lineRule="exact"/>
        <w:rPr>
          <w:sz w:val="20"/>
          <w:szCs w:val="20"/>
          <w:color w:val="auto"/>
        </w:rPr>
      </w:pPr>
    </w:p>
    <w:p>
      <w:pPr>
        <w:jc w:val="both"/>
        <w:ind w:left="60" w:right="59" w:firstLine="492"/>
        <w:spacing w:after="0" w:line="285" w:lineRule="auto"/>
        <w:rPr>
          <w:sz w:val="20"/>
          <w:szCs w:val="20"/>
          <w:color w:val="auto"/>
        </w:rPr>
      </w:pPr>
      <w:r>
        <w:rPr>
          <w:rFonts w:ascii="Arial" w:cs="Arial" w:eastAsia="Arial" w:hAnsi="Arial"/>
          <w:sz w:val="16"/>
          <w:szCs w:val="16"/>
          <w:color w:val="auto"/>
        </w:rPr>
        <w:t>On November 26, 2019, the Company granted restricted shares of common stock to each of the Company’s initial non-employee directors under the Individual Plan. Each of the initial non-employee directors received an award of 2,000 restricted shares of common stock on November 26, 2019. The restricted shares vested in substantially equal installments on each of the first, second and third anniversaries of the grant date. As of December 31, 2022, all increments of this award had vested. In addition, the restricted shares are subject to a holding period beginning on the grant date and ending on the date that the grantee ceases to serve as a member of the Board (the “Holding Period”). During the Holding Period, the restricted shares may not be sold, pledged or otherwise transferred by the grantee. Except for the one-time IPO-related grant of these 8,000 restricted shares of common stock, and the shares of common stock issued quarterly to the non-employee directors in lieu of cash retainer fees (pursuant to the directors’ annual election under the Company’s Non-Employee Director Compensation Policy), the Company has not made any grants under the Equity Incentive Plans. Any future grants under the Equity Incentive Plans will be approved by the compensation committee of the Board. The 2019 non-employee director share awards had an aggregate grant date fair value of $0.15 million. The Company’s determination of the grant date fair value of the three-year vest restricted stock awards was calculated by multiplying the number of shares issued by the Company’s stock price at the grant date. Compensation cost was recognized on a straight-line basis over the vesting period and is included in general and administrative expenses in the Company’s consolidated statements of operations. Award forfeitures are accounted for in the period in which they occur.</w:t>
      </w:r>
    </w:p>
    <w:p>
      <w:pPr>
        <w:spacing w:after="0" w:line="176"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Each non-employee member of the Board has the option to receive his or her annual retainer fee in shares of Company common stock rather than cash. The number of shares issued to the directors making such election is calculated quarterly by dividing the amount of the quarterly retainer fee payment due to such director by the 20-day trailing average closing price of the Company’s common stock as of the last business day of the calendar quarter, rounded down to the nearest whole number of shares. During the nine months ended September 30, 2023, the expense recognized for the value of the Company’s common stock received by non-employee directors totaled $0.2 million, or 14,464 shares, of which 4,776 shares were issued on April 3, 2023, 4,940 shares were issued on July 3, 2023, and 4,748 shares were issued on October 2, 2023. During the nine months ended September 30, 2022, the expense recognized for the value of the Company’s common stock received by non-employee directors totaled $0.2 million, or 10,977 shares, of which 3,514 shares were issued on April 1, 2022, 3,689 shares were issued on July 1, 2022, and 3,774 shares were issued on October 3, 2022.</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Stock compensation expense for the three and nine months ended September 30, 2023 and 2022 is summarized as follows (in thousands):</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20" w:type="dxa"/>
            <w:vAlign w:val="bottom"/>
            <w:gridSpan w:val="5"/>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260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34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rPr>
              <w:t>September 30,</w:t>
            </w: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87"/>
              </w:rPr>
              <w:t>September 30,</w:t>
            </w:r>
          </w:p>
        </w:tc>
      </w:tr>
      <w:tr>
        <w:trPr>
          <w:trHeight w:val="234"/>
        </w:trPr>
        <w:tc>
          <w:tcPr>
            <w:tcW w:w="34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r>
      <w:tr>
        <w:trPr>
          <w:trHeight w:val="182"/>
        </w:trPr>
        <w:tc>
          <w:tcPr>
            <w:tcW w:w="34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Stock Compensation Expense – Director</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02"/>
        </w:trPr>
        <w:tc>
          <w:tcPr>
            <w:tcW w:w="3400" w:type="dxa"/>
            <w:vAlign w:val="bottom"/>
          </w:tcPr>
          <w:p>
            <w:pPr>
              <w:ind w:left="20"/>
              <w:spacing w:after="0" w:line="201" w:lineRule="exact"/>
              <w:rPr>
                <w:sz w:val="20"/>
                <w:szCs w:val="20"/>
                <w:color w:val="auto"/>
              </w:rPr>
            </w:pPr>
            <w:r>
              <w:rPr>
                <w:rFonts w:ascii="Arial" w:cs="Arial" w:eastAsia="Arial" w:hAnsi="Arial"/>
                <w:sz w:val="18"/>
                <w:szCs w:val="18"/>
                <w:color w:val="auto"/>
              </w:rPr>
              <w:t>Stock Compensation Expense – Director</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0"/>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Retainers Paid in Stock</w:t>
            </w: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r>
      <w:tr>
        <w:trPr>
          <w:trHeight w:val="209"/>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 Compensation Expense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0"/>
        </w:trPr>
        <w:tc>
          <w:tcPr>
            <w:tcW w:w="3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17. RELATED PARTY MANAGEMENT COMPANY</w:t>
      </w:r>
    </w:p>
    <w:p>
      <w:pPr>
        <w:spacing w:after="0" w:line="216"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We are externally managed by the Manager, a wholly owned subsidiary of CTO. Subsequent to the IPO, through September 30, 2023, CTO has purchased an aggregate of 293,024 shares of PINE common stock in the open market including (i) 129,271 shares purchased during the nine months ended September 30, 2023 for $2.1 million, or an average price per share of $16.21 (ii) 155,665 shares purchased during the year ended December 31, 2022 for $2.7 million, or an average price per share of $17.57 and (iii) 8,088 shares purchased during the year ended December 31, 2021 for $0.1 million, or an average price per share of $17.65.</w:t>
      </w:r>
    </w:p>
    <w:p>
      <w:pPr>
        <w:spacing w:after="0" w:line="192"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As of September 30, 2023, CTO owns, in the aggregate, 1,223,854 OP Units and 1,108,814 shares of PINE common stock, inclusive of (i) 394,737 shares of common stock totaling $7.5 million issued in connection with a private placement that closed concurrently with the IPO, (ii) 421,053 shares of common stock totaling $8.0 million issued in connection with the IPO, and (iii) 293,024 shares of common stock totaling $5.0 million purchased by CTO subsequent to the IPO. The aggregate 1,223,854 OP Units and 1,108,814 shares of PINE common stock held by CTO represent an investment totaling $38.2 million, or 15.1% of PINE’s outstanding equity, as of September 30, 2023.</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Management Agreement</w:t>
      </w:r>
    </w:p>
    <w:p>
      <w:pPr>
        <w:spacing w:after="0" w:line="22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On November 26, 2019, the Operating Partnership and PINE entered into a management agreement with the Manager (the “Management Agreement”). Pursuant to the terms of the Management Agreement, our Manager manages, operates and administers our day-to-day operations, business and affairs, subject to the direction and supervision of the Board and in accordance with the investment guidelines approved and monitored by the Board. We pay our Manager a base management fee equal to 0.375% per quarter of our “total equity” (as defined in the Management Agreement and based on a 1.5% annual rate), calculated and payable in cash, quarterly in arrears.</w:t>
      </w:r>
    </w:p>
    <w:p>
      <w:pPr>
        <w:spacing w:after="0" w:line="178"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Our Manager has the ability to earn an annual incentive fee based on our total stockholder return exceeding an 8% cumulative annual hurdle rate (the “Outperformance Amount”) subject to a high-water mark price. We would pay our Manager an incentive fee with respect to each annual measurement period in the amount of the greater of (i) $0.00 and (ii) the product of (a) 15% multiplied by (b) the Outperformance Amount multiplied by (c) the weighted average shares. No incentive fee was due for the year ended December 31, 2022.</w:t>
      </w:r>
    </w:p>
    <w:p>
      <w:pPr>
        <w:spacing w:after="0" w:line="18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initial term of the Management Agreement will expire on November 26, 2024 and will automatically renew for an unlimited number of successive one-year periods thereafter, unless the agreement is not renewed or is terminated in accordance with its terms.</w:t>
      </w:r>
    </w:p>
    <w:p>
      <w:pPr>
        <w:spacing w:after="0" w:line="184"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Our independent directors review our Manager’s performance and the management fees annually and, following the initial term, the Management Agreement may be terminated annually upon the affirmative vote of two-thirds of our independent directors or upon a determination by the holders of a majority of the outstanding shares of our common stock, based upon (i) unsatisfactory performance by the Manager that is materially detrimental to us or (ii) a determination that the management fees payable to our Manager are not fair, subject to our Manager’s right to prevent such termination due to unfair fees by accepting a reduction of management fees agreed to by two-thirds of our independent directors. We may also terminate the Management Agreement for cause at any time, including during the initial term, without the payment</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of any termination fee, with 30 days’ prior written notice from the Board. During the initial term of the Management Agreement, we may not terminate the Management Agreement except for cause.</w:t>
      </w:r>
    </w:p>
    <w:p>
      <w:pPr>
        <w:spacing w:after="0" w:line="170"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We pay directly or reimburse our Manager for certain expenses, if incurred by our Manager. We do not reimburse any compensation expenses incurred by our Manager or its affiliates. Expense reimbursements to our Manager are made in cash on a quarterly basis following the end of each quarter. In addition, we pay all of our operating expenses, except those specifically required to be borne by our Manager pursuant to the Management Agreement.</w:t>
      </w:r>
    </w:p>
    <w:p>
      <w:pPr>
        <w:spacing w:after="0" w:line="171"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The Company incurred management fee expenses totaling $1.1 million and $3.3 million during the three and nine months ended September 30, 2023, respectively. The Company also paid dividends on the common stock and OP Units owned by affiliates of the Manager in the amount of $0.6 million and $1.9 million for the three and nine months ended September 30, 2023, respectively. The Company incurred management fee expenses totaling $0.9 million and $2.8 million during the three and nine months ended September 30, 2022, respectively. The Company also paid dividends on the common stock and OP Units owned by affiliates of the Manager in the amount of $0.6 million and $1.7 million for the three and nine months ended September 30, 2022, respectively.</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represents amounts due to (from) CTO (in thousands):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8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Description</w:t>
            </w:r>
          </w:p>
        </w:tc>
        <w:tc>
          <w:tcPr>
            <w:tcW w:w="1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As of</w:t>
            </w:r>
          </w:p>
        </w:tc>
        <w:tc>
          <w:tcPr>
            <w:tcW w:w="17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86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2023</w:t>
            </w:r>
          </w:p>
        </w:tc>
        <w:tc>
          <w:tcPr>
            <w:tcW w:w="180" w:type="dxa"/>
            <w:vAlign w:val="bottom"/>
          </w:tcPr>
          <w:p>
            <w:pPr>
              <w:spacing w:after="0"/>
              <w:rPr>
                <w:sz w:val="18"/>
                <w:szCs w:val="18"/>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December 31, 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Management Fee due to CTO</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Borders>
              <w:bottom w:val="single" w:sz="8" w:color="CCEEFF"/>
            </w:tcBorders>
            <w:gridSpan w:val="3"/>
            <w:shd w:val="clear" w:color="auto" w:fill="CCEEFF"/>
          </w:tcPr>
          <w:p>
            <w:pPr>
              <w:ind w:left="20"/>
              <w:spacing w:after="0" w:line="210" w:lineRule="exact"/>
              <w:rPr>
                <w:sz w:val="20"/>
                <w:szCs w:val="20"/>
                <w:color w:val="auto"/>
              </w:rPr>
            </w:pPr>
            <w:r>
              <w:rPr>
                <w:rFonts w:ascii="Arial" w:cs="Arial" w:eastAsia="Arial" w:hAnsi="Arial"/>
                <w:sz w:val="17"/>
                <w:szCs w:val="17"/>
                <w:color w:val="auto"/>
              </w:rPr>
              <w:t xml:space="preserve">Total </w:t>
            </w:r>
            <w:r>
              <w:rPr>
                <w:rFonts w:ascii="Arial" w:cs="Arial" w:eastAsia="Arial" w:hAnsi="Arial"/>
                <w:sz w:val="24"/>
                <w:szCs w:val="24"/>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240" w:type="dxa"/>
            <w:vAlign w:val="bottom"/>
            <w:tcBorders>
              <w:bottom w:val="single" w:sz="8" w:color="auto"/>
            </w:tcBorders>
          </w:tcPr>
          <w:p>
            <w:pPr>
              <w:spacing w:after="0"/>
              <w:rPr>
                <w:sz w:val="6"/>
                <w:szCs w:val="6"/>
                <w:color w:val="auto"/>
              </w:rPr>
            </w:pPr>
          </w:p>
        </w:tc>
        <w:tc>
          <w:tcPr>
            <w:tcW w:w="2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380" w:hanging="330"/>
        <w:spacing w:after="0"/>
        <w:tabs>
          <w:tab w:leader="none" w:pos="380" w:val="left"/>
        </w:tabs>
        <w:numPr>
          <w:ilvl w:val="0"/>
          <w:numId w:val="11"/>
        </w:numPr>
        <w:rPr>
          <w:rFonts w:ascii="Arial" w:cs="Arial" w:eastAsia="Arial" w:hAnsi="Arial"/>
          <w:sz w:val="11"/>
          <w:szCs w:val="11"/>
          <w:color w:val="auto"/>
        </w:rPr>
      </w:pPr>
      <w:r>
        <w:rPr>
          <w:rFonts w:ascii="Arial" w:cs="Arial" w:eastAsia="Arial" w:hAnsi="Arial"/>
          <w:sz w:val="14"/>
          <w:szCs w:val="14"/>
          <w:color w:val="auto"/>
        </w:rPr>
        <w:t>Included in accrued expenses, see Note 10, “Accounts Payable, Accrued Expenses, and Other Liabilities”.</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ROFO Agreement</w:t>
      </w:r>
    </w:p>
    <w:p>
      <w:pPr>
        <w:spacing w:after="0" w:line="198"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On November 26, 2019, PINE also entered into an Exclusivity and Right of First Offer Agreement with CTO (the “ROFO Agreement”). During the term of the ROFO Agreement, CTO will not, and will cause each of its affiliates (which for purposes of the ROFO Agreement will not include our company and our subsidiaries) not to, acquire, directly or indirectly, a single-tenant, net leased property, unless CTO has notified us of the opportunity and we have affirmatively rejected the opportunity to acquire the applicable property or properties.</w:t>
      </w:r>
    </w:p>
    <w:p>
      <w:pPr>
        <w:spacing w:after="0" w:line="188"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 terms of the ROFO Agreement do not restrict CTO or any of its affiliates from providing financing for a third party’s acquisition of single-tenant, net leased properties or from developing and owning any single-tenant, net leased property.</w:t>
      </w:r>
    </w:p>
    <w:p>
      <w:pPr>
        <w:spacing w:after="0" w:line="3" w:lineRule="exact"/>
        <w:rPr>
          <w:sz w:val="20"/>
          <w:szCs w:val="20"/>
          <w:color w:val="auto"/>
        </w:rPr>
      </w:pPr>
    </w:p>
    <w:p>
      <w:pPr>
        <w:jc w:val="both"/>
        <w:ind w:left="60" w:right="59" w:firstLine="324"/>
        <w:spacing w:after="0" w:line="295" w:lineRule="auto"/>
        <w:rPr>
          <w:sz w:val="20"/>
          <w:szCs w:val="20"/>
          <w:color w:val="auto"/>
        </w:rPr>
      </w:pPr>
      <w:r>
        <w:rPr>
          <w:rFonts w:ascii="Arial" w:cs="Arial" w:eastAsia="Arial" w:hAnsi="Arial"/>
          <w:sz w:val="16"/>
          <w:szCs w:val="16"/>
          <w:color w:val="auto"/>
        </w:rPr>
        <w:t>Pursuant to the ROFO Agreement, neither CTO nor any of its affiliates (which for purposes of the ROFO Agreement does not include our company and our subsidiaries) may sell to any third party any single-tenant, net leased property that was owned by CTO or any of its affiliates as of the closing date of the IPO or that is developed and owned by CTO or any of its affiliates after the closing date of the IPO, without first offering us the right to purchase such property.</w:t>
      </w:r>
    </w:p>
    <w:p>
      <w:pPr>
        <w:spacing w:after="0" w:line="161"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term of the ROFO Agreement will continue for so long as the Management Agreement with our Manager is in effect.</w:t>
      </w:r>
    </w:p>
    <w:p>
      <w:pPr>
        <w:spacing w:after="0" w:line="170" w:lineRule="exact"/>
        <w:rPr>
          <w:sz w:val="20"/>
          <w:szCs w:val="20"/>
          <w:color w:val="auto"/>
        </w:rPr>
      </w:pPr>
    </w:p>
    <w:p>
      <w:pPr>
        <w:jc w:val="both"/>
        <w:ind w:left="60" w:right="79" w:firstLine="324"/>
        <w:spacing w:after="0" w:line="308" w:lineRule="auto"/>
        <w:rPr>
          <w:sz w:val="20"/>
          <w:szCs w:val="20"/>
          <w:color w:val="auto"/>
        </w:rPr>
      </w:pPr>
      <w:r>
        <w:rPr>
          <w:rFonts w:ascii="Arial" w:cs="Arial" w:eastAsia="Arial" w:hAnsi="Arial"/>
          <w:sz w:val="17"/>
          <w:szCs w:val="17"/>
          <w:color w:val="auto"/>
        </w:rPr>
        <w:t>On April 6, 2021, the Company entered into a purchase and sale agreement with a certain subsidiary of CTO for the purchase of one net lease property for $11.5 million. The acquisition was completed on April 23, 2021.</w:t>
      </w:r>
    </w:p>
    <w:p>
      <w:pPr>
        <w:spacing w:after="0" w:line="146"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On April 2, 2021, the Company entered into a purchase and sale agreement with certain subsidiaries of CTO for the purchase of six net lease properties (the “CMBS Portfolio”). The terms of the purchase and sale agreement, as amended on April 20, 2021, provided a total purchase price of $44.5 million for the CMBS Portfolio. The acquisition of the CMBS Portfolio was completed on June 30, 2021.</w:t>
      </w:r>
    </w:p>
    <w:p>
      <w:pPr>
        <w:spacing w:after="0" w:line="187" w:lineRule="exact"/>
        <w:rPr>
          <w:sz w:val="20"/>
          <w:szCs w:val="20"/>
          <w:color w:val="auto"/>
        </w:rPr>
      </w:pPr>
    </w:p>
    <w:p>
      <w:pPr>
        <w:jc w:val="both"/>
        <w:ind w:left="60" w:right="79" w:firstLine="324"/>
        <w:spacing w:after="0" w:line="308" w:lineRule="auto"/>
        <w:rPr>
          <w:sz w:val="20"/>
          <w:szCs w:val="20"/>
          <w:color w:val="auto"/>
        </w:rPr>
      </w:pPr>
      <w:r>
        <w:rPr>
          <w:rFonts w:ascii="Arial" w:cs="Arial" w:eastAsia="Arial" w:hAnsi="Arial"/>
          <w:sz w:val="17"/>
          <w:szCs w:val="17"/>
          <w:color w:val="auto"/>
        </w:rPr>
        <w:t>On January 5, 2022, the Company entered into a purchase and sale agreement with a certain subsidiary of CTO for the purchase of one net lease property for $6.9 million. The acquisition was completed on January 7, 2022.</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324"/>
        <w:spacing w:after="0" w:line="308" w:lineRule="auto"/>
        <w:rPr>
          <w:sz w:val="20"/>
          <w:szCs w:val="20"/>
          <w:color w:val="auto"/>
        </w:rPr>
      </w:pPr>
      <w:r>
        <w:rPr>
          <w:rFonts w:ascii="Arial" w:cs="Arial" w:eastAsia="Arial" w:hAnsi="Arial"/>
          <w:sz w:val="17"/>
          <w:szCs w:val="17"/>
          <w:color w:val="auto"/>
        </w:rPr>
        <w:t>The entry into these purchase and sale agreements, and subsequent completion of the related acquisitions, are a result of the Company exercising its right to purchase the aforementioned properties under the ROFO Agreement.</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Conflicts of Interest</w:t>
      </w:r>
    </w:p>
    <w:p>
      <w:pPr>
        <w:spacing w:after="0" w:line="198"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Conflicts of interest may exist or could arise in the future with CTO and its affiliates, including our Manager, the individuals who serve as our executive officers and executive officers of CTO, any individual who serves as a director of our company and as a director of CTO and any limited partner of the Operating Partnership. Conflicts may include, without limitation: conflicts arising from the enforcement of agreements between us and CTO or our Manager; conflicts in the amount of time that executive officers and employees of CTO, who are provided to us through our Manager, will spend on our affairs versus CTO’s affairs; and conflicts in future transactions that we may pursue with CTO and its affiliates. We do not generally expect to enter into joint ventures with CTO, but if we do so, the terms and conditions of our joint venture investment will be subject to the approval of a majority of disinterested directors of the Board.</w:t>
      </w:r>
    </w:p>
    <w:p>
      <w:pPr>
        <w:spacing w:after="0" w:line="178"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In addition, we are subject to conflicts of interest arising out of our relationships with our Manager. Pursuant to the Management Agreement, our Manager is obligated to supply us with our senior management team. However, our Manager is not obligated to dedicate any specific CTO personnel exclusively to us, nor are the CTO personnel provided to us by our Manager obligated to dedicate any specific portion of their time to the management of our business. Additionally, our Manager is a wholly owned subsidiary of CTO. All of our executive officers are executive officers and employees of CTO and one of our officers (John P. Albright) is also a member of CTO’s board of directors. As a result, our Manager and the CTO personnel it provides to us may have conflicts between their duties to us and their duties to, and interests in, CTO.</w:t>
      </w:r>
    </w:p>
    <w:p>
      <w:pPr>
        <w:spacing w:after="0" w:line="166"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We may acquire, sell, or finance net leased properties that would potentially fit the investment criteria for our Manager or its affiliates. Similarly, our Manager or its affiliates may acquire, sell, or finance net leased properties that would potentially fit our investment criteria. Although such acquisitions or dispositions could present conflicts of interest, we nonetheless may pursue and consummate such transactions. Additionally, we may engage in transactions directly with our Manager or its affiliates, including the purchase and sale of all or a portion of a portfolio of assets. If we acquire a net leased property from CTO or one of its affiliates or sell a net leased property to CTO or one of its affiliates, the purchase price we pay to CTO or one of its affiliates or the purchase price paid to us by CTO or one of its affiliates may be higher or lower, respectively, than the purchase price that would have been paid to or by us if the transaction were the result of arm’s length negotiations with an unaffiliated third party.</w:t>
      </w:r>
    </w:p>
    <w:p>
      <w:pPr>
        <w:spacing w:after="0" w:line="181"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In deciding whether to issue additional debt or equity securities, we will rely, in part, on recommendations made by our Manager. While such decisions are subject to the approval of the Board, our Manager is entitled to be paid a base management fee that is based on our “total equity” (as defined in the Management Agreement). As a result, our Manager may have an incentive to recommend that we issue additional equity securities at dilutive prices.</w:t>
      </w:r>
    </w:p>
    <w:p>
      <w:pPr>
        <w:spacing w:after="0" w:line="171"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All of our executive officers are executive officers and employees of CTO. These individuals and other CTO personnel provided to us through our Manager devote as much time to us as our Manager deems appropriate. However, our executive officers and other CTO personnel provided to us through our Manager may have conflicts in allocating their time and services between us, on the one hand, and CTO and its affiliates, on the other. During a period of prolonged economic weakness or another economic downturn affecting the real estate industry or at other times when we need focused support and assistance from our Manager and the CTO executive officers and other personnel provided to us through our Manager, we may not receive the necessary support and assistance we require or that we would otherwise receive if we were self-managed.</w:t>
      </w:r>
    </w:p>
    <w:p>
      <w:pPr>
        <w:spacing w:after="0" w:line="192"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Additionally, the ROFO Agreement does contain exceptions to CTO’s exclusivity for opportunities that include only an incidental interest in single-tenant, net leased properties. Accordingly, the ROFO Agreement will not prevent CTO from pursuing certain acquisition opportunities that otherwise satisfy our then-current investment criteria.</w:t>
      </w:r>
    </w:p>
    <w:p>
      <w:pPr>
        <w:spacing w:after="0" w:line="165" w:lineRule="exact"/>
        <w:rPr>
          <w:sz w:val="20"/>
          <w:szCs w:val="20"/>
          <w:color w:val="auto"/>
        </w:rPr>
      </w:pPr>
    </w:p>
    <w:p>
      <w:pPr>
        <w:jc w:val="both"/>
        <w:ind w:left="60" w:right="79" w:firstLine="324"/>
        <w:spacing w:after="0" w:line="301" w:lineRule="auto"/>
        <w:rPr>
          <w:sz w:val="20"/>
          <w:szCs w:val="20"/>
          <w:color w:val="auto"/>
        </w:rPr>
      </w:pPr>
      <w:r>
        <w:rPr>
          <w:rFonts w:ascii="Arial" w:cs="Arial" w:eastAsia="Arial" w:hAnsi="Arial"/>
          <w:sz w:val="16"/>
          <w:szCs w:val="16"/>
          <w:color w:val="auto"/>
        </w:rPr>
        <w:t>Our directors and executive officers have duties to our company under applicable Maryland law in connection with their management of our company. At the same time, PINE GP has fiduciary duties, as the general partner, to the Operating Partnership and to the limited partners under Delaware law in connection with the management of the Operating Partnership. These duties as a general partner to the Operating Partnership and its partners may come into conflict with the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duties of our directors and executive officers to us. Unless otherwise provided for in the relevant partnership agreement, Delaware law generally requires a general partner of a Delaware limited partnership to adhere to fiduciary duty standards under which it owes its limited partners the highest duties of loyalty and care and which generally prohibits such general partner from taking any action or engaging in any transaction as to which it has a conflict of interest. The partnership agreement provides that in the event of a conflict between the interests of our stockholders on the one hand and the limited partners of the Operating Partnership on the other hand, PINE GP will endeavor in good faith to resolve the conflict in a manner not adverse to either our stockholders or the limited partners; provided, however, that so long as we own a controlling interest in the Operating Partnership, any such conflict that we, in our sole and absolute discretion, determine cannot be resolved in a manner not adverse to either our stockholders or the limited partners of the Operating Partnership shall be resolved in favor of our stockholders, and we shall not be liable for monetary damages for losses sustained, liabilities incurred or benefits not derived by the limited partners in connection with such decisions.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18.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LEGAL PROCEEDINGS</w:t>
      </w:r>
    </w:p>
    <w:p>
      <w:pPr>
        <w:spacing w:after="0" w:line="198" w:lineRule="exact"/>
        <w:rPr>
          <w:sz w:val="20"/>
          <w:szCs w:val="20"/>
          <w:color w:val="auto"/>
        </w:rPr>
      </w:pPr>
    </w:p>
    <w:p>
      <w:pPr>
        <w:jc w:val="both"/>
        <w:ind w:left="60" w:right="79" w:firstLine="389"/>
        <w:spacing w:after="0" w:line="263" w:lineRule="auto"/>
        <w:rPr>
          <w:sz w:val="20"/>
          <w:szCs w:val="20"/>
          <w:color w:val="auto"/>
        </w:rPr>
      </w:pPr>
      <w:r>
        <w:rPr>
          <w:rFonts w:ascii="Arial" w:cs="Arial" w:eastAsia="Arial" w:hAnsi="Arial"/>
          <w:sz w:val="18"/>
          <w:szCs w:val="18"/>
          <w:color w:val="auto"/>
        </w:rPr>
        <w:t>From time to time, the Company may be a party to certain legal proceedings, incidental to the normal course of business. The Company is not currently a party to any pending or threatened legal proceedings that we believe could have a material adverse effect on the Company’s business or financial condition.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CONTRACTUAL COMMITMENTS – EXPENDITURES</w:t>
      </w:r>
    </w:p>
    <w:p>
      <w:pPr>
        <w:spacing w:after="0" w:line="225" w:lineRule="exact"/>
        <w:rPr>
          <w:sz w:val="20"/>
          <w:szCs w:val="20"/>
          <w:color w:val="auto"/>
        </w:rPr>
      </w:pPr>
    </w:p>
    <w:p>
      <w:pPr>
        <w:jc w:val="both"/>
        <w:ind w:left="60" w:right="59" w:firstLine="389"/>
        <w:spacing w:after="0" w:line="277" w:lineRule="auto"/>
        <w:rPr>
          <w:sz w:val="20"/>
          <w:szCs w:val="20"/>
          <w:color w:val="auto"/>
        </w:rPr>
      </w:pPr>
      <w:r>
        <w:rPr>
          <w:rFonts w:ascii="Arial" w:cs="Arial" w:eastAsia="Arial" w:hAnsi="Arial"/>
          <w:sz w:val="18"/>
          <w:szCs w:val="18"/>
          <w:color w:val="auto"/>
        </w:rPr>
        <w:t>The Company is committed to fund one construction loan as described in Note 4, “Commercial Loans and Investments”. The unfunded portion of the construction loan totaled $0.9 million as of September 30, 2023.</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19. SUBSEQUENT EVENTS</w:t>
      </w:r>
    </w:p>
    <w:p>
      <w:pPr>
        <w:spacing w:after="0" w:line="243"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Subsequent events and transactions were evaluated through October 19, 2023, the date the consolidated financial statements were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6"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i w:val="1"/>
          <w:iCs w:val="1"/>
          <w:color w:val="auto"/>
        </w:rPr>
        <w:t>When we refer to “we,” “us,” “our,” or “the Company,” we mean Alpine Income Property Trust, Inc. and its consolidated subsidiaries. References to “Notes to Financial Statements” refer to the Notes to the Consolidated Financial Statements of Alpine Income Property Trust, Inc. included in this Quarterly Report on Form 10-Q. Some of the comments we make in this section are forward-looking statements within the meaning of the federal securities laws. For a complete discussion of forward-looking statements, see the section below entitled “Special Note Regarding Forward-Looking Statements.” Certain factors that could cause actual results or events to differ materially from those the Company anticipates or projects are described in “Item 1A. Risk Factors” of the Company’s Annual Report on Form 10-K for the year ended December 31, 2022 and of this Quarterly Report on Form 10-Q.</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This Report contains “forward-looking statements” within the meaning of the Private Securities Litigation Reform Act of 1995 (set forth in Section 27A of the Securities Act of 1933, as amended, and Section 21E of the Securities Exchange Act of 1934, as amended (the “Exchange Act”)). The words “believe,” “estimate,” “expect,” “intend,” “anticipate,” “will,” “could,” “may,” “should,” “plan,” “potential,” “predict,” “forecast,” “project,” and similar expressions and variations thereof identify certain of such forward-looking statements, which speak only as of the dates on which they were made. Forward-looking statements are made based upon management’s expectations and beliefs concerning future developments and their potential effect upon the Company. There can be no assurance that future developments will be in accordance with management’s expectations or that the effect of future developments on the Company will be those anticipated by management.</w:t>
      </w:r>
    </w:p>
    <w:p>
      <w:pPr>
        <w:spacing w:after="0" w:line="196"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Because forward-looking statements relate to the future, by their nature, they are subject to inherent uncertainties, risks and changes in circumstances that are difficult to predict. These risks and uncertainties include, but are not limited to, the strength of the real estate market; the impact of a prolonged recession or downturn in economic conditions; our ability to successfully execute acquisition or development strategies; credit risk associated with us investing in commercial loans and investments; any loss of key management personnel; changes in local, regional, national and global economic conditions affecting the real estate development business and properties, including unstable macroeconomic conditions due to, among other things, geopolitical conflicts, inflation, rising interest rates, and distress in the banking sector; the impact of competitive real estate activity; the loss of any major property tenants; the ultimate geographic spread, severity and duration of pandemics, actions that may be taken by governmental authorities to contain or address the impact of such pandemics, and the potential negative impacts of such pandemics on the global economy and our financial condition and results of operations; and the availability of capital. These risks and uncertainties may cause our actual future results to be materially different than those expressed in our forward-looking statements.</w:t>
      </w:r>
    </w:p>
    <w:p>
      <w:pPr>
        <w:spacing w:after="0" w:line="168"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See “Item 1A. Risk Factors” of the Company’s Annual Report on Form 10-K for the year ended December 31, 2022 and of this Quarterly Report on Form 10-Q for further discussion of these risks, as well as additional risks and uncertainties that could cause actual results or events to differ materially from those described in the Company’s forward-looking statements. Given these risks and uncertainties, readers are cautioned not to place undue reliance on such statements, which speak only as of the date of this Quarterly Report on Form 10-Q. The Company undertakes no obligation to publicly release any revisions to these forward-looking statements that may be made to reflect events or circumstances after the date of this Quarterly Report on Form 10-Q.</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color w:val="auto"/>
        </w:rPr>
        <w:t>Alpine Income Property Trust, Inc. is a Maryland corporation that conducts its operations so as to qualify as a REIT for U.S. federal income tax purposes. Substantially all of the operations are conducted through our Operating Partnership.</w:t>
      </w:r>
    </w:p>
    <w:p>
      <w:pPr>
        <w:spacing w:after="0" w:line="124"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seek to acquire, own and operate primarily freestanding, commercial retail real estate properties located in the United States primarily leased pursuant to long-term net leases. We target tenants in industries that we believe are favorably impacted by macroeconomic trends that support consumer spending, stable and growing employment, and positive consumer sentiment, as well as tenants in industries that have demonstrated resistance to the impact of the e-commerce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3" w:lineRule="auto"/>
        <w:rPr>
          <w:sz w:val="20"/>
          <w:szCs w:val="20"/>
          <w:color w:val="auto"/>
        </w:rPr>
      </w:pPr>
      <w:r>
        <w:rPr>
          <w:rFonts w:ascii="Arial" w:cs="Arial" w:eastAsia="Arial" w:hAnsi="Arial"/>
          <w:sz w:val="17"/>
          <w:szCs w:val="17"/>
          <w:color w:val="auto"/>
        </w:rPr>
        <w:t>retail sector or who use a physical presence as a component of their omnichannel strategy. We also seek to invest in properties that are net leased to tenants that we believe have attractive credit characteristics, stable operating histories, healthy rent coverage levels, are well-located within their respective markets and/or have rents at-or-below market rent levels. Furthermore, we believe that the size of our company allows us, for at least the near term, to focus our investment activities on the acquisition of single properties or smaller portfolios of properties that represent a transaction size that most of our publicly-traded net lease REIT peers will not pursue on a consistent basis.</w:t>
      </w:r>
    </w:p>
    <w:p>
      <w:pPr>
        <w:spacing w:after="0" w:line="178"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Our strategy for investing in income-producing properties is focused on factors including, but not limited to, long-term real estate fundamentals, including those markets experiencing significant economic growth. We employ a methodology for evaluating targeted investments in income-producing properties which includes an evaluation of: (i) the attributes of the real estate (e.g., location, market demographics, comparable properties in the market, etc.); (ii) an evaluation of the existing tenant(s) (e.g., credit-worthiness, property level sales, tenant rent levels compared to the market, etc.); (iii) other market-specific conditions (e.g., tenant industry, job and population growth in the market, local economy, etc.); and (iv) considerations relating to the Company’s business and strategy (e.g., strategic fit of the asset type, property management needs, alignment with the Company’s structure, etc.).</w:t>
      </w:r>
    </w:p>
    <w:p>
      <w:pPr>
        <w:spacing w:after="0" w:line="178"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During the nine months ended September 30, 2023, the Company acquired 12 properties for total acquisition volume of $79.9 million, or $81.2 million including capitalized acquisition costs. During the nine months ended September 30, 2023, the Company sold 22 properties for an aggregate sales price of $99.6 million, generating aggregate gains on sale of $7.8 million.</w:t>
      </w:r>
    </w:p>
    <w:p>
      <w:pPr>
        <w:spacing w:after="0" w:line="187"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As of September 30, 2023, we owned 138 properties with an aggregate gross leasable area of 3.9 million square feet, located in 35 states, with a weighted average remaining lease term of 7.1 years. Our portfolio was 99.1% leased as of September 30, 2023. We may also acquire or originate commercial loans and investments associated with commercial real estate located in the United States. Our investments in commercial loans are generally secured by real estate or the borrower’s pledge of its ownership interest in an entity that owns real estate. During the three months ended September 30, 2023, the Company originated a construction loan secured by the property and improvements to be constructed thereon for a 33-acre Wawa-anchored land development project in Greenwood, Indiana for $7.8 million. The construction loan matures on July 25, 2025, bears a fixed interest rate of 8.50% that increases to 9.25% on July 25, 2024, and requires payments of interest only prior to maturity. Funding of the loan will occur as the borrower completes the underlying construction. As of September 30, 2023, the Company has disbursed $6.9 million to the borrower.</w:t>
      </w:r>
    </w:p>
    <w:p>
      <w:pPr>
        <w:spacing w:after="0" w:line="16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Company has no employees and is externally managed by Alpine Income Property Manager, LLC, a Delaware limited liability company and a wholly owned subsidiary of CTO (our “Manager”). CTO is a Maryland corporation that is a publicly traded diversified REIT and the sole member of our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COMPARISON OF THE THREE MONTHS ENDED SEPTEMBER 30, 2023 AND 2022</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presents the Company’s results of operations for the three months ended September 30, 2023, as compared to the three months ended September 30, 2022 (in thousands):</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320" w:type="dxa"/>
            <w:vAlign w:val="bottom"/>
          </w:tcPr>
          <w:p>
            <w:pPr>
              <w:spacing w:after="0"/>
              <w:rPr>
                <w:sz w:val="16"/>
                <w:szCs w:val="16"/>
                <w:color w:val="auto"/>
              </w:rPr>
            </w:pPr>
          </w:p>
        </w:tc>
        <w:tc>
          <w:tcPr>
            <w:tcW w:w="122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w w:val="97"/>
              </w:rPr>
              <w:t>September 30,</w:t>
            </w:r>
          </w:p>
        </w:tc>
        <w:tc>
          <w:tcPr>
            <w:tcW w:w="112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 Variance</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95"/>
              </w:rPr>
              <w:t>% Variance</w:t>
            </w: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20"/>
              <w:spacing w:after="0"/>
              <w:rPr>
                <w:sz w:val="20"/>
                <w:szCs w:val="20"/>
                <w:color w:val="auto"/>
              </w:rPr>
            </w:pPr>
            <w:r>
              <w:rPr>
                <w:rFonts w:ascii="Arial" w:cs="Arial" w:eastAsia="Arial" w:hAnsi="Arial"/>
                <w:sz w:val="18"/>
                <w:szCs w:val="18"/>
                <w:color w:val="auto"/>
              </w:rPr>
              <w:t>Lease Income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11,447</w:t>
            </w:r>
          </w:p>
        </w:tc>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11,520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(73)</w:t>
            </w:r>
          </w:p>
        </w:tc>
        <w:tc>
          <w:tcPr>
            <w:tcW w:w="96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2"/>
        </w:trPr>
        <w:tc>
          <w:tcPr>
            <w:tcW w:w="43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Interest Income from Commercial Loans and</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Investments</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0"/>
        </w:trPr>
        <w:tc>
          <w:tcPr>
            <w:tcW w:w="4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11,559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11,520</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20"/>
              <w:spacing w:after="0"/>
              <w:rPr>
                <w:sz w:val="20"/>
                <w:szCs w:val="20"/>
                <w:color w:val="auto"/>
              </w:rPr>
            </w:pPr>
            <w:r>
              <w:rPr>
                <w:rFonts w:ascii="Arial" w:cs="Arial" w:eastAsia="Arial" w:hAnsi="Arial"/>
                <w:sz w:val="18"/>
                <w:szCs w:val="18"/>
                <w:color w:val="auto"/>
              </w:rPr>
              <w:t>Real Estate Expenses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(94)</w:t>
            </w:r>
          </w:p>
        </w:tc>
        <w:tc>
          <w:tcPr>
            <w:tcW w:w="9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4320" w:type="dxa"/>
            <w:vAlign w:val="bottom"/>
          </w:tcPr>
          <w:p>
            <w:pPr>
              <w:ind w:left="120"/>
              <w:spacing w:after="0"/>
              <w:rPr>
                <w:sz w:val="20"/>
                <w:szCs w:val="20"/>
                <w:color w:val="auto"/>
              </w:rPr>
            </w:pPr>
            <w:r>
              <w:rPr>
                <w:rFonts w:ascii="Arial" w:cs="Arial" w:eastAsia="Arial" w:hAnsi="Arial"/>
                <w:sz w:val="18"/>
                <w:szCs w:val="18"/>
                <w:color w:val="auto"/>
              </w:rPr>
              <w:t>Provision for Impairment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2,864</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6,528</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5,866</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9"/>
        </w:trPr>
        <w:tc>
          <w:tcPr>
            <w:tcW w:w="432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3,624</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on Disposition of Assets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(9,025)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16"/>
        </w:trPr>
        <w:tc>
          <w:tcPr>
            <w:tcW w:w="4320" w:type="dxa"/>
            <w:vAlign w:val="bottom"/>
          </w:tcPr>
          <w:p>
            <w:pPr>
              <w:ind w:left="120"/>
              <w:spacing w:after="0"/>
              <w:rPr>
                <w:sz w:val="20"/>
                <w:szCs w:val="20"/>
                <w:color w:val="auto"/>
              </w:rPr>
            </w:pPr>
            <w:r>
              <w:rPr>
                <w:rFonts w:ascii="Arial" w:cs="Arial" w:eastAsia="Arial" w:hAnsi="Arial"/>
                <w:sz w:val="18"/>
                <w:szCs w:val="18"/>
                <w:color w:val="auto"/>
              </w:rPr>
              <w:t>Loss on Extinguishment of Debt</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from Operations</w:t>
            </w: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(12,326)</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Investment and Other Income</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1288.9%</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(2,443)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43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11,170</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(12,109)</w:t>
            </w:r>
          </w:p>
        </w:tc>
        <w:tc>
          <w:tcPr>
            <w:tcW w:w="12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02"/>
        </w:trPr>
        <w:tc>
          <w:tcPr>
            <w:tcW w:w="43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Less: Net (Income) Loss Attributable to</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Noncontrolling Interest</w:t>
            </w: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12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182"/>
        </w:trPr>
        <w:tc>
          <w:tcPr>
            <w:tcW w:w="4320" w:type="dxa"/>
            <w:vAlign w:val="bottom"/>
          </w:tcPr>
          <w:p>
            <w:pPr>
              <w:ind w:left="20"/>
              <w:spacing w:after="0" w:line="182" w:lineRule="exact"/>
              <w:rPr>
                <w:sz w:val="20"/>
                <w:szCs w:val="20"/>
                <w:color w:val="auto"/>
              </w:rPr>
            </w:pPr>
            <w:r>
              <w:rPr>
                <w:rFonts w:ascii="Arial" w:cs="Arial" w:eastAsia="Arial" w:hAnsi="Arial"/>
                <w:sz w:val="18"/>
                <w:szCs w:val="18"/>
                <w:color w:val="auto"/>
              </w:rPr>
              <w:t>Net Income (Loss) Attributable to Alpine Income</w:t>
            </w:r>
          </w:p>
        </w:tc>
        <w:tc>
          <w:tcPr>
            <w:tcW w:w="220" w:type="dxa"/>
            <w:vAlign w:val="bottom"/>
            <w:vMerge w:val="restart"/>
          </w:tcPr>
          <w:p>
            <w:pPr>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(837)</w:t>
            </w: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9,770</w:t>
            </w:r>
          </w:p>
        </w:tc>
        <w:tc>
          <w:tcPr>
            <w:tcW w:w="10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(10,607)</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17"/>
        </w:trPr>
        <w:tc>
          <w:tcPr>
            <w:tcW w:w="4320" w:type="dxa"/>
            <w:vAlign w:val="bottom"/>
          </w:tcPr>
          <w:p>
            <w:pPr>
              <w:ind w:left="20"/>
              <w:spacing w:after="0"/>
              <w:rPr>
                <w:sz w:val="20"/>
                <w:szCs w:val="20"/>
                <w:color w:val="auto"/>
              </w:rPr>
            </w:pPr>
            <w:r>
              <w:rPr>
                <w:rFonts w:ascii="Arial" w:cs="Arial" w:eastAsia="Arial" w:hAnsi="Arial"/>
                <w:sz w:val="18"/>
                <w:szCs w:val="18"/>
                <w:color w:val="auto"/>
              </w:rPr>
              <w:t>Property Trust, Inc.</w:t>
            </w:r>
          </w:p>
        </w:tc>
        <w:tc>
          <w:tcPr>
            <w:tcW w:w="22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Lease Income and Real Estate Expenses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Revenue from our property operations during the three months ended September 30, 2023 and 2022, totaled $11.4 million and $11.5 million, respectively. The $0.1 million decrease in both lease income and real estate expenses is attributable to lower variable lease payments as a result of lower operating expenses.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Commercial Loans and Investments</w:t>
      </w:r>
    </w:p>
    <w:p>
      <w:pPr>
        <w:spacing w:after="0" w:line="229" w:lineRule="exact"/>
        <w:rPr>
          <w:sz w:val="20"/>
          <w:szCs w:val="20"/>
          <w:color w:val="auto"/>
        </w:rPr>
      </w:pPr>
    </w:p>
    <w:p>
      <w:pPr>
        <w:jc w:val="both"/>
        <w:ind w:left="60" w:right="59" w:firstLine="389"/>
        <w:spacing w:after="0" w:line="259" w:lineRule="auto"/>
        <w:rPr>
          <w:sz w:val="20"/>
          <w:szCs w:val="20"/>
          <w:color w:val="auto"/>
        </w:rPr>
      </w:pPr>
      <w:r>
        <w:rPr>
          <w:rFonts w:ascii="Arial" w:cs="Arial" w:eastAsia="Arial" w:hAnsi="Arial"/>
          <w:sz w:val="18"/>
          <w:szCs w:val="18"/>
          <w:color w:val="auto"/>
        </w:rPr>
        <w:t>Interest income from commercial loans and investments totaled $0.1 million for the three months ended September 30, 2023. The income is attributable to a construction loan originated by the Company during the three months ended September 30, 2023. There were no commercial loans and investments generating interest income during the three months ended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represents the Company’s general and administrative expenses for the three months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2023, as compared to the three months ended September 30, 2022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91"/>
        </w:trPr>
        <w:tc>
          <w:tcPr>
            <w:tcW w:w="4260" w:type="dxa"/>
            <w:vAlign w:val="bottom"/>
          </w:tcPr>
          <w:p>
            <w:pPr>
              <w:spacing w:after="0"/>
              <w:rPr>
                <w:sz w:val="16"/>
                <w:szCs w:val="16"/>
                <w:color w:val="auto"/>
              </w:rPr>
            </w:pPr>
          </w:p>
        </w:tc>
        <w:tc>
          <w:tcPr>
            <w:tcW w:w="122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w w:val="97"/>
              </w:rPr>
              <w:t>September 30,</w:t>
            </w:r>
          </w:p>
        </w:tc>
        <w:tc>
          <w:tcPr>
            <w:tcW w:w="112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4"/>
        </w:trPr>
        <w:tc>
          <w:tcPr>
            <w:tcW w:w="4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 Variance</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95"/>
              </w:rPr>
              <w:t>% Variance</w:t>
            </w:r>
          </w:p>
        </w:tc>
      </w:tr>
      <w:tr>
        <w:trPr>
          <w:trHeight w:val="209"/>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Management Fee to Manager</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4260" w:type="dxa"/>
            <w:vAlign w:val="bottom"/>
          </w:tcPr>
          <w:p>
            <w:pPr>
              <w:ind w:left="20"/>
              <w:spacing w:after="0"/>
              <w:rPr>
                <w:sz w:val="20"/>
                <w:szCs w:val="20"/>
                <w:color w:val="auto"/>
              </w:rPr>
            </w:pPr>
            <w:r>
              <w:rPr>
                <w:rFonts w:ascii="Arial" w:cs="Arial" w:eastAsia="Arial" w:hAnsi="Arial"/>
                <w:sz w:val="18"/>
                <w:szCs w:val="18"/>
                <w:color w:val="auto"/>
              </w:rPr>
              <w:t>Director Stock Compensation Expense</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 &amp; Officer Insurance Expense</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16"/>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Additional General and Administrative Expense</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r>
      <w:tr>
        <w:trPr>
          <w:trHeight w:val="209"/>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General and Administrative Expenses</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0"/>
        </w:trPr>
        <w:tc>
          <w:tcPr>
            <w:tcW w:w="4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General and administrative expenses totaled $1.7 million and $1.5 million during the three months ended September 30, 2023 and 2022, respectively. The $0.2 million increase is attributable to increased activity in states with franchise fees, which led to an increase in state tax expense of $0.1 million, and growth in the Company’s equity base, which led to increased management fee expenses of $0.1 million.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Provision for Impairment</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During the three months ended September 30, 2023, the Company recorded a $2.9 million impairment charge representing the provision for losses related to our income properties as further described in Note 7, “Provision for Impairment”. There were no impairment charges on the Company’s income property portfolio during the three months ended September 30, 2022.</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jc w:val="both"/>
        <w:ind w:left="60" w:right="59" w:firstLine="293"/>
        <w:spacing w:after="0" w:line="263" w:lineRule="auto"/>
        <w:rPr>
          <w:sz w:val="20"/>
          <w:szCs w:val="20"/>
          <w:color w:val="auto"/>
        </w:rPr>
      </w:pPr>
      <w:r>
        <w:rPr>
          <w:rFonts w:ascii="Arial" w:cs="Arial" w:eastAsia="Arial" w:hAnsi="Arial"/>
          <w:sz w:val="18"/>
          <w:szCs w:val="18"/>
          <w:color w:val="auto"/>
        </w:rPr>
        <w:t>Depreciation and amortization expense totaled $6.5 million and $5.8 million during the three months ended September 30, 2023 and 2022, respectively. The $0.7 million increase in the depreciation and amortization expense is reflective of the Company’s expanded property portfolio.</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Gain on Disposition of Assets</w:t>
      </w:r>
    </w:p>
    <w:p>
      <w:pPr>
        <w:spacing w:after="0" w:line="229" w:lineRule="exact"/>
        <w:rPr>
          <w:sz w:val="20"/>
          <w:szCs w:val="20"/>
          <w:color w:val="auto"/>
        </w:rPr>
      </w:pPr>
    </w:p>
    <w:p>
      <w:pPr>
        <w:jc w:val="both"/>
        <w:ind w:left="60" w:right="79" w:firstLine="304"/>
        <w:spacing w:after="0" w:line="259" w:lineRule="auto"/>
        <w:rPr>
          <w:sz w:val="20"/>
          <w:szCs w:val="20"/>
          <w:color w:val="auto"/>
        </w:rPr>
      </w:pPr>
      <w:r>
        <w:rPr>
          <w:rFonts w:ascii="Arial" w:cs="Arial" w:eastAsia="Arial" w:hAnsi="Arial"/>
          <w:sz w:val="18"/>
          <w:szCs w:val="18"/>
          <w:color w:val="auto"/>
        </w:rPr>
        <w:t>During the three months ended September 30, 2023, the Company sold eight properties for an aggregate sales price of $20.6 million, generating aggregate gains on sale of $2.6 million. During the three months ended September 30, 2022, the Company sold six properties for an aggregate sales price of $50.5 million, generating aggregate gains on sale of $11.6 million.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Loss on Extinguishment of Debt</w:t>
      </w:r>
    </w:p>
    <w:p>
      <w:pPr>
        <w:spacing w:after="0" w:line="229" w:lineRule="exact"/>
        <w:rPr>
          <w:sz w:val="20"/>
          <w:szCs w:val="20"/>
          <w:color w:val="auto"/>
        </w:rPr>
      </w:pPr>
    </w:p>
    <w:p>
      <w:pPr>
        <w:jc w:val="both"/>
        <w:ind w:left="60" w:right="59" w:firstLine="436"/>
        <w:spacing w:after="0" w:line="259" w:lineRule="auto"/>
        <w:rPr>
          <w:sz w:val="20"/>
          <w:szCs w:val="20"/>
          <w:color w:val="auto"/>
        </w:rPr>
      </w:pPr>
      <w:r>
        <w:rPr>
          <w:rFonts w:ascii="Arial" w:cs="Arial" w:eastAsia="Arial" w:hAnsi="Arial"/>
          <w:sz w:val="18"/>
          <w:szCs w:val="18"/>
          <w:color w:val="auto"/>
        </w:rPr>
        <w:t>Simultaneous with the Company entering into the 2022 Amended and Restated Credit Agreement, the Company’s then-existing revolving credit facility (the “Prior Revolving Credit Facility”) was terminated, which resulted in $0.3 million of unamortized deferred financing costs written off during the three months ended September 30, 2022 with no such expense during the three months ended September 30, 2023.</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Investment and Other Income</w:t>
      </w:r>
    </w:p>
    <w:p>
      <w:pPr>
        <w:spacing w:after="0" w:line="229" w:lineRule="exact"/>
        <w:rPr>
          <w:sz w:val="20"/>
          <w:szCs w:val="20"/>
          <w:color w:val="auto"/>
        </w:rPr>
      </w:pPr>
    </w:p>
    <w:p>
      <w:pPr>
        <w:jc w:val="both"/>
        <w:ind w:left="60" w:right="79" w:firstLine="342"/>
        <w:spacing w:after="0" w:line="308" w:lineRule="auto"/>
        <w:rPr>
          <w:sz w:val="20"/>
          <w:szCs w:val="20"/>
          <w:color w:val="auto"/>
        </w:rPr>
      </w:pPr>
      <w:r>
        <w:rPr>
          <w:rFonts w:ascii="Arial" w:cs="Arial" w:eastAsia="Arial" w:hAnsi="Arial"/>
          <w:sz w:val="17"/>
          <w:szCs w:val="17"/>
          <w:color w:val="auto"/>
        </w:rPr>
        <w:t>Investment and other income totaled $0.1 million and less than $0.1 million during the three months ended September 30, 2023 and 2022, respectively. The increase is attributable to higher interest rates on bank deposits.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Interest expense totaled $2.4 million and $2.5 million during the three months ended September 30, 2023 and 2022, respectively. The $0.1 million decrease in interest expense is attributable to the lower average outstanding debt balance during the three months ended September 30, 2023. The impact of the lower average outstanding debt balance was partially offset by an overall increase in interest rates underlying the Company’s previously variable rate debt, which was entirely fixed as of March 1, 2023. The overall decrease in the Company’s long-term debt is primarily the result of paying down the outstanding debt balance through a combination of proceeds from stock issuances and funds from operations.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Income</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Net loss totaled $0.8 million and net income totaled $9.8 million during the three months ended September 30, 2023 and 2022, respectively. The $10.6 million decrease in net income is attributable to the factors described above, most notably the decrease in the gain on disposition of assets of $9.0 million.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COMPARISON OF THE NINE MONTHS ENDED SEPTEMBER 30, 2023 AND 2022</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presents the Company’s results of operations for the nine months ended September 30, 2023, as compared to the nine months ended September 30, 2022 (in thousands):</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gridSpan w:val="5"/>
          </w:tcPr>
          <w:p>
            <w:pPr>
              <w:ind w:left="18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320" w:type="dxa"/>
            <w:vAlign w:val="bottom"/>
          </w:tcPr>
          <w:p>
            <w:pPr>
              <w:spacing w:after="0"/>
              <w:rPr>
                <w:sz w:val="16"/>
                <w:szCs w:val="16"/>
                <w:color w:val="auto"/>
              </w:rPr>
            </w:pPr>
          </w:p>
        </w:tc>
        <w:tc>
          <w:tcPr>
            <w:tcW w:w="122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w w:val="97"/>
              </w:rPr>
              <w:t>September 30,</w:t>
            </w:r>
          </w:p>
        </w:tc>
        <w:tc>
          <w:tcPr>
            <w:tcW w:w="112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 Variance</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95"/>
              </w:rPr>
              <w:t>% Variance</w:t>
            </w: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20"/>
              <w:spacing w:after="0"/>
              <w:rPr>
                <w:sz w:val="20"/>
                <w:szCs w:val="20"/>
                <w:color w:val="auto"/>
              </w:rPr>
            </w:pPr>
            <w:r>
              <w:rPr>
                <w:rFonts w:ascii="Arial" w:cs="Arial" w:eastAsia="Arial" w:hAnsi="Arial"/>
                <w:sz w:val="18"/>
                <w:szCs w:val="18"/>
                <w:color w:val="auto"/>
              </w:rPr>
              <w:t>Lease Income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33,951</w:t>
            </w:r>
          </w:p>
        </w:tc>
        <w:tc>
          <w:tcPr>
            <w:tcW w:w="1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33,599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2"/>
        </w:trPr>
        <w:tc>
          <w:tcPr>
            <w:tcW w:w="43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Interest Income from Commercial Loans and</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Investments</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0"/>
        </w:trPr>
        <w:tc>
          <w:tcPr>
            <w:tcW w:w="4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34,063</w:t>
            </w: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33,599</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12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20"/>
              <w:spacing w:after="0"/>
              <w:rPr>
                <w:sz w:val="20"/>
                <w:szCs w:val="20"/>
                <w:color w:val="auto"/>
              </w:rPr>
            </w:pPr>
            <w:r>
              <w:rPr>
                <w:rFonts w:ascii="Arial" w:cs="Arial" w:eastAsia="Arial" w:hAnsi="Arial"/>
                <w:sz w:val="18"/>
                <w:szCs w:val="18"/>
                <w:color w:val="auto"/>
              </w:rPr>
              <w:t>Real Estate Expenses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4320" w:type="dxa"/>
            <w:vAlign w:val="bottom"/>
          </w:tcPr>
          <w:p>
            <w:pPr>
              <w:ind w:left="120"/>
              <w:spacing w:after="0"/>
              <w:rPr>
                <w:sz w:val="20"/>
                <w:szCs w:val="20"/>
                <w:color w:val="auto"/>
              </w:rPr>
            </w:pPr>
            <w:r>
              <w:rPr>
                <w:rFonts w:ascii="Arial" w:cs="Arial" w:eastAsia="Arial" w:hAnsi="Arial"/>
                <w:sz w:val="18"/>
                <w:szCs w:val="18"/>
                <w:color w:val="auto"/>
              </w:rPr>
              <w:t>Provision for Impairment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2,864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2,864</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17,232</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1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0"/>
        </w:trPr>
        <w:tc>
          <w:tcPr>
            <w:tcW w:w="432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31,704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25,795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5,909</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on Disposition of Assets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(19,466)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16"/>
        </w:trPr>
        <w:tc>
          <w:tcPr>
            <w:tcW w:w="4320" w:type="dxa"/>
            <w:vAlign w:val="bottom"/>
          </w:tcPr>
          <w:p>
            <w:pPr>
              <w:ind w:left="120"/>
              <w:spacing w:after="0"/>
              <w:rPr>
                <w:sz w:val="20"/>
                <w:szCs w:val="20"/>
                <w:color w:val="auto"/>
              </w:rPr>
            </w:pPr>
            <w:r>
              <w:rPr>
                <w:rFonts w:ascii="Arial" w:cs="Arial" w:eastAsia="Arial" w:hAnsi="Arial"/>
                <w:sz w:val="18"/>
                <w:szCs w:val="18"/>
                <w:color w:val="auto"/>
              </w:rPr>
              <w:t>Gain (Loss) on Extinguishment of Debt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from Operations</w:t>
            </w: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10,164</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34,768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(24,604)</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Investment and Other Income</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2411.1%</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(7,494)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(6,347)</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0"/>
        </w:trPr>
        <w:tc>
          <w:tcPr>
            <w:tcW w:w="43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28,430</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(25,534)</w:t>
            </w:r>
          </w:p>
        </w:tc>
        <w:tc>
          <w:tcPr>
            <w:tcW w:w="12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02"/>
        </w:trPr>
        <w:tc>
          <w:tcPr>
            <w:tcW w:w="43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Less: Net Income Attributable to Noncontrolling</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(3,572)</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3,258</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0"/>
        </w:trPr>
        <w:tc>
          <w:tcPr>
            <w:tcW w:w="4320" w:type="dxa"/>
            <w:vAlign w:val="bottom"/>
            <w:vMerge w:val="restart"/>
          </w:tcPr>
          <w:p>
            <w:pPr>
              <w:ind w:left="20"/>
              <w:spacing w:after="0" w:line="201" w:lineRule="exact"/>
              <w:rPr>
                <w:sz w:val="20"/>
                <w:szCs w:val="20"/>
                <w:color w:val="auto"/>
              </w:rPr>
            </w:pPr>
            <w:r>
              <w:rPr>
                <w:rFonts w:ascii="Arial" w:cs="Arial" w:eastAsia="Arial" w:hAnsi="Arial"/>
                <w:sz w:val="18"/>
                <w:szCs w:val="18"/>
                <w:color w:val="auto"/>
                <w:w w:val="94"/>
              </w:rPr>
              <w:t>Net Income Attributable to Alpine Income Property Trust,</w:t>
            </w: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320" w:type="dxa"/>
            <w:vAlign w:val="bottom"/>
            <w:vMerge w:val="continue"/>
          </w:tcPr>
          <w:p>
            <w:pPr>
              <w:spacing w:after="0"/>
              <w:rPr>
                <w:sz w:val="15"/>
                <w:szCs w:val="15"/>
                <w:color w:val="auto"/>
              </w:rPr>
            </w:pPr>
          </w:p>
        </w:tc>
        <w:tc>
          <w:tcPr>
            <w:tcW w:w="220" w:type="dxa"/>
            <w:vAlign w:val="bottom"/>
            <w:vMerge w:val="restart"/>
          </w:tcPr>
          <w:p>
            <w:pPr>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2,582</w:t>
            </w:r>
          </w:p>
        </w:tc>
        <w:tc>
          <w:tcPr>
            <w:tcW w:w="120" w:type="dxa"/>
            <w:vAlign w:val="bottom"/>
          </w:tcPr>
          <w:p>
            <w:pPr>
              <w:spacing w:after="0"/>
              <w:rPr>
                <w:sz w:val="15"/>
                <w:szCs w:val="15"/>
                <w:color w:val="auto"/>
              </w:rPr>
            </w:pPr>
          </w:p>
        </w:tc>
        <w:tc>
          <w:tcPr>
            <w:tcW w:w="220" w:type="dxa"/>
            <w:vAlign w:val="bottom"/>
            <w:vMerge w:val="restart"/>
          </w:tcPr>
          <w:p>
            <w:pPr>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24,858</w:t>
            </w:r>
          </w:p>
        </w:tc>
        <w:tc>
          <w:tcPr>
            <w:tcW w:w="10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(22,276)</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17"/>
        </w:trPr>
        <w:tc>
          <w:tcPr>
            <w:tcW w:w="4320" w:type="dxa"/>
            <w:vAlign w:val="bottom"/>
          </w:tcPr>
          <w:p>
            <w:pPr>
              <w:ind w:left="20"/>
              <w:spacing w:after="0"/>
              <w:rPr>
                <w:sz w:val="20"/>
                <w:szCs w:val="20"/>
                <w:color w:val="auto"/>
              </w:rPr>
            </w:pPr>
            <w:r>
              <w:rPr>
                <w:rFonts w:ascii="Arial" w:cs="Arial" w:eastAsia="Arial" w:hAnsi="Arial"/>
                <w:sz w:val="18"/>
                <w:szCs w:val="18"/>
                <w:color w:val="auto"/>
              </w:rPr>
              <w:t>Inc.</w:t>
            </w:r>
          </w:p>
        </w:tc>
        <w:tc>
          <w:tcPr>
            <w:tcW w:w="22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Lease Income and Real Estate Expenses</w:t>
      </w:r>
    </w:p>
    <w:p>
      <w:pPr>
        <w:spacing w:after="0" w:line="229"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Revenue from our property operations during the nine months ended September 30, 2023 and 2022, totaled $34.0 million and $33.6 million, respectively. The $0.4 million increase in revenues is reflective of the Company’s volume of property acquisitions during the nine months ended September 30, 2023 and the year ended December 31, 2022, partially offset by property sales, during the same period. Real estate expenses totaled $4.7 million and $4.2 million for the nine months ended September 30, 2023 and 2022, respectively. The $0.5 million increase in real estate expenses is attributable to the Company’s property portfolio being subject to more expenses reimbursable by tenants.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Commercial Loans and Investments</w:t>
      </w:r>
    </w:p>
    <w:p>
      <w:pPr>
        <w:spacing w:after="0" w:line="229" w:lineRule="exact"/>
        <w:rPr>
          <w:sz w:val="20"/>
          <w:szCs w:val="20"/>
          <w:color w:val="auto"/>
        </w:rPr>
      </w:pPr>
    </w:p>
    <w:p>
      <w:pPr>
        <w:jc w:val="both"/>
        <w:ind w:left="60" w:right="59" w:firstLine="389"/>
        <w:spacing w:after="0" w:line="259" w:lineRule="auto"/>
        <w:rPr>
          <w:sz w:val="20"/>
          <w:szCs w:val="20"/>
          <w:color w:val="auto"/>
        </w:rPr>
      </w:pPr>
      <w:r>
        <w:rPr>
          <w:rFonts w:ascii="Arial" w:cs="Arial" w:eastAsia="Arial" w:hAnsi="Arial"/>
          <w:sz w:val="18"/>
          <w:szCs w:val="18"/>
          <w:color w:val="auto"/>
        </w:rPr>
        <w:t>Interest income from commercial loans and investments totaled $0.1 million for the nine months ended September 30, 2023. The income is attributable to a construction loan originated by the Company during the nine months ended September 30, 2023. There were no commercial loans and investments generating interest income during the nine months ended September 30, 2022.</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represents the Company’s general and administrative expenses for the nine months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2023, as compared to the nine months ended September 30, 2022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20" w:type="dxa"/>
            <w:vAlign w:val="bottom"/>
            <w:gridSpan w:val="5"/>
          </w:tcPr>
          <w:p>
            <w:pPr>
              <w:ind w:left="160"/>
              <w:spacing w:after="0"/>
              <w:rPr>
                <w:sz w:val="20"/>
                <w:szCs w:val="20"/>
                <w:color w:val="auto"/>
              </w:rPr>
            </w:pPr>
            <w:r>
              <w:rPr>
                <w:rFonts w:ascii="Arial" w:cs="Arial" w:eastAsia="Arial" w:hAnsi="Arial"/>
                <w:sz w:val="18"/>
                <w:szCs w:val="18"/>
                <w:b w:val="1"/>
                <w:bCs w:val="1"/>
                <w:color w:val="auto"/>
              </w:rPr>
              <w:t>Nine Months Ended</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91"/>
        </w:trPr>
        <w:tc>
          <w:tcPr>
            <w:tcW w:w="4260" w:type="dxa"/>
            <w:vAlign w:val="bottom"/>
          </w:tcPr>
          <w:p>
            <w:pPr>
              <w:spacing w:after="0"/>
              <w:rPr>
                <w:sz w:val="16"/>
                <w:szCs w:val="16"/>
                <w:color w:val="auto"/>
              </w:rPr>
            </w:pPr>
          </w:p>
        </w:tc>
        <w:tc>
          <w:tcPr>
            <w:tcW w:w="122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w w:val="97"/>
              </w:rPr>
              <w:t>September 30,</w:t>
            </w:r>
          </w:p>
        </w:tc>
        <w:tc>
          <w:tcPr>
            <w:tcW w:w="112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4"/>
        </w:trPr>
        <w:tc>
          <w:tcPr>
            <w:tcW w:w="4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 Variance</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95"/>
              </w:rPr>
              <w:t>% Variance</w:t>
            </w:r>
          </w:p>
        </w:tc>
      </w:tr>
      <w:tr>
        <w:trPr>
          <w:trHeight w:val="209"/>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Management Fee to Manager</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3,294</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4260" w:type="dxa"/>
            <w:vAlign w:val="bottom"/>
          </w:tcPr>
          <w:p>
            <w:pPr>
              <w:ind w:left="20"/>
              <w:spacing w:after="0"/>
              <w:rPr>
                <w:sz w:val="20"/>
                <w:szCs w:val="20"/>
                <w:color w:val="auto"/>
              </w:rPr>
            </w:pPr>
            <w:r>
              <w:rPr>
                <w:rFonts w:ascii="Arial" w:cs="Arial" w:eastAsia="Arial" w:hAnsi="Arial"/>
                <w:sz w:val="18"/>
                <w:szCs w:val="18"/>
                <w:color w:val="auto"/>
              </w:rPr>
              <w:t>Director Stock Compensation Expense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16"/>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 &amp; Officer Insurance Expense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r>
      <w:tr>
        <w:trPr>
          <w:trHeight w:val="216"/>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Additional General and Administrative Expense</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r>
      <w:tr>
        <w:trPr>
          <w:trHeight w:val="209"/>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General and Administrative Expenses</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4,823</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0"/>
        </w:trPr>
        <w:tc>
          <w:tcPr>
            <w:tcW w:w="4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82"/>
        <w:spacing w:after="0" w:line="263" w:lineRule="auto"/>
        <w:rPr>
          <w:sz w:val="20"/>
          <w:szCs w:val="20"/>
          <w:color w:val="auto"/>
        </w:rPr>
      </w:pPr>
      <w:r>
        <w:rPr>
          <w:rFonts w:ascii="Arial" w:cs="Arial" w:eastAsia="Arial" w:hAnsi="Arial"/>
          <w:sz w:val="18"/>
          <w:szCs w:val="18"/>
          <w:color w:val="auto"/>
        </w:rPr>
        <w:t>General and administrative expenses totaled $4.8 million and $4.4 million during the nine months ended September 30, 2023 and 2022, respectively. The $0.4 million increase is attributable to growth in the Company’s equity base, which led to increased management fee expenses of $0.4 million.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Provision for Impairment</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During the nine months ended September 30, 2023, the Company recorded a $2.9 million impairment charge representing the provision for losses related to our income properties as further described in Note 7, “Provision for Impairment”. There were no impairment charges on the Company’s income property portfolio during the nine months ended September 30, 2022.</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jc w:val="both"/>
        <w:ind w:left="60" w:right="59" w:firstLine="501"/>
        <w:spacing w:after="0" w:line="263" w:lineRule="auto"/>
        <w:rPr>
          <w:sz w:val="20"/>
          <w:szCs w:val="20"/>
          <w:color w:val="auto"/>
        </w:rPr>
      </w:pPr>
      <w:r>
        <w:rPr>
          <w:rFonts w:ascii="Arial" w:cs="Arial" w:eastAsia="Arial" w:hAnsi="Arial"/>
          <w:sz w:val="18"/>
          <w:szCs w:val="18"/>
          <w:color w:val="auto"/>
        </w:rPr>
        <w:t>Depreciation and amortization expense totaled $19.3 million and $17.2 million during the nine months ended September 30, 2023 and 2022, respectively. The $2.1 million increase in the depreciation and amortization expense is reflective of the Company’s expanded property portfolio.</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Gain on Disposition of Assets</w:t>
      </w:r>
    </w:p>
    <w:p>
      <w:pPr>
        <w:spacing w:after="0" w:line="229" w:lineRule="exact"/>
        <w:rPr>
          <w:sz w:val="20"/>
          <w:szCs w:val="20"/>
          <w:color w:val="auto"/>
        </w:rPr>
      </w:pPr>
    </w:p>
    <w:p>
      <w:pPr>
        <w:jc w:val="both"/>
        <w:ind w:left="60" w:right="59" w:firstLine="361"/>
        <w:spacing w:after="0" w:line="259" w:lineRule="auto"/>
        <w:rPr>
          <w:sz w:val="20"/>
          <w:szCs w:val="20"/>
          <w:color w:val="auto"/>
        </w:rPr>
      </w:pPr>
      <w:r>
        <w:rPr>
          <w:rFonts w:ascii="Arial" w:cs="Arial" w:eastAsia="Arial" w:hAnsi="Arial"/>
          <w:sz w:val="18"/>
          <w:szCs w:val="18"/>
          <w:color w:val="auto"/>
        </w:rPr>
        <w:t>During the nine months ended September 30, 2023, the Company sold 22 properties for an aggregate sales price of $99.6 million, generating aggregate gains on sale of $7.8 million. During the nine months ended September 30, 2022, the Company sold 11 properties for an aggregate sales price of $123.3 million, generating aggregate gains on sale of $27.2 million.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Gain (Loss) on Extinguishment of Debt</w:t>
      </w:r>
    </w:p>
    <w:p>
      <w:pPr>
        <w:spacing w:after="0" w:line="229" w:lineRule="exact"/>
        <w:rPr>
          <w:sz w:val="20"/>
          <w:szCs w:val="20"/>
          <w:color w:val="auto"/>
        </w:rPr>
      </w:pPr>
    </w:p>
    <w:p>
      <w:pPr>
        <w:jc w:val="both"/>
        <w:ind w:left="60" w:right="79" w:firstLine="342"/>
        <w:spacing w:after="0" w:line="277" w:lineRule="auto"/>
        <w:rPr>
          <w:sz w:val="20"/>
          <w:szCs w:val="20"/>
          <w:color w:val="auto"/>
        </w:rPr>
      </w:pPr>
      <w:r>
        <w:rPr>
          <w:rFonts w:ascii="Arial" w:cs="Arial" w:eastAsia="Arial" w:hAnsi="Arial"/>
          <w:sz w:val="18"/>
          <w:szCs w:val="18"/>
          <w:color w:val="auto"/>
        </w:rPr>
        <w:t>As a result of the termination of the Company’s Prior Revolving Credit Facility, $0.3 million of unamortized deferred financing costs were written off during the nine months ended September 30, 2022.</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Investment and Other Income</w:t>
      </w:r>
    </w:p>
    <w:p>
      <w:pPr>
        <w:spacing w:after="0" w:line="229" w:lineRule="exact"/>
        <w:rPr>
          <w:sz w:val="20"/>
          <w:szCs w:val="20"/>
          <w:color w:val="auto"/>
        </w:rPr>
      </w:pPr>
    </w:p>
    <w:p>
      <w:pPr>
        <w:jc w:val="both"/>
        <w:ind w:left="60" w:right="59" w:firstLine="355"/>
        <w:spacing w:after="0" w:line="308" w:lineRule="auto"/>
        <w:rPr>
          <w:sz w:val="20"/>
          <w:szCs w:val="20"/>
          <w:color w:val="auto"/>
        </w:rPr>
      </w:pPr>
      <w:r>
        <w:rPr>
          <w:rFonts w:ascii="Arial" w:cs="Arial" w:eastAsia="Arial" w:hAnsi="Arial"/>
          <w:sz w:val="17"/>
          <w:szCs w:val="17"/>
          <w:color w:val="auto"/>
        </w:rPr>
        <w:t>Investment and other income totaled $0.2 million and less than $0.1 million during the nine months ended September 30, 2023 and 2022, respectively. The increase is attributable to higher interest rates on bank deposits.</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Interest expense totaled $7.5 million and $6.3 million during the nine months ended September 30, 2023 and 2022, respectively. The $1.2 million increase in interest expense is attributable to the overall increase in the interest rates underlying the Company’s previously variable rate debt, which was entirely fixed as of March 1, 2023. The impact of the overall rate increase was partially offset by a lower average outstanding debt balance during the nine months ended September 30, 2023. The overall decrease in the Company’s long-term debt is primarily the result of paying down the outstanding debt balance through a combination of proceeds from stock issuances and funds from operations.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Income</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Net income totaled $2.6 million and $24.9 million during the nine months ended September 30, 2023 and 2022, respectively. The $22.3 million decrease in net income is attributable to the factors described above, most notably the decrease in the gain on disposition of assets of $19.5 million.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Cash totaled $17.4 million as of September 30, 2023, including restricted cash of $11.2 million. See Note 2 “Summary of Significant Accounting Policies” under the heading Restricted Cash for the Company’s disclosure related to its restricted cash balance as of September 30, 2023.</w:t>
      </w:r>
    </w:p>
    <w:p>
      <w:pPr>
        <w:spacing w:after="0" w:line="184"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As of September 30, 2023, the Company had an outstanding balance of $50.0 million on the $250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revolving Credit Facility. The Company also had $200.0 million in term loans outstanding as of September 30, 2023. See Note 11, “Long-Term Debt” for the Company’s disclosure related to its long-term debt balance at September 30, 2023.</w:t>
      </w:r>
    </w:p>
    <w:p>
      <w:pPr>
        <w:spacing w:after="0" w:line="187"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Acquisitions and Dispositions. </w:t>
      </w:r>
      <w:r>
        <w:rPr>
          <w:rFonts w:ascii="Arial" w:cs="Arial" w:eastAsia="Arial" w:hAnsi="Arial"/>
          <w:sz w:val="18"/>
          <w:szCs w:val="18"/>
          <w:color w:val="auto"/>
        </w:rPr>
        <w:t>As further described in Note 3, “Property Portfolio,” during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2023, the Company acquired 12 properties for total acquisition volume of $79.9 million, or $81.2 million including capitalized acquisition costs, and sold 22 properties for an aggregate sales price of $99.6 million, generating aggregate gains on sale of $7.8 million.</w:t>
      </w:r>
    </w:p>
    <w:p>
      <w:pPr>
        <w:spacing w:after="0" w:line="187"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ATM Program. </w:t>
      </w:r>
      <w:r>
        <w:rPr>
          <w:rFonts w:ascii="Arial" w:cs="Arial" w:eastAsia="Arial" w:hAnsi="Arial"/>
          <w:sz w:val="18"/>
          <w:szCs w:val="18"/>
          <w:color w:val="auto"/>
        </w:rPr>
        <w:t>During the nine months ended September 30, 2023, the Company sold 665,929 shares under the 2022</w:t>
      </w:r>
      <w:r>
        <w:rPr>
          <w:rFonts w:ascii="Arial" w:cs="Arial" w:eastAsia="Arial" w:hAnsi="Arial"/>
          <w:sz w:val="18"/>
          <w:szCs w:val="18"/>
          <w:i w:val="1"/>
          <w:iCs w:val="1"/>
          <w:color w:val="auto"/>
        </w:rPr>
        <w:t xml:space="preserve"> </w:t>
      </w:r>
      <w:r>
        <w:rPr>
          <w:rFonts w:ascii="Arial" w:cs="Arial" w:eastAsia="Arial" w:hAnsi="Arial"/>
          <w:sz w:val="18"/>
          <w:szCs w:val="18"/>
          <w:color w:val="auto"/>
        </w:rPr>
        <w:t>ATM Program for gross proceeds of $12.6 million at a weighted average price of $18.96 per share, generating net proceeds of $12.4 million.</w:t>
      </w:r>
    </w:p>
    <w:p>
      <w:pPr>
        <w:spacing w:after="0" w:line="184"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As of September 30, 2023, the Company had no commitments related to capital expenditures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maintenance of fixed assets, such as land, buildings, and equipment. The Company is committed to fund the construction loan as described in Note 4, “Commercial Loans and Investments”. The unfunded portion of the construction loan totaled $0.9 million as of September 30, 2023.</w:t>
      </w:r>
    </w:p>
    <w:p>
      <w:pPr>
        <w:spacing w:after="0" w:line="187"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believe we will have sufficient liquidity to fund our operations, capital requirements, maintenance, and debt service requirements over the next twelve months and into the foreseeable future, with cash on hand, cash flow from our operations, proceeds from the completion of the sale of assets utilizing the reverse like-kind 1031 exchange structure, $109.5 million of availability remaining under the 2022 ATM Program, and $200.0 million of available capacity on the existing $250.0 million Credit Facility.</w:t>
      </w:r>
    </w:p>
    <w:p>
      <w:pPr>
        <w:spacing w:after="0" w:line="188"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Board and management consistently review the allocation of capital with the goal of providing the best long-term risk-adjusted returns for our stockholders. These reviews consider various alternatives, including increasing or decreasing regular dividends, repurchasing the Company’s securities, and retaining funds for reinvestment. Annually, the Board reviews our business plan and corporate strategies, and makes adjustments as circumstances warrant. Management’s focus is to continue our strategy of investing in net leased properties by utilizing capital that we raise, proceeds from recent property sales, and available borrowing capacity from the Credit Facility to increase our portfolio of income-producing properties, providing stabilized cash flows with strong risk-adjusted returns primarily in larger metropolitan areas and growth markets.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Our reported results are presented in accordance with GAAP. We also disclose FFO and AFFO, both of which are non-GAAP financial measures. We believe these two non-GAAP financial measures are useful to investors because they are widely accepted industry measures used by analysts and investors to compare the operating performance of REITs.</w:t>
      </w:r>
    </w:p>
    <w:p>
      <w:pPr>
        <w:spacing w:after="0" w:line="16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FFO and AFFO do not represent cash generated from operating activities and are not necessarily indicative of cash available to fund cash requirements; accordingly, they should not be considered alternatives to net income as a performance measure or cash flows from operations as reported on our statement of cash flows as a liquidity measure and should be considered in addition to, and not in lieu of, GAAP financial measures.</w:t>
      </w:r>
    </w:p>
    <w:p>
      <w:pPr>
        <w:spacing w:after="0" w:line="200"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We compute FFO in accordance with the definition adopted by the Board of Governors of the National Association of Real Estate Investment Trusts, or NAREIT. NAREIT defines FFO as GAAP net income or loss adjusted to exclude extraordinary items (as defined by GAAP), net gain or loss from sales of depreciable real estate assets, impairment write-downs associated with depreciable real estate assets and real estate related depreciation and amortization, including the pro rata share of such adjustments of unconsolidated subsidiaries. To derive AFFO, we modify the NAREIT computation of FFO to include other adjustments to GAAP net income related to non-cash revenues and expenses such as loss on extinguishment of debt, amortization of above- and below-market lease related intangibles, straight-line rental revenue, amortization of deferred financing costs, non-cash compensation, and other non-cash income or expense. Such items may cause short-term fluctuations in net income but have no impact on operating cash flows or long-term operating performance. We use AFFO as one measure of our performance when we formulate corporate goals.</w:t>
      </w:r>
    </w:p>
    <w:p>
      <w:pPr>
        <w:spacing w:after="0" w:line="168"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FFO is used by management, investors and analysts to facilitate meaningful comparisons of operating performance between periods and among our peers primarily because it excludes the effect of real estate depreciation and amortization and net gains or losses on sales, which are based on historical costs and implicitly assume that the value of real estate diminishes predictably over time, rather than fluctuating based on existing market conditions. We believe that AFFO is an additional useful supplemental measure for investors to consider because it will help them to better assess our operating performance without the distortions created by other non-cash revenues or expenses. FFO and AFFO may not be comparable to similarly titled measures employed by other companies.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Reconciliation of Non-GAAP Measures (in thousands, except share data):</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0"/>
                <w:szCs w:val="20"/>
                <w:color w:val="auto"/>
              </w:rPr>
            </w:pPr>
          </w:p>
        </w:tc>
        <w:tc>
          <w:tcPr>
            <w:tcW w:w="230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3720" w:type="dxa"/>
            <w:vAlign w:val="bottom"/>
          </w:tcPr>
          <w:p>
            <w:pPr>
              <w:spacing w:after="0"/>
              <w:rPr>
                <w:sz w:val="16"/>
                <w:szCs w:val="16"/>
                <w:color w:val="auto"/>
              </w:rPr>
            </w:pPr>
          </w:p>
        </w:tc>
        <w:tc>
          <w:tcPr>
            <w:tcW w:w="1360" w:type="dxa"/>
            <w:vAlign w:val="bottom"/>
            <w:tcBorders>
              <w:top w:val="single" w:sz="8" w:color="auto"/>
            </w:tcBorders>
            <w:gridSpan w:val="3"/>
          </w:tcPr>
          <w:p>
            <w:pPr>
              <w:jc w:val="right"/>
              <w:ind w:right="200"/>
              <w:spacing w:after="0" w:line="191" w:lineRule="exact"/>
              <w:rPr>
                <w:sz w:val="20"/>
                <w:szCs w:val="20"/>
                <w:color w:val="auto"/>
              </w:rPr>
            </w:pPr>
            <w:r>
              <w:rPr>
                <w:rFonts w:ascii="Arial" w:cs="Arial" w:eastAsia="Arial" w:hAnsi="Arial"/>
                <w:sz w:val="18"/>
                <w:szCs w:val="18"/>
                <w:b w:val="1"/>
                <w:bCs w:val="1"/>
                <w:color w:val="auto"/>
                <w:w w:val="92"/>
              </w:rPr>
              <w:t>September 30,</w:t>
            </w:r>
          </w:p>
        </w:tc>
        <w:tc>
          <w:tcPr>
            <w:tcW w:w="122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2"/>
              </w:rPr>
              <w:t>September 30,</w:t>
            </w:r>
          </w:p>
        </w:tc>
        <w:tc>
          <w:tcPr>
            <w:tcW w:w="120" w:type="dxa"/>
            <w:vAlign w:val="bottom"/>
          </w:tcPr>
          <w:p>
            <w:pPr>
              <w:spacing w:after="0"/>
              <w:rPr>
                <w:sz w:val="16"/>
                <w:szCs w:val="16"/>
                <w:color w:val="auto"/>
              </w:rPr>
            </w:pPr>
          </w:p>
        </w:tc>
        <w:tc>
          <w:tcPr>
            <w:tcW w:w="1300" w:type="dxa"/>
            <w:vAlign w:val="bottom"/>
            <w:tcBorders>
              <w:top w:val="single" w:sz="8" w:color="auto"/>
            </w:tcBorders>
            <w:gridSpan w:val="3"/>
          </w:tcPr>
          <w:p>
            <w:pPr>
              <w:ind w:left="40"/>
              <w:spacing w:after="0" w:line="191" w:lineRule="exact"/>
              <w:rPr>
                <w:sz w:val="20"/>
                <w:szCs w:val="20"/>
                <w:color w:val="auto"/>
              </w:rPr>
            </w:pPr>
            <w:r>
              <w:rPr>
                <w:rFonts w:ascii="Arial" w:cs="Arial" w:eastAsia="Arial" w:hAnsi="Arial"/>
                <w:sz w:val="18"/>
                <w:szCs w:val="18"/>
                <w:b w:val="1"/>
                <w:bCs w:val="1"/>
                <w:color w:val="auto"/>
              </w:rPr>
              <w:t>September 30,</w:t>
            </w:r>
          </w:p>
        </w:tc>
        <w:tc>
          <w:tcPr>
            <w:tcW w:w="118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0"/>
              </w:rPr>
              <w:t>September 30,</w:t>
            </w:r>
          </w:p>
        </w:tc>
        <w:tc>
          <w:tcPr>
            <w:tcW w:w="20" w:type="dxa"/>
            <w:vAlign w:val="bottom"/>
          </w:tcPr>
          <w:p>
            <w:pPr>
              <w:spacing w:after="0"/>
              <w:rPr>
                <w:sz w:val="16"/>
                <w:szCs w:val="16"/>
                <w:color w:val="auto"/>
              </w:rPr>
            </w:pPr>
          </w:p>
        </w:tc>
      </w:tr>
      <w:tr>
        <w:trPr>
          <w:trHeight w:val="234"/>
        </w:trPr>
        <w:tc>
          <w:tcPr>
            <w:tcW w:w="37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r>
      <w:tr>
        <w:trPr>
          <w:trHeight w:val="21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28,430</w:t>
            </w:r>
          </w:p>
        </w:tc>
        <w:tc>
          <w:tcPr>
            <w:tcW w:w="20" w:type="dxa"/>
            <w:vAlign w:val="bottom"/>
          </w:tcPr>
          <w:p>
            <w:pPr>
              <w:spacing w:after="0"/>
              <w:rPr>
                <w:sz w:val="18"/>
                <w:szCs w:val="18"/>
                <w:color w:val="auto"/>
              </w:rPr>
            </w:pPr>
          </w:p>
        </w:tc>
      </w:tr>
      <w:tr>
        <w:trPr>
          <w:trHeight w:val="216"/>
        </w:trPr>
        <w:tc>
          <w:tcPr>
            <w:tcW w:w="372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6,528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5,866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19,286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17,232</w:t>
            </w:r>
          </w:p>
        </w:tc>
        <w:tc>
          <w:tcPr>
            <w:tcW w:w="20" w:type="dxa"/>
            <w:vAlign w:val="bottom"/>
          </w:tcPr>
          <w:p>
            <w:pPr>
              <w:spacing w:after="0"/>
              <w:rPr>
                <w:sz w:val="18"/>
                <w:szCs w:val="18"/>
                <w:color w:val="auto"/>
              </w:rPr>
            </w:pPr>
          </w:p>
        </w:tc>
      </w:tr>
      <w:tr>
        <w:trPr>
          <w:trHeight w:val="216"/>
        </w:trPr>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Provision for Impairment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3720" w:type="dxa"/>
            <w:vAlign w:val="bottom"/>
          </w:tcPr>
          <w:p>
            <w:pPr>
              <w:ind w:left="220"/>
              <w:spacing w:after="0"/>
              <w:rPr>
                <w:sz w:val="20"/>
                <w:szCs w:val="20"/>
                <w:color w:val="auto"/>
              </w:rPr>
            </w:pPr>
            <w:r>
              <w:rPr>
                <w:rFonts w:ascii="Arial" w:cs="Arial" w:eastAsia="Arial" w:hAnsi="Arial"/>
                <w:sz w:val="18"/>
                <w:szCs w:val="18"/>
                <w:color w:val="auto"/>
              </w:rPr>
              <w:t>Gain on Disposition of Assets</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(2,586)</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(11,611)</w:t>
            </w: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(7,782)</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(27,248)</w:t>
            </w:r>
          </w:p>
        </w:tc>
        <w:tc>
          <w:tcPr>
            <w:tcW w:w="20" w:type="dxa"/>
            <w:vAlign w:val="bottom"/>
          </w:tcPr>
          <w:p>
            <w:pPr>
              <w:spacing w:after="0"/>
              <w:rPr>
                <w:sz w:val="18"/>
                <w:szCs w:val="18"/>
                <w:color w:val="auto"/>
              </w:rPr>
            </w:pPr>
          </w:p>
        </w:tc>
      </w:tr>
      <w:tr>
        <w:trPr>
          <w:trHeight w:val="210"/>
        </w:trPr>
        <w:tc>
          <w:tcPr>
            <w:tcW w:w="3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Funds From Operations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5,867</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5,425</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17,264</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18,414</w:t>
            </w:r>
          </w:p>
        </w:tc>
        <w:tc>
          <w:tcPr>
            <w:tcW w:w="20" w:type="dxa"/>
            <w:vAlign w:val="bottom"/>
          </w:tcPr>
          <w:p>
            <w:pPr>
              <w:spacing w:after="0"/>
              <w:rPr>
                <w:sz w:val="18"/>
                <w:szCs w:val="18"/>
                <w:color w:val="auto"/>
              </w:rPr>
            </w:pPr>
          </w:p>
        </w:tc>
      </w:tr>
      <w:tr>
        <w:trPr>
          <w:trHeight w:val="216"/>
        </w:trPr>
        <w:tc>
          <w:tcPr>
            <w:tcW w:w="372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Loss on Extinguishment of Debt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0" w:type="dxa"/>
            <w:vAlign w:val="bottom"/>
          </w:tcPr>
          <w:p>
            <w:pPr>
              <w:spacing w:after="0"/>
              <w:rPr>
                <w:sz w:val="18"/>
                <w:szCs w:val="18"/>
                <w:color w:val="auto"/>
              </w:rPr>
            </w:pPr>
          </w:p>
        </w:tc>
      </w:tr>
      <w:tr>
        <w:trPr>
          <w:trHeight w:val="202"/>
        </w:trPr>
        <w:tc>
          <w:tcPr>
            <w:tcW w:w="3720" w:type="dxa"/>
            <w:vAlign w:val="bottom"/>
          </w:tcPr>
          <w:p>
            <w:pPr>
              <w:ind w:left="220"/>
              <w:spacing w:after="0" w:line="201" w:lineRule="exact"/>
              <w:rPr>
                <w:sz w:val="20"/>
                <w:szCs w:val="20"/>
                <w:color w:val="auto"/>
              </w:rPr>
            </w:pPr>
            <w:r>
              <w:rPr>
                <w:rFonts w:ascii="Arial" w:cs="Arial" w:eastAsia="Arial" w:hAnsi="Arial"/>
                <w:sz w:val="18"/>
                <w:szCs w:val="18"/>
                <w:color w:val="auto"/>
              </w:rPr>
              <w:t>Amortization of Intangible Assets and</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3720" w:type="dxa"/>
            <w:vAlign w:val="bottom"/>
          </w:tcPr>
          <w:p>
            <w:pPr>
              <w:ind w:left="220"/>
              <w:spacing w:after="0"/>
              <w:rPr>
                <w:sz w:val="20"/>
                <w:szCs w:val="20"/>
                <w:color w:val="auto"/>
              </w:rPr>
            </w:pPr>
            <w:r>
              <w:rPr>
                <w:rFonts w:ascii="Arial" w:cs="Arial" w:eastAsia="Arial" w:hAnsi="Arial"/>
                <w:sz w:val="18"/>
                <w:szCs w:val="18"/>
                <w:color w:val="auto"/>
              </w:rPr>
              <w:t>Liabilities to Lease Income</w:t>
            </w:r>
          </w:p>
        </w:tc>
        <w:tc>
          <w:tcPr>
            <w:tcW w:w="2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(299)</w:t>
            </w:r>
          </w:p>
        </w:tc>
        <w:tc>
          <w:tcPr>
            <w:tcW w:w="20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(248)</w:t>
            </w:r>
          </w:p>
        </w:tc>
      </w:tr>
      <w:tr>
        <w:trPr>
          <w:trHeight w:val="216"/>
        </w:trPr>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Straight-Line Rent Adjustment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(386)</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20" w:type="dxa"/>
            <w:vAlign w:val="bottom"/>
          </w:tcPr>
          <w:p>
            <w:pPr>
              <w:spacing w:after="0"/>
              <w:rPr>
                <w:sz w:val="18"/>
                <w:szCs w:val="18"/>
                <w:color w:val="auto"/>
              </w:rPr>
            </w:pPr>
          </w:p>
        </w:tc>
      </w:tr>
      <w:tr>
        <w:trPr>
          <w:trHeight w:val="216"/>
        </w:trPr>
        <w:tc>
          <w:tcPr>
            <w:tcW w:w="3720" w:type="dxa"/>
            <w:vAlign w:val="bottom"/>
          </w:tcPr>
          <w:p>
            <w:pPr>
              <w:ind w:left="220"/>
              <w:spacing w:after="0"/>
              <w:rPr>
                <w:sz w:val="20"/>
                <w:szCs w:val="20"/>
                <w:color w:val="auto"/>
              </w:rPr>
            </w:pPr>
            <w:r>
              <w:rPr>
                <w:rFonts w:ascii="Arial" w:cs="Arial" w:eastAsia="Arial" w:hAnsi="Arial"/>
                <w:sz w:val="18"/>
                <w:szCs w:val="18"/>
                <w:color w:val="auto"/>
              </w:rPr>
              <w:t>COVID-19 Rent Repayments</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r>
      <w:tr>
        <w:trPr>
          <w:trHeight w:val="216"/>
        </w:trPr>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Compensation</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0" w:type="dxa"/>
            <w:vAlign w:val="bottom"/>
          </w:tcPr>
          <w:p>
            <w:pPr>
              <w:spacing w:after="0"/>
              <w:rPr>
                <w:sz w:val="18"/>
                <w:szCs w:val="18"/>
                <w:color w:val="auto"/>
              </w:rPr>
            </w:pPr>
          </w:p>
        </w:tc>
      </w:tr>
      <w:tr>
        <w:trPr>
          <w:trHeight w:val="202"/>
        </w:trPr>
        <w:tc>
          <w:tcPr>
            <w:tcW w:w="3720" w:type="dxa"/>
            <w:vAlign w:val="bottom"/>
          </w:tcPr>
          <w:p>
            <w:pPr>
              <w:ind w:left="220"/>
              <w:spacing w:after="0" w:line="201" w:lineRule="exact"/>
              <w:rPr>
                <w:sz w:val="20"/>
                <w:szCs w:val="20"/>
                <w:color w:val="auto"/>
              </w:rPr>
            </w:pPr>
            <w:r>
              <w:rPr>
                <w:rFonts w:ascii="Arial" w:cs="Arial" w:eastAsia="Arial" w:hAnsi="Arial"/>
                <w:sz w:val="18"/>
                <w:szCs w:val="18"/>
                <w:color w:val="auto"/>
                <w:w w:val="99"/>
              </w:rPr>
              <w:t>Amortization of Deferred Financing Costs to</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372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179</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407</w:t>
            </w:r>
          </w:p>
        </w:tc>
        <w:tc>
          <w:tcPr>
            <w:tcW w:w="20" w:type="dxa"/>
            <w:vAlign w:val="bottom"/>
          </w:tcPr>
          <w:p>
            <w:pPr>
              <w:spacing w:after="0"/>
              <w:rPr>
                <w:sz w:val="20"/>
                <w:szCs w:val="20"/>
                <w:color w:val="auto"/>
              </w:rPr>
            </w:pPr>
          </w:p>
        </w:tc>
      </w:tr>
      <w:tr>
        <w:trPr>
          <w:trHeight w:val="216"/>
        </w:trPr>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Non-Cash Expense</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r>
      <w:tr>
        <w:trPr>
          <w:trHeight w:val="250"/>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Adjusted Funds From Operations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5,932</w:t>
            </w: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5,676</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17,410</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18,473</w:t>
            </w:r>
          </w:p>
        </w:tc>
        <w:tc>
          <w:tcPr>
            <w:tcW w:w="20" w:type="dxa"/>
            <w:vAlign w:val="bottom"/>
          </w:tcPr>
          <w:p>
            <w:pPr>
              <w:spacing w:after="0"/>
              <w:rPr>
                <w:sz w:val="21"/>
                <w:szCs w:val="21"/>
                <w:color w:val="auto"/>
              </w:rPr>
            </w:pPr>
          </w:p>
        </w:tc>
      </w:tr>
      <w:tr>
        <w:trPr>
          <w:trHeight w:val="196"/>
        </w:trPr>
        <w:tc>
          <w:tcPr>
            <w:tcW w:w="3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720" w:type="dxa"/>
            <w:vAlign w:val="bottom"/>
          </w:tcPr>
          <w:p>
            <w:pPr>
              <w:ind w:left="20"/>
              <w:spacing w:after="0"/>
              <w:rPr>
                <w:sz w:val="20"/>
                <w:szCs w:val="20"/>
                <w:color w:val="auto"/>
              </w:rPr>
            </w:pPr>
            <w:r>
              <w:rPr>
                <w:rFonts w:ascii="Arial" w:cs="Arial" w:eastAsia="Arial" w:hAnsi="Arial"/>
                <w:sz w:val="18"/>
                <w:szCs w:val="18"/>
                <w:color w:val="auto"/>
                <w:w w:val="96"/>
              </w:rPr>
              <w:t>Weighted Average Number of Common Shares:</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13,946,194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11,888,171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14,001,774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11,799,151</w:t>
            </w:r>
          </w:p>
        </w:tc>
        <w:tc>
          <w:tcPr>
            <w:tcW w:w="20" w:type="dxa"/>
            <w:vAlign w:val="bottom"/>
          </w:tcPr>
          <w:p>
            <w:pPr>
              <w:spacing w:after="0"/>
              <w:rPr>
                <w:sz w:val="18"/>
                <w:szCs w:val="18"/>
                <w:color w:val="auto"/>
              </w:rPr>
            </w:pPr>
          </w:p>
        </w:tc>
      </w:tr>
      <w:tr>
        <w:trPr>
          <w:trHeight w:val="230"/>
        </w:trPr>
        <w:tc>
          <w:tcPr>
            <w:tcW w:w="3720" w:type="dxa"/>
            <w:vAlign w:val="bottom"/>
          </w:tcPr>
          <w:p>
            <w:pPr>
              <w:ind w:left="12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15,649,688</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13,591,665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15,705,268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13,502,645</w:t>
            </w:r>
          </w:p>
        </w:tc>
        <w:tc>
          <w:tcPr>
            <w:tcW w:w="20" w:type="dxa"/>
            <w:vAlign w:val="bottom"/>
          </w:tcPr>
          <w:p>
            <w:pPr>
              <w:spacing w:after="0"/>
              <w:rPr>
                <w:sz w:val="20"/>
                <w:szCs w:val="20"/>
                <w:color w:val="auto"/>
              </w:rPr>
            </w:pPr>
          </w:p>
        </w:tc>
      </w:tr>
    </w:tbl>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Data (in thousands, except per share data):</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4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0"/>
                <w:szCs w:val="20"/>
                <w:color w:val="auto"/>
              </w:rPr>
            </w:pPr>
          </w:p>
        </w:tc>
        <w:tc>
          <w:tcPr>
            <w:tcW w:w="222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Nine Months Ended</w:t>
            </w:r>
          </w:p>
        </w:tc>
      </w:tr>
      <w:tr>
        <w:trPr>
          <w:trHeight w:val="191"/>
        </w:trPr>
        <w:tc>
          <w:tcPr>
            <w:tcW w:w="3720" w:type="dxa"/>
            <w:vAlign w:val="bottom"/>
          </w:tcPr>
          <w:p>
            <w:pPr>
              <w:spacing w:after="0"/>
              <w:rPr>
                <w:sz w:val="16"/>
                <w:szCs w:val="16"/>
                <w:color w:val="auto"/>
              </w:rPr>
            </w:pPr>
          </w:p>
        </w:tc>
        <w:tc>
          <w:tcPr>
            <w:tcW w:w="1360" w:type="dxa"/>
            <w:vAlign w:val="bottom"/>
            <w:tcBorders>
              <w:top w:val="single" w:sz="8" w:color="auto"/>
            </w:tcBorders>
            <w:gridSpan w:val="3"/>
          </w:tcPr>
          <w:p>
            <w:pPr>
              <w:ind w:left="60"/>
              <w:spacing w:after="0" w:line="191" w:lineRule="exact"/>
              <w:rPr>
                <w:sz w:val="20"/>
                <w:szCs w:val="20"/>
                <w:color w:val="auto"/>
              </w:rPr>
            </w:pPr>
            <w:r>
              <w:rPr>
                <w:rFonts w:ascii="Arial" w:cs="Arial" w:eastAsia="Arial" w:hAnsi="Arial"/>
                <w:sz w:val="18"/>
                <w:szCs w:val="18"/>
                <w:b w:val="1"/>
                <w:bCs w:val="1"/>
                <w:color w:val="auto"/>
              </w:rPr>
              <w:t>September 30,</w:t>
            </w:r>
          </w:p>
        </w:tc>
        <w:tc>
          <w:tcPr>
            <w:tcW w:w="122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2"/>
              </w:rPr>
              <w:t>September 30,</w:t>
            </w:r>
          </w:p>
        </w:tc>
        <w:tc>
          <w:tcPr>
            <w:tcW w:w="120" w:type="dxa"/>
            <w:vAlign w:val="bottom"/>
          </w:tcPr>
          <w:p>
            <w:pPr>
              <w:spacing w:after="0"/>
              <w:rPr>
                <w:sz w:val="16"/>
                <w:szCs w:val="16"/>
                <w:color w:val="auto"/>
              </w:rPr>
            </w:pPr>
          </w:p>
        </w:tc>
        <w:tc>
          <w:tcPr>
            <w:tcW w:w="1300" w:type="dxa"/>
            <w:vAlign w:val="bottom"/>
            <w:tcBorders>
              <w:top w:val="single" w:sz="8" w:color="auto"/>
            </w:tcBorders>
            <w:gridSpan w:val="3"/>
          </w:tcPr>
          <w:p>
            <w:pPr>
              <w:ind w:left="40"/>
              <w:spacing w:after="0" w:line="191" w:lineRule="exact"/>
              <w:rPr>
                <w:sz w:val="20"/>
                <w:szCs w:val="20"/>
                <w:color w:val="auto"/>
              </w:rPr>
            </w:pPr>
            <w:r>
              <w:rPr>
                <w:rFonts w:ascii="Arial" w:cs="Arial" w:eastAsia="Arial" w:hAnsi="Arial"/>
                <w:sz w:val="18"/>
                <w:szCs w:val="18"/>
                <w:b w:val="1"/>
                <w:bCs w:val="1"/>
                <w:color w:val="auto"/>
              </w:rPr>
              <w:t>September 30,</w:t>
            </w:r>
          </w:p>
        </w:tc>
        <w:tc>
          <w:tcPr>
            <w:tcW w:w="118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0"/>
              </w:rPr>
              <w:t>September 30,</w:t>
            </w:r>
          </w:p>
        </w:tc>
      </w:tr>
      <w:tr>
        <w:trPr>
          <w:trHeight w:val="234"/>
        </w:trPr>
        <w:tc>
          <w:tcPr>
            <w:tcW w:w="37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r>
      <w:tr>
        <w:trPr>
          <w:trHeight w:val="21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FFO</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18,414</w:t>
            </w:r>
          </w:p>
        </w:tc>
      </w:tr>
      <w:tr>
        <w:trPr>
          <w:trHeight w:val="216"/>
        </w:trPr>
        <w:tc>
          <w:tcPr>
            <w:tcW w:w="3720" w:type="dxa"/>
            <w:vAlign w:val="bottom"/>
          </w:tcPr>
          <w:p>
            <w:pPr>
              <w:ind w:left="20"/>
              <w:spacing w:after="0"/>
              <w:rPr>
                <w:sz w:val="20"/>
                <w:szCs w:val="20"/>
                <w:color w:val="auto"/>
              </w:rPr>
            </w:pPr>
            <w:r>
              <w:rPr>
                <w:rFonts w:ascii="Arial" w:cs="Arial" w:eastAsia="Arial" w:hAnsi="Arial"/>
                <w:sz w:val="18"/>
                <w:szCs w:val="18"/>
                <w:color w:val="auto"/>
              </w:rPr>
              <w:t>FFO per Diluted Share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0.37</w:t>
            </w:r>
          </w:p>
        </w:tc>
        <w:tc>
          <w:tcPr>
            <w:tcW w:w="14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0.40</w:t>
            </w:r>
          </w:p>
        </w:tc>
        <w:tc>
          <w:tcPr>
            <w:tcW w:w="1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3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3720" w:type="dxa"/>
            <w:vAlign w:val="bottom"/>
          </w:tcPr>
          <w:p>
            <w:pPr>
              <w:ind w:left="20"/>
              <w:spacing w:after="0"/>
              <w:rPr>
                <w:sz w:val="20"/>
                <w:szCs w:val="20"/>
                <w:color w:val="auto"/>
              </w:rPr>
            </w:pPr>
            <w:r>
              <w:rPr>
                <w:rFonts w:ascii="Arial" w:cs="Arial" w:eastAsia="Arial" w:hAnsi="Arial"/>
                <w:sz w:val="18"/>
                <w:szCs w:val="18"/>
                <w:color w:val="auto"/>
              </w:rPr>
              <w:t>AFFO</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5,932</w:t>
            </w:r>
          </w:p>
        </w:tc>
        <w:tc>
          <w:tcPr>
            <w:tcW w:w="14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5,676</w:t>
            </w:r>
          </w:p>
        </w:tc>
        <w:tc>
          <w:tcPr>
            <w:tcW w:w="1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17,410</w:t>
            </w:r>
          </w:p>
        </w:tc>
        <w:tc>
          <w:tcPr>
            <w:tcW w:w="12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18,473</w:t>
            </w:r>
          </w:p>
        </w:tc>
      </w:tr>
      <w:tr>
        <w:trPr>
          <w:trHeight w:val="216"/>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AFFO per Diluted Share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Critical accounting estimates include those estimates made in accordance with GAAP that involve a significant level of estimation uncertainty and have had or are reasonably likely to have a material impact on the Company’s financial condition or results of operations. Our most significant estimate is as follows:</w:t>
      </w:r>
    </w:p>
    <w:p>
      <w:pPr>
        <w:spacing w:after="0" w:line="184"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i w:val="1"/>
          <w:iCs w:val="1"/>
          <w:color w:val="auto"/>
        </w:rPr>
        <w:t>Purchase Accounting for Acquisitions of Real Estate Subject to a Lease</w:t>
      </w:r>
      <w:r>
        <w:rPr>
          <w:rFonts w:ascii="Arial" w:cs="Arial" w:eastAsia="Arial" w:hAnsi="Arial"/>
          <w:sz w:val="16"/>
          <w:szCs w:val="16"/>
          <w:color w:val="auto"/>
        </w:rPr>
        <w:t>. As required by GAAP, the fair value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assumptions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underlying the allocation of relative fair values are based on market information including, but not limited to: (i) the estimate of replacement cost of improvements under the cost approach, (ii) the estimate of land values based on comparable sales under the sales comparison approach, and (iii) the estimate of future benefits determined by either a reasonable rate of return over a single year’s net cash flow, or a forecast of net cash flows projected over a reasonable investment horizon under the income capitalization approach. The underlying assumptions are subject to uncertainty and thus any changes to the allocation of fair value to each of the various line items within the Company’s consolidated balance sheets could have an impact on the Company’s financial condition as well as results of operations due to resulting changes in depreciation and amortization as a result of the fair value allocation. The acquisitions of real estate subject to this estimate totaled 12 properties for a combined purchase price of $79.9 million for the nine months ended September 30, 2023 and 44 properties for a combined purchase price of $145.7 million for the nine months ended September 30, 2022.</w:t>
      </w:r>
    </w:p>
    <w:p>
      <w:pPr>
        <w:spacing w:after="0" w:line="168"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See Note 2, “Summary of Significant Accounting Policies”, for further discussion of the Company’s accounting estimates and policies.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20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We are a smaller reporting company as defined in Item 10(f)(1) of Regulation S-K. As a result, pursuant to Item 305(e) of Regulation S-K, we are not required to provide the information required by this Item.</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229"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As of the end of the period covered by this report, an evaluation, as required by Rules 13(a)-15 and 15(d)-15 of the Securities Exchange Act of 1934 (the “Exchange Act”) was carried out under the supervision and with the participation of the Company’s management, including the Chief Executive Officer (“CEO”) and Chief Financial Officer (“CFO”), of the effectiveness of the Company’s disclosure controls and procedures (as defined in Rules 13a-15(e) or 15d-15(e) of the Exchange Act). Based on that evaluation, the CEO and CFO have concluded that the design and operation of the Company’s disclosure controls and procedures are effective to ensure that information required to be disclosed by the Company in reports that it files or submits under the Exchange Act is recorded, processed, summarized, and reported within the time periods specified in SEC rules and forms, and to provide reasonable assurance that information required to be disclosed by the Company in such reports is accumulated and communicated to the Company’s management, including its CEO and CFO, as appropriate to allow timely decisions regarding required disclosure. There were no changes in the Company’s internal control over financial reporting (as defined in Rules 13a-15(f) or 15d-15(f) under the Exchange Act) during the three months ended September 30, 2023, that have materially affected, or are reasonably likely to materially affect, the Company’s internal control over financial reporting.</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PART II—OTHER INFORMATION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202" w:lineRule="exact"/>
        <w:rPr>
          <w:sz w:val="20"/>
          <w:szCs w:val="20"/>
          <w:color w:val="auto"/>
        </w:rPr>
      </w:pPr>
    </w:p>
    <w:p>
      <w:pPr>
        <w:jc w:val="both"/>
        <w:ind w:left="60" w:right="59" w:firstLine="324"/>
        <w:spacing w:after="0" w:line="248" w:lineRule="auto"/>
        <w:rPr>
          <w:sz w:val="20"/>
          <w:szCs w:val="20"/>
          <w:color w:val="auto"/>
        </w:rPr>
      </w:pPr>
      <w:r>
        <w:rPr>
          <w:rFonts w:ascii="Arial" w:cs="Arial" w:eastAsia="Arial" w:hAnsi="Arial"/>
          <w:sz w:val="18"/>
          <w:szCs w:val="18"/>
          <w:color w:val="auto"/>
        </w:rPr>
        <w:t>From time to time, the Company may be a party to certain legal proceedings, incidental to the normal course of business. The Company is not currently a party to any pending or threatened legal proceedings that we believe could have a material adverse effect on the Company’s business or financial condition.</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following risk factors should be read in conjunction with the risk factors from those set forth under the heading Part I, “Item 1A. Risk Factors” in the Company’s Annual Report on Form 10-K for the year ended December 31, 2022 (the “Form 10-K”). The risks described below and in the Form 10-K are not the only risks facing the Company. Additional risks and uncertainties not currently known to the Company or that the Company currently deems to be immaterial also may materially adversely affect the Company.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A part of our investment strategy is focused on investing in commercial loans and investments which may involve credit risk.</w:t>
      </w:r>
    </w:p>
    <w:p>
      <w:pPr>
        <w:spacing w:after="0" w:line="170"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We have invested in a single commercial loan secured by commercial real estate and may from time to time in the future opportunistically invest in additional commercial loans secured by commercial real estate or similar financings secured by real estate. Investments in commercial loans or similar financings of real estate involve credit risk with regard to the borrower, the borrower’s operations and the real estate that secures the financing. The credit risks include, but are not limited to, the ability of the borrower to execute their business plan and strategy, the ability of the borrower to sustain and/or improve the operating results generated by the collateral property, the ability of the borrower to continue as a going concern, and the risk associated with the market or industry in which the collateral property is utilized. Our evaluation of the investment opportunity in a mortgage loan or similar financing includes these elements of credit risk as well as other underwriting criteria and factors. Further, we may rely on third party resources to assist us in our investment evaluation process and otherwise in conducting customary due diligence. Our underwriting of the investment or our estimates of credit risk may not prove to be accurate, as actual results may vary from our estimates. In the event we underestimate the performance of the borrower and/or the underlying real estate which secures our commercial loan or financing, we may experience losses or unanticipated costs regarding our investment and our financial condition, results of operations, and cash flows may be adversely impacted.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origination or acquisition of construction loans exposes us to an increased risk of loss.</w:t>
      </w:r>
    </w:p>
    <w:p>
      <w:pPr>
        <w:spacing w:after="0" w:line="225"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We may originate or acquire construction loans. If we fail to fund our entire commitment on a construction loan or if a borrower otherwise fails to complete the construction of a project, there could be adverse consequences associated with the loan, including, but not limited to: a loss of the value of the property securing the loan, especially if the borrower is unable to raise funds to complete construction from other sources; a borrower claim against us for failure to perform under the loan documents; increased costs to the borrower that the borrower is unable to pay; a bankruptcy filing by the borrower; and abandonment by the borrower of the collateral for the loan. A borrower default on a construction loan where the property has not achieved completion poses a greater risk than a conventional loan, as completion would be required before the property is able to generate revenue. The process of foreclosing on a property is time-consuming, and we may incur significant expense if we foreclose on a property securing a loan under these or other circumstances.</w:t>
      </w:r>
    </w:p>
    <w:p>
      <w:pPr>
        <w:spacing w:after="0" w:line="16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Our investments in construction loans will require us to make estimates about the fair value of land improvements that may be challenged by the IRS.</w:t>
      </w:r>
    </w:p>
    <w:p>
      <w:pPr>
        <w:spacing w:after="0" w:line="170"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We have invested and may in the future invest in construction loans, the interest from which will be qualifying income for purposes of the REIT income tests, provided that the loan value of the real property securing the construction loan is equal to or greater than the highest outstanding principal amount of the construction loan during any taxable year. For purposes of construction loans, the loan value of the real property is the fair value of the land plus the reasonably estimated cost of the improvements or developments (other than personal property) that will secure the loan and that are to be constructed from the proceeds of the loan. There can be no assurance that the IRS would not challenge our estimate of the loan value of the real property.</w:t>
      </w:r>
    </w:p>
    <w:p>
      <w:pPr>
        <w:spacing w:after="0" w:line="177"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We may invest in fixed-rate loan investments, and an increase in interest rates may adversely affect the value of these investments, which could adversely impact our financial condition, results of operations and cash flows.</w:t>
      </w:r>
    </w:p>
    <w:p>
      <w:pPr>
        <w:spacing w:after="0" w:line="124" w:lineRule="exact"/>
        <w:rPr>
          <w:sz w:val="20"/>
          <w:szCs w:val="20"/>
          <w:color w:val="auto"/>
        </w:rPr>
      </w:pPr>
    </w:p>
    <w:p>
      <w:pPr>
        <w:jc w:val="both"/>
        <w:ind w:left="60" w:right="59" w:firstLine="389"/>
        <w:spacing w:after="0" w:line="290" w:lineRule="auto"/>
        <w:rPr>
          <w:sz w:val="20"/>
          <w:szCs w:val="20"/>
          <w:color w:val="auto"/>
        </w:rPr>
      </w:pPr>
      <w:r>
        <w:rPr>
          <w:rFonts w:ascii="Arial" w:cs="Arial" w:eastAsia="Arial" w:hAnsi="Arial"/>
          <w:sz w:val="16"/>
          <w:szCs w:val="16"/>
          <w:color w:val="auto"/>
        </w:rPr>
        <w:t>Increases in interest rates may negatively affect the market value of our investments, particularly any fixed-rate commercial loans or other financings we have invested in. Generally, any fixed-rate commercial loans or other financings will be more negatively affected by rising interest rates than adjustable-rate assets. Reductions in the fair value of our investments could decrease the amounts we may borrow to purchase additional commercial loans or similar financing investments, which could impact our ability to increase our operating results and cash flows. Furthermore, if our borrowing costs are rising while our interest income is fixed for the fixed-rate investments, the spread between our borrowing costs and the fixed-rate we earn on the commercial loans or similar financing investments will contract or could become negative which would adversely impact our financial condition, results of operations, and cash flows.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The commercial loans or similar financings we have acquired and may acquire in the future that are secured by commercial real estate typically depend on the ability of the property owner to generate income from operating the property. Failure to do so may result in delinquency and/or foreclosure.</w:t>
      </w:r>
    </w:p>
    <w:p>
      <w:pPr>
        <w:spacing w:after="0" w:line="184"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Commercial loans are secured by commercial property and are subject to risks of delinquency and foreclosure and therefore risk of loss. The ability of a borrower to repay a loan secured by an income-producing property typically is dependent primarily upon the successful operation of such property rather than upon the existence of independent income or assets of the borrower. If the net operating income of the property is reduced, the borrower’s ability to repay the loan may be impaired. In the event of any default under a commercial loan held directly by us, we will bear a risk of loss of principal to the extent of any deficiency between the value of the collateral and the principal and accrued interest of the commercial loan, which could have a material adverse effect on our financial condition, operating results and cash flows. In the event of the bankruptcy of a commercial loan borrower, the mortgage loan to such borrower will be deemed to be secured only to the extent of the value of the underlying collateral at the time of bankruptcy (as determined by the bankruptcy court), and the lien securing the loan will be subject to the avoidance powers of the bankruptcy trustee or debtor-in-possession to the extent the lien is unenforceable under state law. Foreclosure of a loan can be an expensive and lengthy process, which could have a substantial negative effect on our anticipated return on the foreclosed commercial loan. If the borrower is unable to repay a mortgage loan or similar financing, our inability to foreclose on the asset in a timely manner, and/or our inability to obtain value from reselling or otherwise disposing of the asset for an amount equal to our investment basis, would adversely impact our financial condition, results of operations, and cash flows.</w:t>
      </w:r>
    </w:p>
    <w:p>
      <w:pPr>
        <w:spacing w:after="0" w:line="167"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The activities or actions of a third-party servicer engaged to service our investment in a commercial loan or similar debt financing could adversely impact the value of our investment or our results of operations and cash flows.</w:t>
      </w:r>
    </w:p>
    <w:p>
      <w:pPr>
        <w:spacing w:after="0" w:line="124"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Any future investments in first mortgages or other debt financings secured by real estate may require a third-party servicer to service the loan on our behalf and/or on behalf of third parties who have invested in some portion of the debt financing. An intended or unintended breach by the servicer with regard to their servicing of the debt financing or in their contractual obligations and fiduciary duties to us or the other holders of the debt financing could adversely impact the value of our investment or our results of operations and cash flows.</w:t>
      </w:r>
    </w:p>
    <w:p>
      <w:pPr>
        <w:spacing w:after="0" w:line="18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may suffer losses when a borrower defaults on a loan and the value of the underlying collateral is less than the amount due.</w:t>
      </w:r>
    </w:p>
    <w:p>
      <w:pPr>
        <w:spacing w:after="0" w:line="170"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If a borrower defaults on a non-recourse loan, we will only have recourse to the real estate-related assets collateralizing the loan. If the underlying collateral value is less than the loan amount, we will suffer a loss. Conversely, commercial loans we invest in may be unsecured or be secured only by equity interests in the borrowing entities. These loans are subject to the risk that other lenders in the capital stack may be directly secured by the real estate assets of the borrower or may otherwise have a superior right to repayment. Upon a default, those collateralized lenders would have priority over us with respect to the proceeds of a sale of the underlying real estate. In such cases, we may lack control over the underlying asset collateralizing our loan or the underlying assets of the borrower before a default and, as a result, the value of the collateral may be reduced by acts or omissions by owners or managers of the assets.</w:t>
      </w:r>
    </w:p>
    <w:p>
      <w:pPr>
        <w:spacing w:after="0" w:line="165"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Commercial loans we may invest in may be backed by individual or corporate guarantees from borrowers or their affiliates which guarantees are not secured. If the guarantees are not fully or partially secured, we typically rely on financial covenants from borrowers and guarantors which are designed to require the borrower or guarantor to maintain certain levels of creditworthiness. Should we not have recourse to specific collateral pledged to satisfy such guarantees or recourse loans, we will have recourse as an unsecured creditor only to the general assets of the borrower or guarantor, some or all of which may be pledged as collateral for other lenders. There can be no assurance that a borrower or guarantor will comply with its financial covenants, or that sufficient assets will be available to pay amounts owed to us under our loans and guarantees. Because of these factors, we may suffer additional losses which could have a material adverse effect on our financial condition, operating results and cash flows.</w:t>
      </w:r>
    </w:p>
    <w:p>
      <w:pPr>
        <w:spacing w:after="0" w:line="166"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Upon a borrower bankruptcy, we may not have full recourse to the assets of the borrower to satisfy our loan. Additionally, in some instances, our loans may be subordinate to other debt of certain borrowers. If a borrower defaults on our loan or on debt senior to our loan, or a borrower files for bankruptcy, our loan will be satisfied only after the senior</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debt receives payment. Where debt senior to our loan exists, the presence of inter-creditor arrangements may limit our ability to amend our loan documents, assign our loans, accept prepayments, exercise our remedies (through “standstill” periods), and control decisions made in bankruptcy proceedings. Bankruptcy and borrower litigation can significantly increase collection costs and the time needed for us to acquire title to the underlying collateral (if applicable), during which time the collateral and/or a borrower’s financial condition may decline in value, causing us to suffer additional losses.</w:t>
      </w:r>
    </w:p>
    <w:p>
      <w:pPr>
        <w:spacing w:after="0" w:line="161"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If the value of collateral underlying a loan declines, or interest rates increase during the term of a loan, a borrower may not be able to obtain the necessary funds to repay our loan at maturity through refinancing because the underlying property revenue cannot satisfy the debt service coverage requirements necessary to obtain new financing. If a borrower is unable to repay our loan at maturity, we could suffer additional loss which may adversely impact our financial condition, operating results and cash flows.</w:t>
      </w:r>
    </w:p>
    <w:p>
      <w:pPr>
        <w:spacing w:after="0" w:line="188"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As a result of any of the above factors or events, the losses we may suffer could adversely impact our financial condition, results of operations and cash flows.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There were no unregistered sales of equity securities of the Company during the three months ended September 30, 2023.</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share repurchases were made during the three months ended September 30, 2023:</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3"/>
          </w:tcPr>
          <w:p>
            <w:pPr>
              <w:ind w:left="20"/>
              <w:spacing w:after="0"/>
              <w:rPr>
                <w:sz w:val="20"/>
                <w:szCs w:val="20"/>
                <w:color w:val="auto"/>
              </w:rPr>
            </w:pPr>
            <w:r>
              <w:rPr>
                <w:rFonts w:ascii="Arial" w:cs="Arial" w:eastAsia="Arial" w:hAnsi="Arial"/>
                <w:sz w:val="18"/>
                <w:szCs w:val="18"/>
                <w:b w:val="1"/>
                <w:bCs w:val="1"/>
                <w:color w:val="auto"/>
              </w:rPr>
              <w:t>Maximum Number (or</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center"/>
              <w:ind w:right="293"/>
              <w:spacing w:after="0"/>
              <w:rPr>
                <w:sz w:val="20"/>
                <w:szCs w:val="20"/>
                <w:color w:val="auto"/>
              </w:rPr>
            </w:pPr>
            <w:r>
              <w:rPr>
                <w:rFonts w:ascii="Arial" w:cs="Arial" w:eastAsia="Arial" w:hAnsi="Arial"/>
                <w:sz w:val="18"/>
                <w:szCs w:val="18"/>
                <w:b w:val="1"/>
                <w:bCs w:val="1"/>
                <w:color w:val="auto"/>
                <w:w w:val="93"/>
              </w:rPr>
              <w:t>Approximate Dollar</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360" w:type="dxa"/>
            <w:vAlign w:val="bottom"/>
            <w:gridSpan w:val="3"/>
            <w:vMerge w:val="restart"/>
          </w:tcPr>
          <w:p>
            <w:pPr>
              <w:jc w:val="center"/>
              <w:ind w:right="200"/>
              <w:spacing w:after="0"/>
              <w:rPr>
                <w:sz w:val="20"/>
                <w:szCs w:val="20"/>
                <w:color w:val="auto"/>
              </w:rPr>
            </w:pPr>
            <w:r>
              <w:rPr>
                <w:rFonts w:ascii="Arial" w:cs="Arial" w:eastAsia="Arial" w:hAnsi="Arial"/>
                <w:sz w:val="18"/>
                <w:szCs w:val="18"/>
                <w:b w:val="1"/>
                <w:bCs w:val="1"/>
                <w:color w:val="auto"/>
                <w:w w:val="93"/>
              </w:rPr>
              <w:t>Total Number</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6"/>
              </w:rPr>
              <w:t>Shares Purchased as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center"/>
              <w:ind w:right="293"/>
              <w:spacing w:after="0"/>
              <w:rPr>
                <w:sz w:val="20"/>
                <w:szCs w:val="20"/>
                <w:color w:val="auto"/>
              </w:rPr>
            </w:pPr>
            <w:r>
              <w:rPr>
                <w:rFonts w:ascii="Arial" w:cs="Arial" w:eastAsia="Arial" w:hAnsi="Arial"/>
                <w:sz w:val="18"/>
                <w:szCs w:val="18"/>
                <w:b w:val="1"/>
                <w:bCs w:val="1"/>
                <w:color w:val="auto"/>
                <w:w w:val="89"/>
              </w:rPr>
              <w:t>Value) of Shares that</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36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1"/>
              </w:rPr>
              <w:t>a Part of Publicly</w:t>
            </w:r>
          </w:p>
        </w:tc>
        <w:tc>
          <w:tcPr>
            <w:tcW w:w="180" w:type="dxa"/>
            <w:vAlign w:val="bottom"/>
          </w:tcPr>
          <w:p>
            <w:pPr>
              <w:spacing w:after="0"/>
              <w:rPr>
                <w:sz w:val="18"/>
                <w:szCs w:val="18"/>
                <w:color w:val="auto"/>
              </w:rPr>
            </w:pPr>
          </w:p>
        </w:tc>
        <w:tc>
          <w:tcPr>
            <w:tcW w:w="2060" w:type="dxa"/>
            <w:vAlign w:val="bottom"/>
            <w:gridSpan w:val="3"/>
          </w:tcPr>
          <w:p>
            <w:pPr>
              <w:ind w:left="40"/>
              <w:spacing w:after="0"/>
              <w:rPr>
                <w:sz w:val="20"/>
                <w:szCs w:val="20"/>
                <w:color w:val="auto"/>
              </w:rPr>
            </w:pPr>
            <w:r>
              <w:rPr>
                <w:rFonts w:ascii="Arial" w:cs="Arial" w:eastAsia="Arial" w:hAnsi="Arial"/>
                <w:sz w:val="18"/>
                <w:szCs w:val="18"/>
                <w:b w:val="1"/>
                <w:bCs w:val="1"/>
                <w:color w:val="auto"/>
              </w:rPr>
              <w:t>May Yet be Purchased</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of Shares</w:t>
            </w:r>
          </w:p>
        </w:tc>
        <w:tc>
          <w:tcPr>
            <w:tcW w:w="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Average Price</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 Plans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center"/>
              <w:ind w:right="293"/>
              <w:spacing w:after="0"/>
              <w:rPr>
                <w:sz w:val="20"/>
                <w:szCs w:val="20"/>
                <w:color w:val="auto"/>
              </w:rPr>
            </w:pPr>
            <w:r>
              <w:rPr>
                <w:rFonts w:ascii="Arial" w:cs="Arial" w:eastAsia="Arial" w:hAnsi="Arial"/>
                <w:sz w:val="18"/>
                <w:szCs w:val="18"/>
                <w:b w:val="1"/>
                <w:bCs w:val="1"/>
                <w:color w:val="auto"/>
                <w:w w:val="89"/>
              </w:rPr>
              <w:t>Under the Plans or</w:t>
            </w:r>
          </w:p>
        </w:tc>
        <w:tc>
          <w:tcPr>
            <w:tcW w:w="0" w:type="dxa"/>
            <w:vAlign w:val="bottom"/>
          </w:tcPr>
          <w:p>
            <w:pPr>
              <w:spacing w:after="0"/>
              <w:rPr>
                <w:sz w:val="1"/>
                <w:szCs w:val="1"/>
                <w:color w:val="auto"/>
              </w:rPr>
            </w:pPr>
          </w:p>
        </w:tc>
      </w:tr>
      <w:tr>
        <w:trPr>
          <w:trHeight w:val="234"/>
        </w:trPr>
        <w:tc>
          <w:tcPr>
            <w:tcW w:w="2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Purchased</w:t>
            </w:r>
          </w:p>
        </w:tc>
        <w:tc>
          <w:tcPr>
            <w:tcW w:w="8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Paid per Share</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1"/>
              </w:rPr>
              <w:t>or Programs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gridSpan w:val="2"/>
          </w:tcPr>
          <w:p>
            <w:pPr>
              <w:jc w:val="center"/>
              <w:ind w:right="293"/>
              <w:spacing w:after="0"/>
              <w:rPr>
                <w:sz w:val="20"/>
                <w:szCs w:val="20"/>
                <w:color w:val="auto"/>
              </w:rPr>
            </w:pPr>
            <w:r>
              <w:rPr>
                <w:rFonts w:ascii="Arial" w:cs="Arial" w:eastAsia="Arial" w:hAnsi="Arial"/>
                <w:sz w:val="18"/>
                <w:szCs w:val="18"/>
                <w:b w:val="1"/>
                <w:bCs w:val="1"/>
                <w:color w:val="auto"/>
                <w:w w:val="90"/>
              </w:rPr>
              <w:t>Programs ($000's)</w:t>
            </w:r>
          </w:p>
        </w:tc>
        <w:tc>
          <w:tcPr>
            <w:tcW w:w="0" w:type="dxa"/>
            <w:vAlign w:val="bottom"/>
          </w:tcPr>
          <w:p>
            <w:pPr>
              <w:spacing w:after="0"/>
              <w:rPr>
                <w:sz w:val="1"/>
                <w:szCs w:val="1"/>
                <w:color w:val="auto"/>
              </w:rPr>
            </w:pPr>
          </w:p>
        </w:tc>
      </w:tr>
      <w:tr>
        <w:trPr>
          <w:trHeight w:val="210"/>
        </w:trPr>
        <w:tc>
          <w:tcPr>
            <w:tcW w:w="2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7/1/2023 - 7/31/2023</w:t>
            </w: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50,635</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1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50,635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14,144</w:t>
            </w:r>
          </w:p>
        </w:tc>
        <w:tc>
          <w:tcPr>
            <w:tcW w:w="260" w:type="dxa"/>
            <w:vAlign w:val="bottom"/>
            <w:tcBorders>
              <w:top w:val="single" w:sz="8" w:color="CCEEFF"/>
            </w:tcBorders>
            <w:shd w:val="clear" w:color="auto" w:fill="CCEEFF"/>
          </w:tcPr>
          <w:p>
            <w:pPr>
              <w:jc w:val="right"/>
              <w:ind w:right="33"/>
              <w:spacing w:after="0"/>
              <w:rPr>
                <w:sz w:val="20"/>
                <w:szCs w:val="20"/>
                <w:color w:val="auto"/>
              </w:rPr>
            </w:pPr>
            <w:r>
              <w:rPr>
                <w:rFonts w:ascii="Arial" w:cs="Arial" w:eastAsia="Arial" w:hAnsi="Arial"/>
                <w:sz w:val="13"/>
                <w:szCs w:val="13"/>
                <w:color w:val="auto"/>
                <w:w w:val="87"/>
              </w:rPr>
              <w:t>(1)</w:t>
            </w:r>
          </w:p>
        </w:tc>
        <w:tc>
          <w:tcPr>
            <w:tcW w:w="0" w:type="dxa"/>
            <w:vAlign w:val="bottom"/>
          </w:tcPr>
          <w:p>
            <w:pPr>
              <w:spacing w:after="0"/>
              <w:rPr>
                <w:sz w:val="1"/>
                <w:szCs w:val="1"/>
                <w:color w:val="auto"/>
              </w:rPr>
            </w:pPr>
          </w:p>
        </w:tc>
      </w:tr>
      <w:tr>
        <w:trPr>
          <w:trHeight w:val="216"/>
        </w:trPr>
        <w:tc>
          <w:tcPr>
            <w:tcW w:w="2100" w:type="dxa"/>
            <w:vAlign w:val="bottom"/>
          </w:tcPr>
          <w:p>
            <w:pPr>
              <w:ind w:left="20"/>
              <w:spacing w:after="0"/>
              <w:rPr>
                <w:sz w:val="20"/>
                <w:szCs w:val="20"/>
                <w:color w:val="auto"/>
              </w:rPr>
            </w:pPr>
            <w:r>
              <w:rPr>
                <w:rFonts w:ascii="Arial" w:cs="Arial" w:eastAsia="Arial" w:hAnsi="Arial"/>
                <w:sz w:val="18"/>
                <w:szCs w:val="18"/>
                <w:color w:val="auto"/>
              </w:rPr>
              <w:t>8/1/2023 - 8/31/2023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94,851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16.93</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94,851</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12,538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9/1/2023 - 9/30/2023</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134,846</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180" w:type="dxa"/>
            <w:vAlign w:val="bottom"/>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134,846</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100" w:type="dxa"/>
            <w:vAlign w:val="bottom"/>
          </w:tcPr>
          <w:p>
            <w:pPr>
              <w:ind w:left="2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280,332</w:t>
            </w: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w:t>
            </w:r>
          </w:p>
        </w:tc>
        <w:tc>
          <w:tcPr>
            <w:tcW w:w="180" w:type="dxa"/>
            <w:vAlign w:val="bottom"/>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280,332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1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right="79" w:hanging="330"/>
        <w:spacing w:after="0" w:line="253" w:lineRule="auto"/>
        <w:tabs>
          <w:tab w:leader="none" w:pos="380" w:val="left"/>
        </w:tabs>
        <w:numPr>
          <w:ilvl w:val="0"/>
          <w:numId w:val="12"/>
        </w:numPr>
        <w:rPr>
          <w:rFonts w:ascii="Arial" w:cs="Arial" w:eastAsia="Arial" w:hAnsi="Arial"/>
          <w:sz w:val="11"/>
          <w:szCs w:val="11"/>
          <w:color w:val="auto"/>
        </w:rPr>
      </w:pPr>
      <w:r>
        <w:rPr>
          <w:rFonts w:ascii="Arial" w:cs="Arial" w:eastAsia="Arial" w:hAnsi="Arial"/>
          <w:sz w:val="14"/>
          <w:szCs w:val="14"/>
          <w:color w:val="auto"/>
        </w:rPr>
        <w:t>In July 2023, the Company’s Board of Directors approved a $15 million stock repurchase program under which approximately $4.7 million of the Company’s stock had been repurchased as of September 30, 2023. The repurchase program does not have an expiration date.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Exhibits:</w:t>
      </w:r>
    </w:p>
    <w:p>
      <w:pPr>
        <w:spacing w:after="0" w:line="9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420" w:type="dxa"/>
            <w:vAlign w:val="bottom"/>
          </w:tcPr>
          <w:p>
            <w:pPr>
              <w:ind w:left="20"/>
              <w:spacing w:after="0"/>
              <w:rPr>
                <w:sz w:val="20"/>
                <w:szCs w:val="20"/>
                <w:color w:val="auto"/>
              </w:rPr>
            </w:pPr>
            <w:r>
              <w:rPr>
                <w:rFonts w:ascii="Arial" w:cs="Arial" w:eastAsia="Arial" w:hAnsi="Arial"/>
                <w:sz w:val="17"/>
                <w:szCs w:val="17"/>
                <w:color w:val="auto"/>
              </w:rPr>
              <w:t>Exhibit 3.1</w:t>
            </w:r>
          </w:p>
        </w:tc>
        <w:tc>
          <w:tcPr>
            <w:tcW w:w="7580" w:type="dxa"/>
            <w:vAlign w:val="bottom"/>
            <w:gridSpan w:val="13"/>
          </w:tcPr>
          <w:p>
            <w:pPr>
              <w:spacing w:after="0"/>
              <w:rPr>
                <w:rFonts w:ascii="Arial" w:cs="Arial" w:eastAsia="Arial" w:hAnsi="Arial"/>
                <w:sz w:val="17"/>
                <w:szCs w:val="17"/>
                <w:color w:val="0000EE"/>
                <w:w w:val="93"/>
              </w:rPr>
            </w:pPr>
            <w:hyperlink r:id="rId65">
              <w:r>
                <w:rPr>
                  <w:rFonts w:ascii="Arial" w:cs="Arial" w:eastAsia="Arial" w:hAnsi="Arial"/>
                  <w:sz w:val="17"/>
                  <w:szCs w:val="17"/>
                  <w:color w:val="0000EE"/>
                  <w:w w:val="93"/>
                </w:rPr>
                <w:t>Articles of Amendment and Restatement of Alpine Income Property Trust, Inc. (incorporated by reference to</w:t>
              </w:r>
            </w:hyperlink>
          </w:p>
        </w:tc>
      </w:tr>
      <w:tr>
        <w:trPr>
          <w:trHeight w:val="155"/>
        </w:trPr>
        <w:tc>
          <w:tcPr>
            <w:tcW w:w="1420" w:type="dxa"/>
            <w:vAlign w:val="bottom"/>
          </w:tcPr>
          <w:p>
            <w:pPr>
              <w:spacing w:after="0"/>
              <w:rPr>
                <w:sz w:val="13"/>
                <w:szCs w:val="13"/>
                <w:color w:val="auto"/>
              </w:rPr>
            </w:pPr>
          </w:p>
        </w:tc>
        <w:tc>
          <w:tcPr>
            <w:tcW w:w="5980" w:type="dxa"/>
            <w:vAlign w:val="bottom"/>
            <w:tcBorders>
              <w:top w:val="single" w:sz="8" w:color="0000EE"/>
              <w:bottom w:val="single" w:sz="8" w:color="0000EE"/>
            </w:tcBorders>
            <w:gridSpan w:val="7"/>
          </w:tcPr>
          <w:p>
            <w:pPr>
              <w:spacing w:after="0" w:line="155" w:lineRule="exact"/>
              <w:rPr>
                <w:rFonts w:ascii="Arial" w:cs="Arial" w:eastAsia="Arial" w:hAnsi="Arial"/>
                <w:sz w:val="17"/>
                <w:szCs w:val="17"/>
                <w:color w:val="0000EE"/>
                <w:w w:val="92"/>
              </w:rPr>
            </w:pPr>
            <w:hyperlink r:id="rId65">
              <w:r>
                <w:rPr>
                  <w:rFonts w:ascii="Arial" w:cs="Arial" w:eastAsia="Arial" w:hAnsi="Arial"/>
                  <w:sz w:val="17"/>
                  <w:szCs w:val="17"/>
                  <w:color w:val="0000EE"/>
                  <w:w w:val="92"/>
                </w:rPr>
                <w:t>Exhibit 3.1 to the Company’s Current Report on Form 8-K filed on December 3, 2019).</w:t>
              </w:r>
            </w:hyperlink>
          </w:p>
        </w:tc>
        <w:tc>
          <w:tcPr>
            <w:tcW w:w="1540" w:type="dxa"/>
            <w:vAlign w:val="bottom"/>
            <w:tcBorders>
              <w:top w:val="single" w:sz="8" w:color="0000EE"/>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420" w:type="dxa"/>
            <w:vAlign w:val="bottom"/>
          </w:tcPr>
          <w:p>
            <w:pPr>
              <w:ind w:left="20"/>
              <w:spacing w:after="0"/>
              <w:rPr>
                <w:sz w:val="20"/>
                <w:szCs w:val="20"/>
                <w:color w:val="auto"/>
              </w:rPr>
            </w:pPr>
            <w:r>
              <w:rPr>
                <w:rFonts w:ascii="Arial" w:cs="Arial" w:eastAsia="Arial" w:hAnsi="Arial"/>
                <w:sz w:val="17"/>
                <w:szCs w:val="17"/>
                <w:color w:val="auto"/>
              </w:rPr>
              <w:t>Exhibit 3.2</w:t>
            </w:r>
          </w:p>
        </w:tc>
        <w:tc>
          <w:tcPr>
            <w:tcW w:w="7580" w:type="dxa"/>
            <w:vAlign w:val="bottom"/>
            <w:gridSpan w:val="13"/>
          </w:tcPr>
          <w:p>
            <w:pPr>
              <w:spacing w:after="0"/>
              <w:rPr>
                <w:rFonts w:ascii="Arial" w:cs="Arial" w:eastAsia="Arial" w:hAnsi="Arial"/>
                <w:sz w:val="18"/>
                <w:szCs w:val="18"/>
                <w:color w:val="0000EE"/>
                <w:w w:val="96"/>
              </w:rPr>
            </w:pPr>
            <w:hyperlink r:id="rId66">
              <w:r>
                <w:rPr>
                  <w:rFonts w:ascii="Arial" w:cs="Arial" w:eastAsia="Arial" w:hAnsi="Arial"/>
                  <w:sz w:val="18"/>
                  <w:szCs w:val="18"/>
                  <w:color w:val="0000EE"/>
                  <w:w w:val="96"/>
                </w:rPr>
                <w:t xml:space="preserve">Third </w:t>
              </w:r>
              <w:r>
                <w:rPr>
                  <w:rFonts w:ascii="Arial" w:cs="Arial" w:eastAsia="Arial" w:hAnsi="Arial"/>
                  <w:sz w:val="17"/>
                  <w:szCs w:val="17"/>
                  <w:color w:val="0000EE"/>
                  <w:w w:val="96"/>
                </w:rPr>
                <w:t>Amended and Restated Bylaws of Alpine Income Property Trust, Inc. (incorporated by reference to</w:t>
              </w:r>
            </w:hyperlink>
          </w:p>
        </w:tc>
      </w:tr>
      <w:tr>
        <w:trPr>
          <w:trHeight w:val="156"/>
        </w:trPr>
        <w:tc>
          <w:tcPr>
            <w:tcW w:w="1420" w:type="dxa"/>
            <w:vAlign w:val="bottom"/>
          </w:tcPr>
          <w:p>
            <w:pPr>
              <w:spacing w:after="0"/>
              <w:rPr>
                <w:sz w:val="13"/>
                <w:szCs w:val="13"/>
                <w:color w:val="auto"/>
              </w:rPr>
            </w:pPr>
          </w:p>
        </w:tc>
        <w:tc>
          <w:tcPr>
            <w:tcW w:w="5900" w:type="dxa"/>
            <w:vAlign w:val="bottom"/>
            <w:tcBorders>
              <w:top w:val="single" w:sz="8" w:color="0000EE"/>
              <w:bottom w:val="single" w:sz="8" w:color="0000EE"/>
            </w:tcBorders>
            <w:gridSpan w:val="6"/>
          </w:tcPr>
          <w:p>
            <w:pPr>
              <w:spacing w:after="0" w:line="155" w:lineRule="exact"/>
              <w:rPr>
                <w:rFonts w:ascii="Arial" w:cs="Arial" w:eastAsia="Arial" w:hAnsi="Arial"/>
                <w:sz w:val="17"/>
                <w:szCs w:val="17"/>
                <w:color w:val="0000EE"/>
                <w:w w:val="92"/>
              </w:rPr>
            </w:pPr>
            <w:hyperlink r:id="rId66">
              <w:r>
                <w:rPr>
                  <w:rFonts w:ascii="Arial" w:cs="Arial" w:eastAsia="Arial" w:hAnsi="Arial"/>
                  <w:sz w:val="17"/>
                  <w:szCs w:val="17"/>
                  <w:color w:val="0000EE"/>
                  <w:w w:val="92"/>
                </w:rPr>
                <w:t>Exhibit 3.1 to the Company’s Current Report on Form 8-K filed on February 3, 2023).</w:t>
              </w:r>
            </w:hyperlink>
          </w:p>
        </w:tc>
        <w:tc>
          <w:tcPr>
            <w:tcW w:w="1600" w:type="dxa"/>
            <w:vAlign w:val="bottom"/>
            <w:tcBorders>
              <w:top w:val="single" w:sz="8" w:color="0000EE"/>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50"/>
        </w:trPr>
        <w:tc>
          <w:tcPr>
            <w:tcW w:w="1420" w:type="dxa"/>
            <w:vAlign w:val="bottom"/>
          </w:tcPr>
          <w:p>
            <w:pPr>
              <w:ind w:left="20"/>
              <w:spacing w:after="0"/>
              <w:rPr>
                <w:sz w:val="20"/>
                <w:szCs w:val="20"/>
                <w:color w:val="auto"/>
              </w:rPr>
            </w:pPr>
            <w:r>
              <w:rPr>
                <w:rFonts w:ascii="Arial" w:cs="Arial" w:eastAsia="Arial" w:hAnsi="Arial"/>
                <w:sz w:val="17"/>
                <w:szCs w:val="17"/>
                <w:color w:val="auto"/>
              </w:rPr>
              <w:t>Exhibit 4.1</w:t>
            </w:r>
          </w:p>
        </w:tc>
        <w:tc>
          <w:tcPr>
            <w:tcW w:w="7580" w:type="dxa"/>
            <w:vAlign w:val="bottom"/>
            <w:gridSpan w:val="13"/>
          </w:tcPr>
          <w:p>
            <w:pPr>
              <w:spacing w:after="0"/>
              <w:rPr>
                <w:rFonts w:ascii="Arial" w:cs="Arial" w:eastAsia="Arial" w:hAnsi="Arial"/>
                <w:sz w:val="17"/>
                <w:szCs w:val="17"/>
                <w:color w:val="0000EE"/>
                <w:w w:val="96"/>
              </w:rPr>
            </w:pPr>
            <w:hyperlink r:id="rId67">
              <w:r>
                <w:rPr>
                  <w:rFonts w:ascii="Arial" w:cs="Arial" w:eastAsia="Arial" w:hAnsi="Arial"/>
                  <w:sz w:val="17"/>
                  <w:szCs w:val="17"/>
                  <w:color w:val="0000EE"/>
                  <w:w w:val="96"/>
                </w:rPr>
                <w:t>Specimen Common Stock Certificate of Alpine Income Property Trust, Inc. (incorporated by reference to</w:t>
              </w:r>
            </w:hyperlink>
          </w:p>
        </w:tc>
      </w:tr>
      <w:tr>
        <w:trPr>
          <w:trHeight w:val="155"/>
        </w:trPr>
        <w:tc>
          <w:tcPr>
            <w:tcW w:w="1420" w:type="dxa"/>
            <w:vAlign w:val="bottom"/>
          </w:tcPr>
          <w:p>
            <w:pPr>
              <w:spacing w:after="0"/>
              <w:rPr>
                <w:sz w:val="13"/>
                <w:szCs w:val="13"/>
                <w:color w:val="auto"/>
              </w:rPr>
            </w:pPr>
          </w:p>
        </w:tc>
        <w:tc>
          <w:tcPr>
            <w:tcW w:w="7560" w:type="dxa"/>
            <w:vAlign w:val="bottom"/>
            <w:tcBorders>
              <w:top w:val="single" w:sz="8" w:color="0000EE"/>
            </w:tcBorders>
            <w:gridSpan w:val="12"/>
          </w:tcPr>
          <w:p>
            <w:pPr>
              <w:spacing w:after="0" w:line="155" w:lineRule="exact"/>
              <w:rPr>
                <w:rFonts w:ascii="Arial" w:cs="Arial" w:eastAsia="Arial" w:hAnsi="Arial"/>
                <w:sz w:val="17"/>
                <w:szCs w:val="17"/>
                <w:color w:val="0000EE"/>
                <w:w w:val="95"/>
              </w:rPr>
            </w:pPr>
            <w:hyperlink r:id="rId67">
              <w:r>
                <w:rPr>
                  <w:rFonts w:ascii="Arial" w:cs="Arial" w:eastAsia="Arial" w:hAnsi="Arial"/>
                  <w:sz w:val="17"/>
                  <w:szCs w:val="17"/>
                  <w:color w:val="0000EE"/>
                  <w:w w:val="95"/>
                </w:rPr>
                <w:t>Exhibit 4.1 to the Registrant’s Registration Statement on Form S-11/A (File No. 333-234304) filed with the</w:t>
              </w:r>
            </w:hyperlink>
          </w:p>
        </w:tc>
        <w:tc>
          <w:tcPr>
            <w:tcW w:w="20" w:type="dxa"/>
            <w:vAlign w:val="bottom"/>
          </w:tcPr>
          <w:p>
            <w:pPr>
              <w:spacing w:after="0"/>
              <w:rPr>
                <w:sz w:val="13"/>
                <w:szCs w:val="13"/>
                <w:color w:val="auto"/>
              </w:rPr>
            </w:pPr>
          </w:p>
        </w:tc>
      </w:tr>
      <w:tr>
        <w:trPr>
          <w:trHeight w:val="169"/>
        </w:trPr>
        <w:tc>
          <w:tcPr>
            <w:tcW w:w="1420" w:type="dxa"/>
            <w:vAlign w:val="bottom"/>
          </w:tcPr>
          <w:p>
            <w:pPr>
              <w:spacing w:after="0"/>
              <w:rPr>
                <w:sz w:val="14"/>
                <w:szCs w:val="14"/>
                <w:color w:val="auto"/>
              </w:rPr>
            </w:pPr>
          </w:p>
        </w:tc>
        <w:tc>
          <w:tcPr>
            <w:tcW w:w="7480" w:type="dxa"/>
            <w:vAlign w:val="bottom"/>
            <w:tcBorders>
              <w:top w:val="single" w:sz="8" w:color="0000EE"/>
            </w:tcBorders>
            <w:gridSpan w:val="8"/>
          </w:tcPr>
          <w:p>
            <w:pPr>
              <w:spacing w:after="0" w:line="169" w:lineRule="exact"/>
              <w:rPr>
                <w:rFonts w:ascii="Arial" w:cs="Arial" w:eastAsia="Arial" w:hAnsi="Arial"/>
                <w:sz w:val="17"/>
                <w:szCs w:val="17"/>
                <w:color w:val="0000EE"/>
              </w:rPr>
            </w:pPr>
            <w:hyperlink r:id="rId67">
              <w:r>
                <w:rPr>
                  <w:rFonts w:ascii="Arial" w:cs="Arial" w:eastAsia="Arial" w:hAnsi="Arial"/>
                  <w:sz w:val="17"/>
                  <w:szCs w:val="17"/>
                  <w:color w:val="0000EE"/>
                </w:rPr>
                <w:t>Commission on October 29, 2019).</w:t>
              </w:r>
            </w:hyperlink>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4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1420" w:type="dxa"/>
            <w:vAlign w:val="bottom"/>
          </w:tcPr>
          <w:p>
            <w:pPr>
              <w:ind w:left="20"/>
              <w:spacing w:after="0"/>
              <w:rPr>
                <w:sz w:val="20"/>
                <w:szCs w:val="20"/>
                <w:color w:val="auto"/>
              </w:rPr>
            </w:pPr>
            <w:r>
              <w:rPr>
                <w:rFonts w:ascii="Arial" w:cs="Arial" w:eastAsia="Arial" w:hAnsi="Arial"/>
                <w:sz w:val="17"/>
                <w:szCs w:val="17"/>
                <w:color w:val="auto"/>
              </w:rPr>
              <w:t>Exhibit 31.1*</w:t>
            </w:r>
          </w:p>
        </w:tc>
        <w:tc>
          <w:tcPr>
            <w:tcW w:w="7580" w:type="dxa"/>
            <w:vAlign w:val="bottom"/>
            <w:gridSpan w:val="13"/>
          </w:tcPr>
          <w:p>
            <w:pPr>
              <w:spacing w:after="0"/>
              <w:rPr>
                <w:sz w:val="20"/>
                <w:szCs w:val="20"/>
                <w:color w:val="auto"/>
              </w:rPr>
            </w:pPr>
            <w:r>
              <w:rPr>
                <w:rFonts w:ascii="Arial" w:cs="Arial" w:eastAsia="Arial" w:hAnsi="Arial"/>
                <w:sz w:val="17"/>
                <w:szCs w:val="17"/>
                <w:color w:val="0000EE"/>
              </w:rPr>
              <w:t>Certification filed pursuant to Section 302 of the Sarbanes-Oxley Act of 2002.</w:t>
            </w:r>
          </w:p>
        </w:tc>
      </w:tr>
      <w:tr>
        <w:trPr>
          <w:trHeight w:val="250"/>
        </w:trPr>
        <w:tc>
          <w:tcPr>
            <w:tcW w:w="1420" w:type="dxa"/>
            <w:vAlign w:val="bottom"/>
          </w:tcPr>
          <w:p>
            <w:pPr>
              <w:ind w:left="20"/>
              <w:spacing w:after="0"/>
              <w:rPr>
                <w:sz w:val="20"/>
                <w:szCs w:val="20"/>
                <w:color w:val="auto"/>
              </w:rPr>
            </w:pPr>
            <w:r>
              <w:rPr>
                <w:rFonts w:ascii="Arial" w:cs="Arial" w:eastAsia="Arial" w:hAnsi="Arial"/>
                <w:sz w:val="17"/>
                <w:szCs w:val="17"/>
                <w:color w:val="auto"/>
              </w:rPr>
              <w:t>Exhibit 31.2*</w:t>
            </w:r>
          </w:p>
        </w:tc>
        <w:tc>
          <w:tcPr>
            <w:tcW w:w="510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7"/>
                <w:szCs w:val="17"/>
                <w:color w:val="0000EE"/>
                <w:w w:val="92"/>
              </w:rPr>
              <w:t>Certification filed pursuant to Section 302 of Sarbanes-Oxley Act of 2002.</w:t>
            </w:r>
          </w:p>
        </w:tc>
        <w:tc>
          <w:tcPr>
            <w:tcW w:w="240" w:type="dxa"/>
            <w:vAlign w:val="bottom"/>
            <w:tcBorders>
              <w:top w:val="single" w:sz="8" w:color="0000EE"/>
            </w:tcBorders>
          </w:tcPr>
          <w:p>
            <w:pPr>
              <w:spacing w:after="0"/>
              <w:rPr>
                <w:sz w:val="21"/>
                <w:szCs w:val="21"/>
                <w:color w:val="auto"/>
              </w:rPr>
            </w:pPr>
          </w:p>
        </w:tc>
        <w:tc>
          <w:tcPr>
            <w:tcW w:w="2240" w:type="dxa"/>
            <w:vAlign w:val="bottom"/>
            <w:gridSpan w:val="8"/>
          </w:tcPr>
          <w:p>
            <w:pPr>
              <w:spacing w:after="0"/>
              <w:rPr>
                <w:sz w:val="21"/>
                <w:szCs w:val="21"/>
                <w:color w:val="auto"/>
              </w:rPr>
            </w:pPr>
          </w:p>
        </w:tc>
      </w:tr>
      <w:tr>
        <w:trPr>
          <w:trHeight w:val="250"/>
        </w:trPr>
        <w:tc>
          <w:tcPr>
            <w:tcW w:w="1420" w:type="dxa"/>
            <w:vAlign w:val="bottom"/>
          </w:tcPr>
          <w:p>
            <w:pPr>
              <w:ind w:left="20"/>
              <w:spacing w:after="0"/>
              <w:rPr>
                <w:sz w:val="20"/>
                <w:szCs w:val="20"/>
                <w:color w:val="auto"/>
              </w:rPr>
            </w:pPr>
            <w:r>
              <w:rPr>
                <w:rFonts w:ascii="Arial" w:cs="Arial" w:eastAsia="Arial" w:hAnsi="Arial"/>
                <w:sz w:val="17"/>
                <w:szCs w:val="17"/>
                <w:color w:val="auto"/>
              </w:rPr>
              <w:t>Exhibit 32.1**</w:t>
            </w:r>
          </w:p>
        </w:tc>
        <w:tc>
          <w:tcPr>
            <w:tcW w:w="7580" w:type="dxa"/>
            <w:vAlign w:val="bottom"/>
            <w:gridSpan w:val="13"/>
          </w:tcPr>
          <w:p>
            <w:pPr>
              <w:spacing w:after="0"/>
              <w:rPr>
                <w:sz w:val="20"/>
                <w:szCs w:val="20"/>
                <w:color w:val="auto"/>
              </w:rPr>
            </w:pPr>
            <w:r>
              <w:rPr>
                <w:rFonts w:ascii="Arial" w:cs="Arial" w:eastAsia="Arial" w:hAnsi="Arial"/>
                <w:sz w:val="17"/>
                <w:szCs w:val="17"/>
                <w:color w:val="0000EE"/>
                <w:w w:val="99"/>
              </w:rPr>
              <w:t>Certification furnished pursuant to 18 U.S.C. Section 1350, as Adopted pursuant to Section 906 of the</w:t>
            </w:r>
          </w:p>
        </w:tc>
      </w:tr>
      <w:tr>
        <w:trPr>
          <w:trHeight w:val="156"/>
        </w:trPr>
        <w:tc>
          <w:tcPr>
            <w:tcW w:w="1420" w:type="dxa"/>
            <w:vAlign w:val="bottom"/>
          </w:tcPr>
          <w:p>
            <w:pPr>
              <w:spacing w:after="0"/>
              <w:rPr>
                <w:sz w:val="13"/>
                <w:szCs w:val="13"/>
                <w:color w:val="auto"/>
              </w:rPr>
            </w:pPr>
          </w:p>
        </w:tc>
        <w:tc>
          <w:tcPr>
            <w:tcW w:w="7540" w:type="dxa"/>
            <w:vAlign w:val="bottom"/>
            <w:tcBorders>
              <w:top w:val="single" w:sz="8" w:color="0000EE"/>
            </w:tcBorders>
            <w:gridSpan w:val="11"/>
          </w:tcPr>
          <w:p>
            <w:pPr>
              <w:spacing w:after="0" w:line="155" w:lineRule="exact"/>
              <w:rPr>
                <w:sz w:val="20"/>
                <w:szCs w:val="20"/>
                <w:color w:val="auto"/>
              </w:rPr>
            </w:pPr>
            <w:r>
              <w:rPr>
                <w:rFonts w:ascii="Arial" w:cs="Arial" w:eastAsia="Arial" w:hAnsi="Arial"/>
                <w:sz w:val="17"/>
                <w:szCs w:val="17"/>
                <w:color w:val="0000EE"/>
              </w:rPr>
              <w:t>Sarbanes-Oxley Act of 2002.</w:t>
            </w:r>
          </w:p>
        </w:tc>
        <w:tc>
          <w:tcPr>
            <w:tcW w:w="40" w:type="dxa"/>
            <w:vAlign w:val="bottom"/>
            <w:gridSpan w:val="2"/>
          </w:tcPr>
          <w:p>
            <w:pPr>
              <w:spacing w:after="0"/>
              <w:rPr>
                <w:sz w:val="13"/>
                <w:szCs w:val="13"/>
                <w:color w:val="auto"/>
              </w:rPr>
            </w:pPr>
          </w:p>
        </w:tc>
      </w:tr>
      <w:tr>
        <w:trPr>
          <w:trHeight w:val="20"/>
        </w:trPr>
        <w:tc>
          <w:tcPr>
            <w:tcW w:w="14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5600" w:type="dxa"/>
            <w:vAlign w:val="bottom"/>
            <w:gridSpan w:val="11"/>
          </w:tcPr>
          <w:p>
            <w:pPr>
              <w:spacing w:after="0" w:line="20" w:lineRule="exact"/>
              <w:rPr>
                <w:sz w:val="1"/>
                <w:szCs w:val="1"/>
                <w:color w:val="auto"/>
              </w:rPr>
            </w:pPr>
          </w:p>
        </w:tc>
      </w:tr>
      <w:tr>
        <w:trPr>
          <w:trHeight w:val="250"/>
        </w:trPr>
        <w:tc>
          <w:tcPr>
            <w:tcW w:w="1420" w:type="dxa"/>
            <w:vAlign w:val="bottom"/>
          </w:tcPr>
          <w:p>
            <w:pPr>
              <w:ind w:left="20"/>
              <w:spacing w:after="0"/>
              <w:rPr>
                <w:sz w:val="20"/>
                <w:szCs w:val="20"/>
                <w:color w:val="auto"/>
              </w:rPr>
            </w:pPr>
            <w:r>
              <w:rPr>
                <w:rFonts w:ascii="Arial" w:cs="Arial" w:eastAsia="Arial" w:hAnsi="Arial"/>
                <w:sz w:val="17"/>
                <w:szCs w:val="17"/>
                <w:color w:val="auto"/>
              </w:rPr>
              <w:t>Exhibit 32.2**</w:t>
            </w:r>
          </w:p>
        </w:tc>
        <w:tc>
          <w:tcPr>
            <w:tcW w:w="7580" w:type="dxa"/>
            <w:vAlign w:val="bottom"/>
            <w:gridSpan w:val="13"/>
          </w:tcPr>
          <w:p>
            <w:pPr>
              <w:spacing w:after="0"/>
              <w:rPr>
                <w:sz w:val="20"/>
                <w:szCs w:val="20"/>
                <w:color w:val="auto"/>
              </w:rPr>
            </w:pPr>
            <w:r>
              <w:rPr>
                <w:rFonts w:ascii="Arial" w:cs="Arial" w:eastAsia="Arial" w:hAnsi="Arial"/>
                <w:sz w:val="17"/>
                <w:szCs w:val="17"/>
                <w:color w:val="0000EE"/>
                <w:w w:val="99"/>
              </w:rPr>
              <w:t>Certification furnished pursuant to 18 U.S.C. Section 1350, as Adopted pursuant to Section 906 of the</w:t>
            </w:r>
          </w:p>
        </w:tc>
      </w:tr>
      <w:tr>
        <w:trPr>
          <w:trHeight w:val="155"/>
        </w:trPr>
        <w:tc>
          <w:tcPr>
            <w:tcW w:w="1420" w:type="dxa"/>
            <w:vAlign w:val="bottom"/>
          </w:tcPr>
          <w:p>
            <w:pPr>
              <w:spacing w:after="0"/>
              <w:rPr>
                <w:sz w:val="13"/>
                <w:szCs w:val="13"/>
                <w:color w:val="auto"/>
              </w:rPr>
            </w:pPr>
          </w:p>
        </w:tc>
        <w:tc>
          <w:tcPr>
            <w:tcW w:w="7540" w:type="dxa"/>
            <w:vAlign w:val="bottom"/>
            <w:tcBorders>
              <w:top w:val="single" w:sz="8" w:color="0000EE"/>
            </w:tcBorders>
            <w:gridSpan w:val="11"/>
          </w:tcPr>
          <w:p>
            <w:pPr>
              <w:spacing w:after="0" w:line="155" w:lineRule="exact"/>
              <w:rPr>
                <w:sz w:val="20"/>
                <w:szCs w:val="20"/>
                <w:color w:val="auto"/>
              </w:rPr>
            </w:pPr>
            <w:r>
              <w:rPr>
                <w:rFonts w:ascii="Arial" w:cs="Arial" w:eastAsia="Arial" w:hAnsi="Arial"/>
                <w:sz w:val="17"/>
                <w:szCs w:val="17"/>
                <w:color w:val="0000EE"/>
              </w:rPr>
              <w:t>Sarbanes-Oxley Act of 2002.</w:t>
            </w:r>
          </w:p>
        </w:tc>
        <w:tc>
          <w:tcPr>
            <w:tcW w:w="40" w:type="dxa"/>
            <w:vAlign w:val="bottom"/>
            <w:gridSpan w:val="2"/>
          </w:tcPr>
          <w:p>
            <w:pPr>
              <w:spacing w:after="0"/>
              <w:rPr>
                <w:sz w:val="13"/>
                <w:szCs w:val="13"/>
                <w:color w:val="auto"/>
              </w:rPr>
            </w:pPr>
          </w:p>
        </w:tc>
      </w:tr>
      <w:tr>
        <w:trPr>
          <w:trHeight w:val="20"/>
        </w:trPr>
        <w:tc>
          <w:tcPr>
            <w:tcW w:w="14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5600" w:type="dxa"/>
            <w:vAlign w:val="bottom"/>
            <w:gridSpan w:val="11"/>
          </w:tcPr>
          <w:p>
            <w:pPr>
              <w:spacing w:after="0" w:line="20" w:lineRule="exact"/>
              <w:rPr>
                <w:sz w:val="1"/>
                <w:szCs w:val="1"/>
                <w:color w:val="auto"/>
              </w:rPr>
            </w:pPr>
          </w:p>
        </w:tc>
      </w:tr>
      <w:tr>
        <w:trPr>
          <w:trHeight w:val="287"/>
        </w:trPr>
        <w:tc>
          <w:tcPr>
            <w:tcW w:w="1420" w:type="dxa"/>
            <w:vAlign w:val="bottom"/>
          </w:tcPr>
          <w:p>
            <w:pPr>
              <w:ind w:left="20"/>
              <w:spacing w:after="0"/>
              <w:rPr>
                <w:sz w:val="20"/>
                <w:szCs w:val="20"/>
                <w:color w:val="auto"/>
              </w:rPr>
            </w:pPr>
            <w:r>
              <w:rPr>
                <w:rFonts w:ascii="Arial" w:cs="Arial" w:eastAsia="Arial" w:hAnsi="Arial"/>
                <w:sz w:val="17"/>
                <w:szCs w:val="17"/>
                <w:color w:val="auto"/>
              </w:rPr>
              <w:t>Exhibit 101.INS</w:t>
            </w:r>
          </w:p>
        </w:tc>
        <w:tc>
          <w:tcPr>
            <w:tcW w:w="7580" w:type="dxa"/>
            <w:vAlign w:val="bottom"/>
            <w:gridSpan w:val="13"/>
          </w:tcPr>
          <w:p>
            <w:pPr>
              <w:spacing w:after="0"/>
              <w:rPr>
                <w:sz w:val="20"/>
                <w:szCs w:val="20"/>
                <w:color w:val="auto"/>
              </w:rPr>
            </w:pPr>
            <w:r>
              <w:rPr>
                <w:rFonts w:ascii="Arial" w:cs="Arial" w:eastAsia="Arial" w:hAnsi="Arial"/>
                <w:sz w:val="17"/>
                <w:szCs w:val="17"/>
                <w:color w:val="auto"/>
              </w:rPr>
              <w:t>Inline XBRL Instance Document</w:t>
            </w:r>
          </w:p>
        </w:tc>
      </w:tr>
      <w:tr>
        <w:trPr>
          <w:trHeight w:val="270"/>
        </w:trPr>
        <w:tc>
          <w:tcPr>
            <w:tcW w:w="1420" w:type="dxa"/>
            <w:vAlign w:val="bottom"/>
          </w:tcPr>
          <w:p>
            <w:pPr>
              <w:ind w:left="20"/>
              <w:spacing w:after="0"/>
              <w:rPr>
                <w:sz w:val="20"/>
                <w:szCs w:val="20"/>
                <w:color w:val="auto"/>
              </w:rPr>
            </w:pPr>
            <w:r>
              <w:rPr>
                <w:rFonts w:ascii="Arial" w:cs="Arial" w:eastAsia="Arial" w:hAnsi="Arial"/>
                <w:sz w:val="17"/>
                <w:szCs w:val="17"/>
                <w:color w:val="auto"/>
              </w:rPr>
              <w:t>Exhibit 101.SCH</w:t>
            </w:r>
          </w:p>
        </w:tc>
        <w:tc>
          <w:tcPr>
            <w:tcW w:w="7580" w:type="dxa"/>
            <w:vAlign w:val="bottom"/>
            <w:gridSpan w:val="13"/>
          </w:tcPr>
          <w:p>
            <w:pPr>
              <w:spacing w:after="0"/>
              <w:rPr>
                <w:sz w:val="20"/>
                <w:szCs w:val="20"/>
                <w:color w:val="auto"/>
              </w:rPr>
            </w:pPr>
            <w:r>
              <w:rPr>
                <w:rFonts w:ascii="Arial" w:cs="Arial" w:eastAsia="Arial" w:hAnsi="Arial"/>
                <w:sz w:val="17"/>
                <w:szCs w:val="17"/>
                <w:color w:val="auto"/>
              </w:rPr>
              <w:t>Inline XBRL Taxonomy Extension Schema Document</w:t>
            </w:r>
          </w:p>
        </w:tc>
      </w:tr>
      <w:tr>
        <w:trPr>
          <w:trHeight w:val="270"/>
        </w:trPr>
        <w:tc>
          <w:tcPr>
            <w:tcW w:w="1420" w:type="dxa"/>
            <w:vAlign w:val="bottom"/>
          </w:tcPr>
          <w:p>
            <w:pPr>
              <w:ind w:left="20"/>
              <w:spacing w:after="0"/>
              <w:rPr>
                <w:sz w:val="20"/>
                <w:szCs w:val="20"/>
                <w:color w:val="auto"/>
              </w:rPr>
            </w:pPr>
            <w:r>
              <w:rPr>
                <w:rFonts w:ascii="Arial" w:cs="Arial" w:eastAsia="Arial" w:hAnsi="Arial"/>
                <w:sz w:val="17"/>
                <w:szCs w:val="17"/>
                <w:color w:val="auto"/>
              </w:rPr>
              <w:t>Exhibit 101.CAL</w:t>
            </w:r>
          </w:p>
        </w:tc>
        <w:tc>
          <w:tcPr>
            <w:tcW w:w="7580" w:type="dxa"/>
            <w:vAlign w:val="bottom"/>
            <w:gridSpan w:val="13"/>
          </w:tcPr>
          <w:p>
            <w:pPr>
              <w:spacing w:after="0"/>
              <w:rPr>
                <w:sz w:val="20"/>
                <w:szCs w:val="20"/>
                <w:color w:val="auto"/>
              </w:rPr>
            </w:pPr>
            <w:r>
              <w:rPr>
                <w:rFonts w:ascii="Arial" w:cs="Arial" w:eastAsia="Arial" w:hAnsi="Arial"/>
                <w:sz w:val="17"/>
                <w:szCs w:val="17"/>
                <w:color w:val="auto"/>
              </w:rPr>
              <w:t>Inline XBRL Taxonomy Extension Calculation Linkbase Document</w:t>
            </w:r>
          </w:p>
        </w:tc>
      </w:tr>
      <w:tr>
        <w:trPr>
          <w:trHeight w:val="270"/>
        </w:trPr>
        <w:tc>
          <w:tcPr>
            <w:tcW w:w="1420" w:type="dxa"/>
            <w:vAlign w:val="bottom"/>
          </w:tcPr>
          <w:p>
            <w:pPr>
              <w:ind w:left="20"/>
              <w:spacing w:after="0"/>
              <w:rPr>
                <w:sz w:val="20"/>
                <w:szCs w:val="20"/>
                <w:color w:val="auto"/>
              </w:rPr>
            </w:pPr>
            <w:r>
              <w:rPr>
                <w:rFonts w:ascii="Arial" w:cs="Arial" w:eastAsia="Arial" w:hAnsi="Arial"/>
                <w:sz w:val="17"/>
                <w:szCs w:val="17"/>
                <w:color w:val="auto"/>
              </w:rPr>
              <w:t>Exhibit 101.DEF</w:t>
            </w:r>
          </w:p>
        </w:tc>
        <w:tc>
          <w:tcPr>
            <w:tcW w:w="7580" w:type="dxa"/>
            <w:vAlign w:val="bottom"/>
            <w:gridSpan w:val="13"/>
          </w:tcPr>
          <w:p>
            <w:pPr>
              <w:spacing w:after="0"/>
              <w:rPr>
                <w:sz w:val="20"/>
                <w:szCs w:val="20"/>
                <w:color w:val="auto"/>
              </w:rPr>
            </w:pPr>
            <w:r>
              <w:rPr>
                <w:rFonts w:ascii="Arial" w:cs="Arial" w:eastAsia="Arial" w:hAnsi="Arial"/>
                <w:sz w:val="17"/>
                <w:szCs w:val="17"/>
                <w:color w:val="auto"/>
              </w:rPr>
              <w:t>Inline XBRL Taxonomy Definition Linkbase Document</w:t>
            </w:r>
          </w:p>
        </w:tc>
      </w:tr>
      <w:tr>
        <w:trPr>
          <w:trHeight w:val="270"/>
        </w:trPr>
        <w:tc>
          <w:tcPr>
            <w:tcW w:w="1420" w:type="dxa"/>
            <w:vAlign w:val="bottom"/>
          </w:tcPr>
          <w:p>
            <w:pPr>
              <w:ind w:left="20"/>
              <w:spacing w:after="0"/>
              <w:rPr>
                <w:sz w:val="20"/>
                <w:szCs w:val="20"/>
                <w:color w:val="auto"/>
              </w:rPr>
            </w:pPr>
            <w:r>
              <w:rPr>
                <w:rFonts w:ascii="Arial" w:cs="Arial" w:eastAsia="Arial" w:hAnsi="Arial"/>
                <w:sz w:val="17"/>
                <w:szCs w:val="17"/>
                <w:color w:val="auto"/>
              </w:rPr>
              <w:t>Exhibit 101.LAB</w:t>
            </w:r>
          </w:p>
        </w:tc>
        <w:tc>
          <w:tcPr>
            <w:tcW w:w="7580" w:type="dxa"/>
            <w:vAlign w:val="bottom"/>
            <w:gridSpan w:val="13"/>
          </w:tcPr>
          <w:p>
            <w:pPr>
              <w:spacing w:after="0"/>
              <w:rPr>
                <w:sz w:val="20"/>
                <w:szCs w:val="20"/>
                <w:color w:val="auto"/>
              </w:rPr>
            </w:pPr>
            <w:r>
              <w:rPr>
                <w:rFonts w:ascii="Arial" w:cs="Arial" w:eastAsia="Arial" w:hAnsi="Arial"/>
                <w:sz w:val="17"/>
                <w:szCs w:val="17"/>
                <w:color w:val="auto"/>
              </w:rPr>
              <w:t>Inline XBRL Taxonomy Extension Label Linkbase Document</w:t>
            </w:r>
          </w:p>
        </w:tc>
      </w:tr>
      <w:tr>
        <w:trPr>
          <w:trHeight w:val="270"/>
        </w:trPr>
        <w:tc>
          <w:tcPr>
            <w:tcW w:w="1420" w:type="dxa"/>
            <w:vAlign w:val="bottom"/>
          </w:tcPr>
          <w:p>
            <w:pPr>
              <w:ind w:left="20"/>
              <w:spacing w:after="0"/>
              <w:rPr>
                <w:sz w:val="20"/>
                <w:szCs w:val="20"/>
                <w:color w:val="auto"/>
              </w:rPr>
            </w:pPr>
            <w:r>
              <w:rPr>
                <w:rFonts w:ascii="Arial" w:cs="Arial" w:eastAsia="Arial" w:hAnsi="Arial"/>
                <w:sz w:val="17"/>
                <w:szCs w:val="17"/>
                <w:color w:val="auto"/>
              </w:rPr>
              <w:t>Exhibit 101.PRE</w:t>
            </w:r>
          </w:p>
        </w:tc>
        <w:tc>
          <w:tcPr>
            <w:tcW w:w="7580" w:type="dxa"/>
            <w:vAlign w:val="bottom"/>
            <w:gridSpan w:val="13"/>
          </w:tcPr>
          <w:p>
            <w:pPr>
              <w:spacing w:after="0"/>
              <w:rPr>
                <w:sz w:val="20"/>
                <w:szCs w:val="20"/>
                <w:color w:val="auto"/>
              </w:rPr>
            </w:pPr>
            <w:r>
              <w:rPr>
                <w:rFonts w:ascii="Arial" w:cs="Arial" w:eastAsia="Arial" w:hAnsi="Arial"/>
                <w:sz w:val="17"/>
                <w:szCs w:val="17"/>
                <w:color w:val="auto"/>
              </w:rPr>
              <w:t>Inline XBRL Taxonomy Extension Presentation Linkbase Document</w:t>
            </w:r>
          </w:p>
        </w:tc>
      </w:tr>
      <w:tr>
        <w:trPr>
          <w:trHeight w:val="283"/>
        </w:trPr>
        <w:tc>
          <w:tcPr>
            <w:tcW w:w="1420" w:type="dxa"/>
            <w:vAlign w:val="bottom"/>
          </w:tcPr>
          <w:p>
            <w:pPr>
              <w:ind w:left="20"/>
              <w:spacing w:after="0"/>
              <w:rPr>
                <w:sz w:val="20"/>
                <w:szCs w:val="20"/>
                <w:color w:val="auto"/>
              </w:rPr>
            </w:pPr>
            <w:r>
              <w:rPr>
                <w:rFonts w:ascii="Arial" w:cs="Arial" w:eastAsia="Arial" w:hAnsi="Arial"/>
                <w:sz w:val="17"/>
                <w:szCs w:val="17"/>
                <w:color w:val="auto"/>
              </w:rPr>
              <w:t>Exhibit 104</w:t>
            </w:r>
          </w:p>
        </w:tc>
        <w:tc>
          <w:tcPr>
            <w:tcW w:w="7580" w:type="dxa"/>
            <w:vAlign w:val="bottom"/>
            <w:gridSpan w:val="13"/>
          </w:tcPr>
          <w:p>
            <w:pPr>
              <w:spacing w:after="0"/>
              <w:rPr>
                <w:sz w:val="20"/>
                <w:szCs w:val="20"/>
                <w:color w:val="auto"/>
              </w:rPr>
            </w:pPr>
            <w:r>
              <w:rPr>
                <w:rFonts w:ascii="Arial" w:cs="Arial" w:eastAsia="Arial" w:hAnsi="Arial"/>
                <w:sz w:val="17"/>
                <w:szCs w:val="17"/>
                <w:color w:val="auto"/>
              </w:rPr>
              <w:t>Cover Page Interactive Data File (embedded within the Inline XBRL document)</w:t>
            </w:r>
          </w:p>
        </w:tc>
      </w:tr>
      <w:tr>
        <w:trPr>
          <w:trHeight w:val="85"/>
        </w:trPr>
        <w:tc>
          <w:tcPr>
            <w:tcW w:w="14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117" w:lineRule="exact"/>
        <w:rPr>
          <w:sz w:val="20"/>
          <w:szCs w:val="20"/>
          <w:color w:val="auto"/>
        </w:rPr>
      </w:pPr>
    </w:p>
    <w:p>
      <w:pPr>
        <w:ind w:left="60"/>
        <w:spacing w:after="0"/>
        <w:rPr>
          <w:sz w:val="20"/>
          <w:szCs w:val="20"/>
          <w:color w:val="auto"/>
        </w:rPr>
      </w:pPr>
      <w:r>
        <w:rPr>
          <w:rFonts w:ascii="Arial" w:cs="Arial" w:eastAsia="Arial" w:hAnsi="Arial"/>
          <w:sz w:val="17"/>
          <w:szCs w:val="17"/>
          <w:color w:val="auto"/>
        </w:rPr>
        <w:t>* Filed herewith</w:t>
      </w:r>
    </w:p>
    <w:p>
      <w:pPr>
        <w:spacing w:after="0" w:line="102" w:lineRule="exact"/>
        <w:rPr>
          <w:sz w:val="20"/>
          <w:szCs w:val="20"/>
          <w:color w:val="auto"/>
        </w:rPr>
      </w:pPr>
    </w:p>
    <w:p>
      <w:pPr>
        <w:ind w:left="60"/>
        <w:spacing w:after="0"/>
        <w:rPr>
          <w:sz w:val="20"/>
          <w:szCs w:val="20"/>
          <w:color w:val="auto"/>
        </w:rPr>
      </w:pPr>
      <w:r>
        <w:rPr>
          <w:rFonts w:ascii="Arial" w:cs="Arial" w:eastAsia="Arial" w:hAnsi="Arial"/>
          <w:sz w:val="17"/>
          <w:szCs w:val="17"/>
          <w:color w:val="auto"/>
        </w:rPr>
        <w:t>** Furnished herewith</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ALPINE INCOME PROPERTY TRUST, INC.</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(Registrant)</w:t>
      </w:r>
    </w:p>
    <w:p>
      <w:pPr>
        <w:spacing w:after="0" w:line="238" w:lineRule="exact"/>
        <w:rPr>
          <w:sz w:val="20"/>
          <w:szCs w:val="20"/>
          <w:color w:val="auto"/>
        </w:rPr>
      </w:pPr>
    </w:p>
    <w:p>
      <w:pPr>
        <w:ind w:left="60"/>
        <w:spacing w:after="0"/>
        <w:tabs>
          <w:tab w:leader="none" w:pos="4620" w:val="left"/>
        </w:tabs>
        <w:rPr>
          <w:sz w:val="20"/>
          <w:szCs w:val="20"/>
          <w:color w:val="auto"/>
        </w:rPr>
      </w:pPr>
      <w:r>
        <w:rPr>
          <w:rFonts w:ascii="Arial" w:cs="Arial" w:eastAsia="Arial" w:hAnsi="Arial"/>
          <w:sz w:val="18"/>
          <w:szCs w:val="18"/>
          <w:color w:val="auto"/>
        </w:rPr>
        <w:t>October 19, 2023</w:t>
      </w:r>
      <w:r>
        <w:rPr>
          <w:sz w:val="20"/>
          <w:szCs w:val="20"/>
          <w:color w:val="auto"/>
        </w:rPr>
        <w:tab/>
      </w:r>
      <w:r>
        <w:rPr>
          <w:rFonts w:ascii="Arial" w:cs="Arial" w:eastAsia="Arial" w:hAnsi="Arial"/>
          <w:sz w:val="16"/>
          <w:szCs w:val="16"/>
          <w:color w:val="auto"/>
        </w:rPr>
        <w:t>By:  /s/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14605</wp:posOffset>
            </wp:positionV>
            <wp:extent cx="24942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John P. Albright</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(Principal Executive Officer)</w:t>
      </w:r>
    </w:p>
    <w:p>
      <w:pPr>
        <w:spacing w:after="0" w:line="238" w:lineRule="exact"/>
        <w:rPr>
          <w:sz w:val="20"/>
          <w:szCs w:val="20"/>
          <w:color w:val="auto"/>
        </w:rPr>
      </w:pPr>
    </w:p>
    <w:p>
      <w:pPr>
        <w:ind w:left="60"/>
        <w:spacing w:after="0"/>
        <w:tabs>
          <w:tab w:leader="none" w:pos="4620" w:val="left"/>
        </w:tabs>
        <w:rPr>
          <w:sz w:val="20"/>
          <w:szCs w:val="20"/>
          <w:color w:val="auto"/>
        </w:rPr>
      </w:pPr>
      <w:r>
        <w:rPr>
          <w:rFonts w:ascii="Arial" w:cs="Arial" w:eastAsia="Arial" w:hAnsi="Arial"/>
          <w:sz w:val="18"/>
          <w:szCs w:val="18"/>
          <w:color w:val="auto"/>
        </w:rPr>
        <w:t>October 19, 2023</w:t>
      </w:r>
      <w:r>
        <w:rPr>
          <w:sz w:val="20"/>
          <w:szCs w:val="20"/>
          <w:color w:val="auto"/>
        </w:rPr>
        <w:tab/>
      </w:r>
      <w:r>
        <w:rPr>
          <w:rFonts w:ascii="Arial" w:cs="Arial" w:eastAsia="Arial" w:hAnsi="Arial"/>
          <w:sz w:val="16"/>
          <w:szCs w:val="16"/>
          <w:color w:val="auto"/>
        </w:rPr>
        <w:t>By:  /s/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14605</wp:posOffset>
            </wp:positionV>
            <wp:extent cx="24942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020"/>
        <w:spacing w:after="0"/>
        <w:rPr>
          <w:sz w:val="20"/>
          <w:szCs w:val="20"/>
          <w:color w:val="auto"/>
        </w:rPr>
      </w:pPr>
      <w:r>
        <w:rPr>
          <w:rFonts w:ascii="Arial" w:cs="Arial" w:eastAsia="Arial" w:hAnsi="Arial"/>
          <w:sz w:val="17"/>
          <w:szCs w:val="17"/>
          <w:b w:val="1"/>
          <w:bCs w:val="1"/>
          <w:color w:val="auto"/>
        </w:rPr>
        <w:t>Matthew M. Partridge, Senior Vice President and</w:t>
      </w:r>
    </w:p>
    <w:p>
      <w:pPr>
        <w:spacing w:after="0" w:line="3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(Principal Financial Officer)</w:t>
      </w:r>
    </w:p>
    <w:p>
      <w:pPr>
        <w:spacing w:after="0" w:line="238" w:lineRule="exact"/>
        <w:rPr>
          <w:sz w:val="20"/>
          <w:szCs w:val="20"/>
          <w:color w:val="auto"/>
        </w:rPr>
      </w:pPr>
    </w:p>
    <w:p>
      <w:pPr>
        <w:ind w:left="60"/>
        <w:spacing w:after="0"/>
        <w:tabs>
          <w:tab w:leader="none" w:pos="4620" w:val="left"/>
        </w:tabs>
        <w:rPr>
          <w:sz w:val="20"/>
          <w:szCs w:val="20"/>
          <w:color w:val="auto"/>
        </w:rPr>
      </w:pPr>
      <w:r>
        <w:rPr>
          <w:rFonts w:ascii="Arial" w:cs="Arial" w:eastAsia="Arial" w:hAnsi="Arial"/>
          <w:sz w:val="18"/>
          <w:szCs w:val="18"/>
          <w:color w:val="auto"/>
        </w:rPr>
        <w:t>October 19, 2023</w:t>
      </w:r>
      <w:r>
        <w:rPr>
          <w:sz w:val="20"/>
          <w:szCs w:val="20"/>
          <w:color w:val="auto"/>
        </w:rPr>
        <w:tab/>
      </w:r>
      <w:r>
        <w:rPr>
          <w:rFonts w:ascii="Arial" w:cs="Arial" w:eastAsia="Arial" w:hAnsi="Arial"/>
          <w:sz w:val="17"/>
          <w:szCs w:val="17"/>
          <w:color w:val="auto"/>
        </w:rPr>
        <w:t>By:  /s/ Lisa M. Vorakoun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14605</wp:posOffset>
            </wp:positionV>
            <wp:extent cx="24942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Lisa M. Vorakoun, Vice President and</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Chief Accounting Officer</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John P. Albright, certify that:</w:t>
      </w:r>
    </w:p>
    <w:p>
      <w:pPr>
        <w:spacing w:after="0" w:line="185" w:lineRule="exact"/>
        <w:rPr>
          <w:sz w:val="20"/>
          <w:szCs w:val="20"/>
          <w:color w:val="auto"/>
        </w:rPr>
      </w:pPr>
    </w:p>
    <w:p>
      <w:pPr>
        <w:ind w:left="700" w:hanging="650"/>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Alpine Income Property Trust, Inc.;</w:t>
      </w:r>
    </w:p>
    <w:p>
      <w:pPr>
        <w:spacing w:after="0" w:line="184" w:lineRule="exact"/>
        <w:rPr>
          <w:rFonts w:ascii="Arial" w:cs="Arial" w:eastAsia="Arial" w:hAnsi="Arial"/>
          <w:sz w:val="18"/>
          <w:szCs w:val="18"/>
          <w:color w:val="auto"/>
        </w:rPr>
      </w:pPr>
    </w:p>
    <w:p>
      <w:pPr>
        <w:ind w:left="700" w:right="299" w:hanging="650"/>
        <w:spacing w:after="0" w:line="263"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700" w:right="179" w:hanging="650"/>
        <w:spacing w:after="0" w:line="263"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left="700" w:right="219" w:hanging="650"/>
        <w:spacing w:after="0" w:line="311" w:lineRule="auto"/>
        <w:tabs>
          <w:tab w:leader="none" w:pos="7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Arial" w:cs="Arial" w:eastAsia="Arial" w:hAnsi="Arial"/>
          <w:sz w:val="16"/>
          <w:szCs w:val="16"/>
          <w:color w:val="auto"/>
        </w:rPr>
      </w:pPr>
    </w:p>
    <w:p>
      <w:pPr>
        <w:ind w:left="1680" w:right="219" w:hanging="658"/>
        <w:spacing w:after="0" w:line="279" w:lineRule="auto"/>
        <w:tabs>
          <w:tab w:leader="none" w:pos="168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7"/>
          <w:szCs w:val="17"/>
          <w:color w:val="auto"/>
        </w:rPr>
      </w:pPr>
    </w:p>
    <w:p>
      <w:pPr>
        <w:ind w:left="1680" w:right="139" w:hanging="658"/>
        <w:spacing w:after="0" w:line="279" w:lineRule="auto"/>
        <w:tabs>
          <w:tab w:leader="none" w:pos="168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7"/>
          <w:szCs w:val="17"/>
          <w:color w:val="auto"/>
        </w:rPr>
      </w:pPr>
    </w:p>
    <w:p>
      <w:pPr>
        <w:jc w:val="both"/>
        <w:ind w:left="1680" w:right="319" w:hanging="658"/>
        <w:spacing w:after="0" w:line="311" w:lineRule="auto"/>
        <w:tabs>
          <w:tab w:leader="none" w:pos="16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6"/>
          <w:szCs w:val="16"/>
          <w:color w:val="auto"/>
        </w:rPr>
      </w:pPr>
    </w:p>
    <w:p>
      <w:pPr>
        <w:ind w:left="1680" w:right="139" w:hanging="658"/>
        <w:spacing w:after="0" w:line="279" w:lineRule="auto"/>
        <w:tabs>
          <w:tab w:leader="none" w:pos="168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Arial" w:cs="Arial" w:eastAsia="Arial" w:hAnsi="Arial"/>
          <w:sz w:val="17"/>
          <w:szCs w:val="17"/>
          <w:color w:val="auto"/>
        </w:rPr>
      </w:pPr>
    </w:p>
    <w:p>
      <w:pPr>
        <w:ind w:left="700" w:right="379" w:hanging="650"/>
        <w:spacing w:after="0" w:line="263"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1680" w:right="359" w:hanging="658"/>
        <w:spacing w:after="0" w:line="286" w:lineRule="auto"/>
        <w:tabs>
          <w:tab w:leader="none" w:pos="168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7"/>
          <w:szCs w:val="17"/>
          <w:color w:val="auto"/>
        </w:rPr>
      </w:pPr>
    </w:p>
    <w:p>
      <w:pPr>
        <w:ind w:left="1680" w:right="579" w:hanging="658"/>
        <w:spacing w:after="0" w:line="277" w:lineRule="auto"/>
        <w:tabs>
          <w:tab w:leader="none" w:pos="16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October 19, 2023</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By: /s/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14605</wp:posOffset>
            </wp:positionV>
            <wp:extent cx="27171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John P. Albright</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5" w:name="page46"/>
    <w:bookmarkEnd w:id="45"/>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Matthew M. Partridge, certify that:</w:t>
      </w:r>
    </w:p>
    <w:p>
      <w:pPr>
        <w:spacing w:after="0" w:line="185" w:lineRule="exact"/>
        <w:rPr>
          <w:sz w:val="20"/>
          <w:szCs w:val="20"/>
          <w:color w:val="auto"/>
        </w:rPr>
      </w:pPr>
    </w:p>
    <w:p>
      <w:pPr>
        <w:ind w:left="700" w:hanging="650"/>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Alpine Income Property Trust, Inc.;</w:t>
      </w:r>
    </w:p>
    <w:p>
      <w:pPr>
        <w:spacing w:after="0" w:line="184" w:lineRule="exact"/>
        <w:rPr>
          <w:rFonts w:ascii="Arial" w:cs="Arial" w:eastAsia="Arial" w:hAnsi="Arial"/>
          <w:sz w:val="18"/>
          <w:szCs w:val="18"/>
          <w:color w:val="auto"/>
        </w:rPr>
      </w:pPr>
    </w:p>
    <w:p>
      <w:pPr>
        <w:ind w:left="700" w:right="299" w:hanging="650"/>
        <w:spacing w:after="0" w:line="263"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700" w:right="179" w:hanging="650"/>
        <w:spacing w:after="0" w:line="263"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left="700" w:right="219" w:hanging="650"/>
        <w:spacing w:after="0" w:line="311" w:lineRule="auto"/>
        <w:tabs>
          <w:tab w:leader="none" w:pos="7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Arial" w:cs="Arial" w:eastAsia="Arial" w:hAnsi="Arial"/>
          <w:sz w:val="16"/>
          <w:szCs w:val="16"/>
          <w:color w:val="auto"/>
        </w:rPr>
      </w:pPr>
    </w:p>
    <w:p>
      <w:pPr>
        <w:ind w:left="1680" w:right="219" w:hanging="658"/>
        <w:spacing w:after="0" w:line="279" w:lineRule="auto"/>
        <w:tabs>
          <w:tab w:leader="none" w:pos="168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7"/>
          <w:szCs w:val="17"/>
          <w:color w:val="auto"/>
        </w:rPr>
      </w:pPr>
    </w:p>
    <w:p>
      <w:pPr>
        <w:ind w:left="1680" w:right="139" w:hanging="658"/>
        <w:spacing w:after="0" w:line="279" w:lineRule="auto"/>
        <w:tabs>
          <w:tab w:leader="none" w:pos="168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7"/>
          <w:szCs w:val="17"/>
          <w:color w:val="auto"/>
        </w:rPr>
      </w:pPr>
    </w:p>
    <w:p>
      <w:pPr>
        <w:jc w:val="both"/>
        <w:ind w:left="1680" w:right="319" w:hanging="658"/>
        <w:spacing w:after="0" w:line="311" w:lineRule="auto"/>
        <w:tabs>
          <w:tab w:leader="none" w:pos="16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6"/>
          <w:szCs w:val="16"/>
          <w:color w:val="auto"/>
        </w:rPr>
      </w:pPr>
    </w:p>
    <w:p>
      <w:pPr>
        <w:ind w:left="1680" w:right="139" w:hanging="658"/>
        <w:spacing w:after="0" w:line="279" w:lineRule="auto"/>
        <w:tabs>
          <w:tab w:leader="none" w:pos="168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Arial" w:cs="Arial" w:eastAsia="Arial" w:hAnsi="Arial"/>
          <w:sz w:val="17"/>
          <w:szCs w:val="17"/>
          <w:color w:val="auto"/>
        </w:rPr>
      </w:pPr>
    </w:p>
    <w:p>
      <w:pPr>
        <w:ind w:left="700" w:right="379" w:hanging="650"/>
        <w:spacing w:after="0" w:line="263"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1680" w:right="359" w:hanging="658"/>
        <w:spacing w:after="0" w:line="286" w:lineRule="auto"/>
        <w:tabs>
          <w:tab w:leader="none" w:pos="168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7"/>
          <w:szCs w:val="17"/>
          <w:color w:val="auto"/>
        </w:rPr>
      </w:pPr>
    </w:p>
    <w:p>
      <w:pPr>
        <w:ind w:left="1680" w:right="579" w:hanging="658"/>
        <w:spacing w:after="0" w:line="277" w:lineRule="auto"/>
        <w:tabs>
          <w:tab w:leader="none" w:pos="16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October 19, 2023</w:t>
      </w:r>
    </w:p>
    <w:p>
      <w:pPr>
        <w:spacing w:after="0" w:line="198" w:lineRule="exact"/>
        <w:rPr>
          <w:sz w:val="20"/>
          <w:szCs w:val="20"/>
          <w:color w:val="auto"/>
        </w:rPr>
      </w:pPr>
    </w:p>
    <w:p>
      <w:pPr>
        <w:ind w:left="60"/>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7000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Matthew M. Partridge, Senior Vice President,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6" w:name="page47"/>
    <w:bookmarkEnd w:id="46"/>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60" w:right="79"/>
        <w:spacing w:after="0" w:line="279" w:lineRule="auto"/>
        <w:rPr>
          <w:sz w:val="20"/>
          <w:szCs w:val="20"/>
          <w:color w:val="auto"/>
        </w:rPr>
      </w:pPr>
      <w:r>
        <w:rPr>
          <w:rFonts w:ascii="Arial" w:cs="Arial" w:eastAsia="Arial" w:hAnsi="Arial"/>
          <w:sz w:val="17"/>
          <w:szCs w:val="17"/>
          <w:color w:val="auto"/>
        </w:rPr>
        <w:t>In connection with the Quarterly Report of Alpine Income Property Trust, Inc. (the “Company”) on Form 10-Q for the period ended September 30, 2023, as filed with the Securities and Exchange Commission on the date hereof (the “Report”), I, John P. Albright, President and Chief Executive Officer of the Company, certify, pursuant to 18 U.S.C. Section 1350, as adopted pursuant to Section 906 of the Sarbanes-Oxley Act of 2002, that:</w:t>
      </w:r>
    </w:p>
    <w:p>
      <w:pPr>
        <w:spacing w:after="0" w:line="171" w:lineRule="exact"/>
        <w:rPr>
          <w:sz w:val="20"/>
          <w:szCs w:val="20"/>
          <w:color w:val="auto"/>
        </w:rPr>
      </w:pPr>
    </w:p>
    <w:p>
      <w:pPr>
        <w:ind w:left="1340" w:right="359" w:hanging="642"/>
        <w:spacing w:after="0" w:line="277" w:lineRule="auto"/>
        <w:tabs>
          <w:tab w:leader="none" w:pos="1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1340" w:right="279" w:hanging="642"/>
        <w:spacing w:after="0" w:line="277" w:lineRule="auto"/>
        <w:tabs>
          <w:tab w:leader="none" w:pos="1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October 19, 2023</w:t>
      </w:r>
    </w:p>
    <w:p>
      <w:pPr>
        <w:spacing w:after="0" w:line="239" w:lineRule="exact"/>
        <w:rPr>
          <w:sz w:val="20"/>
          <w:szCs w:val="20"/>
          <w:color w:val="auto"/>
        </w:rPr>
      </w:pPr>
    </w:p>
    <w:p>
      <w:pPr>
        <w:ind w:left="60"/>
        <w:spacing w:after="0"/>
        <w:tabs>
          <w:tab w:leader="none" w:pos="480" w:val="left"/>
        </w:tabs>
        <w:rPr>
          <w:sz w:val="20"/>
          <w:szCs w:val="20"/>
          <w:color w:val="auto"/>
        </w:rPr>
      </w:pPr>
      <w:r>
        <w:rPr>
          <w:rFonts w:ascii="Arial" w:cs="Arial" w:eastAsia="Arial" w:hAnsi="Arial"/>
          <w:sz w:val="18"/>
          <w:szCs w:val="18"/>
          <w:color w:val="auto"/>
        </w:rPr>
        <w:t>By:</w:t>
        <w:tab/>
        <w:t>/s/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14605</wp:posOffset>
            </wp:positionV>
            <wp:extent cx="26917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John P. Albright</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7" w:name="page48"/>
    <w:bookmarkEnd w:id="47"/>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60" w:right="79"/>
        <w:spacing w:after="0" w:line="301" w:lineRule="auto"/>
        <w:rPr>
          <w:sz w:val="20"/>
          <w:szCs w:val="20"/>
          <w:color w:val="auto"/>
        </w:rPr>
      </w:pPr>
      <w:r>
        <w:rPr>
          <w:rFonts w:ascii="Arial" w:cs="Arial" w:eastAsia="Arial" w:hAnsi="Arial"/>
          <w:sz w:val="16"/>
          <w:szCs w:val="16"/>
          <w:color w:val="auto"/>
        </w:rPr>
        <w:t>In connection with the Quarterly Report of Alpine Income Property Trust, Inc. (the “Company”) on Form 10-Q for the period ended September 30, 2023, as filed with the Securities and Exchange Commission on the date hereof (the “Report”), I, Matthew M. Partridge, Senior Vice President, Chief Financial Officer, and Treasurer of the Company, certify, pursuant to 18 U.S.C. Section 1350, as adopted pursuant to Section 906 of the Sarbanes-Oxley Act of 2002, that:</w:t>
      </w:r>
    </w:p>
    <w:p>
      <w:pPr>
        <w:spacing w:after="0" w:line="157" w:lineRule="exact"/>
        <w:rPr>
          <w:sz w:val="20"/>
          <w:szCs w:val="20"/>
          <w:color w:val="auto"/>
        </w:rPr>
      </w:pPr>
    </w:p>
    <w:p>
      <w:pPr>
        <w:ind w:left="1340" w:right="359" w:hanging="642"/>
        <w:spacing w:after="0" w:line="277" w:lineRule="auto"/>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1340" w:right="279" w:hanging="642"/>
        <w:spacing w:after="0" w:line="277" w:lineRule="auto"/>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October 19, 2023</w:t>
      </w:r>
    </w:p>
    <w:p>
      <w:pPr>
        <w:spacing w:after="0" w:line="239" w:lineRule="exact"/>
        <w:rPr>
          <w:sz w:val="20"/>
          <w:szCs w:val="20"/>
          <w:color w:val="auto"/>
        </w:rPr>
      </w:pPr>
    </w:p>
    <w:p>
      <w:pPr>
        <w:ind w:left="60"/>
        <w:spacing w:after="0"/>
        <w:tabs>
          <w:tab w:leader="none" w:pos="520" w:val="left"/>
        </w:tabs>
        <w:rPr>
          <w:sz w:val="20"/>
          <w:szCs w:val="20"/>
          <w:color w:val="auto"/>
        </w:rPr>
      </w:pPr>
      <w:r>
        <w:rPr>
          <w:rFonts w:ascii="Arial" w:cs="Arial" w:eastAsia="Arial" w:hAnsi="Arial"/>
          <w:sz w:val="18"/>
          <w:szCs w:val="18"/>
          <w:color w:val="auto"/>
        </w:rPr>
        <w:t>By:</w:t>
        <w:tab/>
        <w:t>/s/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14605</wp:posOffset>
            </wp:positionV>
            <wp:extent cx="26746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Matthew M. Partridge, Senior Vice President,</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4"/>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65" Type="http://schemas.openxmlformats.org/officeDocument/2006/relationships/hyperlink" Target="https://www.sec.gov/Archives/edgar/data/0001786117/000155837019011294/ex-3d1.htm" TargetMode="External"/><Relationship Id="rId66" Type="http://schemas.openxmlformats.org/officeDocument/2006/relationships/hyperlink" Target="https://www.sec.gov/Archives/edgar/data/1786117/000155837023000881/pine-20230201xex3d1.htm" TargetMode="External"/><Relationship Id="rId67" Type="http://schemas.openxmlformats.org/officeDocument/2006/relationships/hyperlink" Target="https://www.sec.gov/Archives/edgar/data/0001786117/000119312519277917/d793798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2023-10-19T15:35:28Z</dcterms:created>
  <dcterms:modified xsi:type="dcterms:W3CDTF">2023-10-19T15:35:28Z</dcterms:modified>
</cp:coreProperties>
</file>