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302026_040701.xml.htm"/>
      <w:bookmarkStart w:id="1" w:name="ksform407302026_0407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Richardson Andrew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1140 N. WILLIAMSON BLVD., SUITE 140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DAYTONA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32114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Alpine Income Property Trust, Inc.</w:t>
              </w:r>
            </w:hyperlink>
            <w:r>
              <w:rPr/>
              <w:t xml:space="preserve"> [ </w:t>
            </w:r>
            <w:r>
              <w:rPr>
                <w:rFonts w:ascii="Times;serif" w:hAnsi="Times;serif"/>
                <w:color w:val="0000FF"/>
                <w:sz w:val="24"/>
                <w:shd w:fill="FFFFFF" w:val="clear"/>
              </w:rPr>
              <w:t>PINE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07/28/2026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20.2834</w:t>
            </w:r>
            <w:r>
              <w:rPr>
                <w:rFonts w:ascii="Times;serif" w:hAnsi="Times;serif"/>
                <w:color w:val="008000"/>
                <w:position w:val="7"/>
                <w:sz w:val="16"/>
                <w:sz w:val="20"/>
                <w:shd w:fill="FFFFFF" w:val="clear"/>
              </w:rPr>
              <w:t>(1)</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8,425</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is a weighted-average price. These shares were sold in multiple transactions at prices ranging from $20.130 to $20.400, inclusive. The reporting person undertakes to provide to the Issuer, any security holder of the Issuer, or the staff of the Securities and Exchange Commission, upon request, full information regarding the number of shares sold at each separate price within the range set forth above.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 E. Smith, attorney-in-fact for Andrew C. Richardson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58969" TargetMode="External"/><Relationship Id="rId5" Type="http://schemas.openxmlformats.org/officeDocument/2006/relationships/hyperlink" Target="http://www.sec.gov/cgi-bin/browse-edgar?action=getcompany&amp;CIK=000178611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642</Words>
  <Characters>3487</Characters>
  <CharactersWithSpaces>4063</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