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40640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4" w:lineRule="exact"/>
        <w:rPr>
          <w:sz w:val="24"/>
          <w:szCs w:val="24"/>
          <w:color w:val="auto"/>
        </w:rPr>
      </w:pPr>
    </w:p>
    <w:p>
      <w:pPr>
        <w:ind w:left="3140" w:right="1419" w:hanging="3090"/>
        <w:spacing w:after="0" w:line="289" w:lineRule="auto"/>
        <w:tabs>
          <w:tab w:leader="none" w:pos="56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7" w:lineRule="exact"/>
        <w:rPr>
          <w:sz w:val="24"/>
          <w:szCs w:val="24"/>
          <w:color w:val="auto"/>
        </w:rPr>
      </w:pPr>
    </w:p>
    <w:p>
      <w:pPr>
        <w:ind w:left="580" w:hanging="530"/>
        <w:spacing w:after="0"/>
        <w:tabs>
          <w:tab w:leader="none" w:pos="5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2" w:lineRule="exact"/>
        <w:rPr>
          <w:sz w:val="24"/>
          <w:szCs w:val="24"/>
          <w:color w:val="auto"/>
        </w:rPr>
      </w:pPr>
    </w:p>
    <w:p>
      <w:pPr>
        <w:ind w:left="3160"/>
        <w:spacing w:after="0"/>
        <w:tabs>
          <w:tab w:leader="none" w:pos="53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3206750</wp:posOffset>
            </wp:positionH>
            <wp:positionV relativeFrom="paragraph">
              <wp:posOffset>-1270</wp:posOffset>
            </wp:positionV>
            <wp:extent cx="509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83820</wp:posOffset>
            </wp:positionV>
            <wp:extent cx="1405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ALPINE INCOME PROPERTY TRUST,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73660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rPr>
              <w:t>Maryland</w:t>
            </w: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84-2769895</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4"/>
          </w:tcPr>
          <w:p>
            <w:pPr>
              <w:jc w:val="center"/>
              <w:ind w:left="6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4"/>
              </w:rPr>
              <w:t>incorporation or organization)</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4"/>
          </w:tcPr>
          <w:p>
            <w:pPr>
              <w:jc w:val="center"/>
              <w:ind w:left="668"/>
              <w:spacing w:after="0"/>
              <w:rPr>
                <w:sz w:val="20"/>
                <w:szCs w:val="20"/>
                <w:color w:val="auto"/>
              </w:rPr>
            </w:pPr>
            <w:r>
              <w:rPr>
                <w:rFonts w:ascii="Arial" w:cs="Arial" w:eastAsia="Arial" w:hAnsi="Arial"/>
                <w:sz w:val="14"/>
                <w:szCs w:val="14"/>
                <w:b w:val="1"/>
                <w:bCs w:val="1"/>
                <w:color w:val="auto"/>
                <w:w w:val="92"/>
              </w:rPr>
              <w:t>369 N. New York Avenue, Suite 201</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32789</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gridSpan w:val="4"/>
          </w:tcPr>
          <w:p>
            <w:pPr>
              <w:jc w:val="center"/>
              <w:ind w:left="688"/>
              <w:spacing w:after="0" w:line="149" w:lineRule="exact"/>
              <w:rPr>
                <w:sz w:val="20"/>
                <w:szCs w:val="20"/>
                <w:color w:val="auto"/>
              </w:rPr>
            </w:pPr>
            <w:r>
              <w:rPr>
                <w:rFonts w:ascii="Arial" w:cs="Arial" w:eastAsia="Arial" w:hAnsi="Arial"/>
                <w:sz w:val="14"/>
                <w:szCs w:val="14"/>
                <w:b w:val="1"/>
                <w:bCs w:val="1"/>
                <w:color w:val="auto"/>
                <w:w w:val="98"/>
              </w:rPr>
              <w:t>Winter Park, Florida</w:t>
            </w: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200" w:type="dxa"/>
            <w:vAlign w:val="bottom"/>
            <w:gridSpan w:val="6"/>
          </w:tcPr>
          <w:p>
            <w:pPr>
              <w:jc w:val="center"/>
              <w:ind w:right="40"/>
              <w:spacing w:after="0" w:line="151"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jc w:val="center"/>
              <w:ind w:right="268"/>
              <w:spacing w:after="0"/>
              <w:rPr>
                <w:sz w:val="20"/>
                <w:szCs w:val="20"/>
                <w:color w:val="auto"/>
              </w:rPr>
            </w:pPr>
            <w:r>
              <w:rPr>
                <w:rFonts w:ascii="Arial" w:cs="Arial" w:eastAsia="Arial" w:hAnsi="Arial"/>
                <w:sz w:val="14"/>
                <w:szCs w:val="14"/>
                <w:b w:val="1"/>
                <w:bCs w:val="1"/>
                <w:color w:val="auto"/>
                <w:w w:val="93"/>
              </w:rPr>
              <w:t>(407) 904-3324</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gridSpan w:val="3"/>
          </w:tcPr>
          <w:p>
            <w:pPr>
              <w:spacing w:after="0"/>
              <w:rPr>
                <w:sz w:val="10"/>
                <w:szCs w:val="10"/>
                <w:color w:val="auto"/>
              </w:rPr>
            </w:pPr>
          </w:p>
        </w:tc>
        <w:tc>
          <w:tcPr>
            <w:tcW w:w="2220" w:type="dxa"/>
            <w:vAlign w:val="bottom"/>
            <w:tcBorders>
              <w:bottom w:val="single" w:sz="8" w:color="auto"/>
            </w:tcBorders>
            <w:gridSpan w:val="2"/>
          </w:tcPr>
          <w:p>
            <w:pPr>
              <w:spacing w:after="0"/>
              <w:rPr>
                <w:sz w:val="10"/>
                <w:szCs w:val="10"/>
                <w:color w:val="auto"/>
              </w:rPr>
            </w:pPr>
          </w:p>
        </w:tc>
        <w:tc>
          <w:tcPr>
            <w:tcW w:w="1700" w:type="dxa"/>
            <w:vAlign w:val="bottom"/>
            <w:gridSpan w:val="3"/>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40" w:type="dxa"/>
            <w:vAlign w:val="bottom"/>
            <w:gridSpan w:val="8"/>
          </w:tcPr>
          <w:p>
            <w:pPr>
              <w:jc w:val="center"/>
              <w:ind w:left="154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60" w:type="dxa"/>
            <w:vAlign w:val="bottom"/>
            <w:gridSpan w:val="4"/>
            <w:vMerge w:val="restart"/>
          </w:tcPr>
          <w:p>
            <w:pPr>
              <w:jc w:val="center"/>
              <w:ind w:right="860"/>
              <w:spacing w:after="0"/>
              <w:rPr>
                <w:sz w:val="20"/>
                <w:szCs w:val="20"/>
                <w:color w:val="auto"/>
              </w:rPr>
            </w:pPr>
            <w:r>
              <w:rPr>
                <w:rFonts w:ascii="Arial" w:cs="Arial" w:eastAsia="Arial" w:hAnsi="Arial"/>
                <w:sz w:val="14"/>
                <w:szCs w:val="14"/>
                <w:b w:val="1"/>
                <w:bCs w:val="1"/>
                <w:color w:val="auto"/>
                <w:w w:val="89"/>
              </w:rPr>
              <w:t>Title of each class</w:t>
            </w:r>
          </w:p>
        </w:tc>
        <w:tc>
          <w:tcPr>
            <w:tcW w:w="238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4"/>
              </w:rPr>
              <w:t>Trading Symbol</w:t>
            </w:r>
          </w:p>
        </w:tc>
        <w:tc>
          <w:tcPr>
            <w:tcW w:w="28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gridSpan w:val="4"/>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28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COMMON STOCK, $0.01 PAR VALUE</w:t>
            </w:r>
          </w:p>
        </w:tc>
        <w:tc>
          <w:tcPr>
            <w:tcW w:w="1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PINE</w:t>
            </w:r>
          </w:p>
        </w:tc>
        <w:tc>
          <w:tcPr>
            <w:tcW w:w="1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ind w:left="20"/>
              <w:spacing w:after="0" w:line="160" w:lineRule="exact"/>
              <w:rPr>
                <w:sz w:val="20"/>
                <w:szCs w:val="20"/>
                <w:color w:val="auto"/>
              </w:rPr>
            </w:pPr>
            <w:r>
              <w:rPr>
                <w:rFonts w:ascii="Arial" w:cs="Arial" w:eastAsia="Arial" w:hAnsi="Arial"/>
                <w:sz w:val="14"/>
                <w:szCs w:val="14"/>
                <w:b w:val="1"/>
                <w:bCs w:val="1"/>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8"/>
          </w:tcPr>
          <w:p>
            <w:pPr>
              <w:jc w:val="center"/>
              <w:ind w:left="1548"/>
              <w:spacing w:after="0" w:line="149" w:lineRule="exact"/>
              <w:rPr>
                <w:sz w:val="20"/>
                <w:szCs w:val="20"/>
                <w:color w:val="auto"/>
              </w:rPr>
            </w:pPr>
            <w:r>
              <w:rPr>
                <w:rFonts w:ascii="Arial" w:cs="Arial" w:eastAsia="Arial" w:hAnsi="Arial"/>
                <w:sz w:val="14"/>
                <w:szCs w:val="14"/>
                <w:b w:val="1"/>
                <w:bCs w:val="1"/>
                <w:color w:val="auto"/>
              </w:rPr>
              <w:t>SECURITIES REGISTERED PURSUANT TO SECTION 12(g) OF THE ACT:</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8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NONE</w:t>
            </w:r>
          </w:p>
        </w:tc>
        <w:tc>
          <w:tcPr>
            <w:tcW w:w="1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340" w:type="dxa"/>
            <w:vAlign w:val="bottom"/>
            <w:gridSpan w:val="4"/>
          </w:tcPr>
          <w:p>
            <w:pPr>
              <w:spacing w:after="0"/>
              <w:rPr>
                <w:sz w:val="6"/>
                <w:szCs w:val="6"/>
                <w:color w:val="auto"/>
              </w:rPr>
            </w:pPr>
          </w:p>
        </w:tc>
        <w:tc>
          <w:tcPr>
            <w:tcW w:w="2220" w:type="dxa"/>
            <w:vAlign w:val="bottom"/>
            <w:tcBorders>
              <w:bottom w:val="single" w:sz="8" w:color="auto"/>
            </w:tcBorders>
            <w:gridSpan w:val="2"/>
          </w:tcPr>
          <w:p>
            <w:pPr>
              <w:spacing w:after="0"/>
              <w:rPr>
                <w:sz w:val="6"/>
                <w:szCs w:val="6"/>
                <w:color w:val="auto"/>
              </w:rPr>
            </w:pPr>
          </w:p>
        </w:tc>
        <w:tc>
          <w:tcPr>
            <w:tcW w:w="1700" w:type="dxa"/>
            <w:vAlign w:val="bottom"/>
            <w:gridSpan w:val="3"/>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60" w:type="dxa"/>
            <w:vAlign w:val="bottom"/>
            <w:gridSpan w:val="9"/>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164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260" w:type="dxa"/>
            <w:vAlign w:val="bottom"/>
            <w:gridSpan w:val="9"/>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w:t>
            </w:r>
          </w:p>
        </w:tc>
        <w:tc>
          <w:tcPr>
            <w:tcW w:w="164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left="60" w:right="59"/>
        <w:spacing w:after="0" w:line="24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60"/>
        <w:spacing w:after="0" w:line="161" w:lineRule="exact"/>
        <w:tabs>
          <w:tab w:leader="none" w:pos="2640" w:val="left"/>
        </w:tabs>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left="60" w:right="79"/>
        <w:spacing w:after="0" w:line="24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20"/>
        <w:spacing w:after="0" w:line="161" w:lineRule="exact"/>
        <w:tabs>
          <w:tab w:leader="none" w:pos="6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left="60" w:right="59"/>
        <w:spacing w:after="0" w:line="25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p>
      <w:pPr>
        <w:ind w:left="60"/>
        <w:spacing w:after="0"/>
        <w:rPr>
          <w:sz w:val="20"/>
          <w:szCs w:val="20"/>
          <w:color w:val="auto"/>
        </w:rPr>
      </w:pPr>
      <w:r>
        <w:rPr>
          <w:rFonts w:ascii="Arial" w:cs="Arial" w:eastAsia="Arial" w:hAnsi="Arial"/>
          <w:sz w:val="14"/>
          <w:szCs w:val="14"/>
          <w:color w:val="auto"/>
        </w:rPr>
        <w:t>company” in Rule 12b-2 of the Exchange Act.</w:t>
      </w:r>
    </w:p>
    <w:p>
      <w:pPr>
        <w:sectPr>
          <w:pgSz w:w="11900" w:h="16838" w:orient="portrait"/>
          <w:cols w:equalWidth="0" w:num="1">
            <w:col w:w="9019"/>
          </w:cols>
          <w:pgMar w:left="1440" w:top="665" w:right="1440" w:bottom="1440" w:gutter="0" w:footer="0" w:header="0"/>
        </w:sectPr>
      </w:pPr>
    </w:p>
    <w:p>
      <w:pPr>
        <w:spacing w:after="0" w:line="9" w:lineRule="exact"/>
        <w:rPr>
          <w:sz w:val="24"/>
          <w:szCs w:val="24"/>
          <w:color w:val="auto"/>
        </w:rPr>
      </w:pPr>
    </w:p>
    <w:p>
      <w:pPr>
        <w:ind w:left="6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240"/>
        <w:spacing w:after="0" w:line="139"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both"/>
        <w:ind w:right="79" w:hanging="1"/>
        <w:spacing w:after="0" w:line="173"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1" w:lineRule="exact"/>
        <w:rPr>
          <w:sz w:val="24"/>
          <w:szCs w:val="24"/>
          <w:color w:val="auto"/>
        </w:rPr>
      </w:pPr>
    </w:p>
    <w:p>
      <w:pPr>
        <w:sectPr>
          <w:pgSz w:w="11900" w:h="16838" w:orient="portrait"/>
          <w:cols w:equalWidth="0" w:num="4">
            <w:col w:w="1740" w:space="720"/>
            <w:col w:w="1360" w:space="720"/>
            <w:col w:w="1940" w:space="720"/>
            <w:col w:w="1819"/>
          </w:cols>
          <w:pgMar w:left="1440" w:top="665" w:right="1440" w:bottom="1440" w:gutter="0" w:footer="0" w:header="0"/>
          <w:type w:val="continuous"/>
        </w:sectPr>
      </w:pPr>
    </w:p>
    <w:p>
      <w:pPr>
        <w:ind w:left="60" w:right="119"/>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 w:right="59"/>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 w:right="79"/>
        <w:spacing w:after="0" w:line="17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 w:right="79"/>
        <w:spacing w:after="0" w:line="18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60"/>
        <w:spacing w:after="0" w:line="161" w:lineRule="exact"/>
        <w:tabs>
          <w:tab w:leader="none" w:pos="66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 w:lineRule="exact"/>
        <w:rPr>
          <w:sz w:val="24"/>
          <w:szCs w:val="24"/>
          <w:color w:val="auto"/>
        </w:rPr>
      </w:pPr>
    </w:p>
    <w:p>
      <w:pPr>
        <w:jc w:val="both"/>
        <w:ind w:left="60" w:right="59"/>
        <w:spacing w:after="0" w:line="249" w:lineRule="auto"/>
        <w:rPr>
          <w:sz w:val="20"/>
          <w:szCs w:val="20"/>
          <w:color w:val="auto"/>
        </w:rPr>
      </w:pPr>
      <w:r>
        <w:rPr>
          <w:rFonts w:ascii="Arial" w:cs="Arial" w:eastAsia="Arial" w:hAnsi="Arial"/>
          <w:sz w:val="13"/>
          <w:szCs w:val="13"/>
          <w:color w:val="auto"/>
        </w:rPr>
        <w:t>On June 30, 2022, the last business day of the Registrant’s most recently completed second fiscal quarter, the aggregate market value of the Registrant’s common stock held by non-affiliates of the Registrant was $194,865,951 based on the closing sales price of the Registrant’s common stock on such date</w:t>
      </w:r>
    </w:p>
    <w:p>
      <w:pPr>
        <w:jc w:val="both"/>
        <w:ind w:left="60" w:right="79"/>
        <w:spacing w:after="0" w:line="249" w:lineRule="auto"/>
        <w:rPr>
          <w:sz w:val="20"/>
          <w:szCs w:val="20"/>
          <w:color w:val="auto"/>
        </w:rPr>
      </w:pPr>
      <w:r>
        <w:rPr>
          <w:rFonts w:ascii="Arial" w:cs="Arial" w:eastAsia="Arial" w:hAnsi="Arial"/>
          <w:sz w:val="13"/>
          <w:szCs w:val="13"/>
          <w:color w:val="auto"/>
        </w:rPr>
        <w:t>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w:t>
      </w:r>
    </w:p>
    <w:p>
      <w:pPr>
        <w:ind w:left="60"/>
        <w:spacing w:after="0"/>
        <w:rPr>
          <w:sz w:val="20"/>
          <w:szCs w:val="20"/>
          <w:color w:val="auto"/>
        </w:rPr>
      </w:pPr>
      <w:r>
        <w:rPr>
          <w:rFonts w:ascii="Arial" w:cs="Arial" w:eastAsia="Arial" w:hAnsi="Arial"/>
          <w:sz w:val="14"/>
          <w:szCs w:val="14"/>
          <w:color w:val="auto"/>
        </w:rPr>
        <w:t>officers, directors or 10% beneficial owners are, in fact, affiliates of the Registrant.</w:t>
      </w:r>
    </w:p>
    <w:p>
      <w:pPr>
        <w:spacing w:after="0" w:line="16" w:lineRule="exact"/>
        <w:rPr>
          <w:sz w:val="24"/>
          <w:szCs w:val="24"/>
          <w:color w:val="auto"/>
        </w:rPr>
      </w:pPr>
    </w:p>
    <w:p>
      <w:pPr>
        <w:ind w:left="60"/>
        <w:spacing w:after="0"/>
        <w:rPr>
          <w:sz w:val="20"/>
          <w:szCs w:val="20"/>
          <w:color w:val="auto"/>
        </w:rPr>
      </w:pPr>
      <w:r>
        <w:rPr>
          <w:rFonts w:ascii="Arial" w:cs="Arial" w:eastAsia="Arial" w:hAnsi="Arial"/>
          <w:sz w:val="14"/>
          <w:szCs w:val="14"/>
          <w:color w:val="auto"/>
        </w:rPr>
        <w:t>The number of shares of the registrant’s common stock outstanding on February 2, 2023 was 14,055,208.</w:t>
      </w:r>
    </w:p>
    <w:p>
      <w:pPr>
        <w:spacing w:after="0" w:line="24"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ind w:left="60" w:right="79" w:firstLine="324"/>
        <w:spacing w:after="0" w:line="290" w:lineRule="auto"/>
        <w:rPr>
          <w:sz w:val="20"/>
          <w:szCs w:val="20"/>
          <w:color w:val="auto"/>
        </w:rPr>
      </w:pPr>
      <w:r>
        <w:rPr>
          <w:rFonts w:ascii="Arial" w:cs="Arial" w:eastAsia="Arial" w:hAnsi="Arial"/>
          <w:sz w:val="13"/>
          <w:szCs w:val="13"/>
          <w:color w:val="auto"/>
        </w:rPr>
        <w:t>Portions of the registrant’s Proxy Statement for the 2023 Annual Meeting of Stockholders, which will be filed with the Securities and Exchange Commission within 120 days after the end of the registrant’s fiscal year ended December 31, 2022,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416560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39370</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8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0000EE"/>
                <w:w w:val="98"/>
              </w:rPr>
              <w:t>PART I</w:t>
            </w:r>
          </w:p>
        </w:tc>
        <w:tc>
          <w:tcPr>
            <w:tcW w:w="3320" w:type="dxa"/>
            <w:vAlign w:val="bottom"/>
            <w:vMerge w:val="restart"/>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 #</w:t>
            </w:r>
          </w:p>
        </w:tc>
        <w:tc>
          <w:tcPr>
            <w:tcW w:w="0" w:type="dxa"/>
            <w:vAlign w:val="bottom"/>
          </w:tcPr>
          <w:p>
            <w:pPr>
              <w:spacing w:after="0"/>
              <w:rPr>
                <w:sz w:val="1"/>
                <w:szCs w:val="1"/>
                <w:color w:val="auto"/>
              </w:rPr>
            </w:pPr>
          </w:p>
        </w:tc>
      </w:tr>
      <w:tr>
        <w:trPr>
          <w:trHeight w:val="160"/>
        </w:trPr>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3320" w:type="dxa"/>
            <w:vAlign w:val="bottom"/>
            <w:vMerge w:val="continue"/>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1.</w:t>
            </w:r>
          </w:p>
        </w:tc>
        <w:tc>
          <w:tcPr>
            <w:tcW w:w="3060" w:type="dxa"/>
            <w:vAlign w:val="bottom"/>
            <w:gridSpan w:val="7"/>
          </w:tcPr>
          <w:p>
            <w:pPr>
              <w:spacing w:after="0" w:line="196" w:lineRule="exact"/>
              <w:rPr>
                <w:sz w:val="20"/>
                <w:szCs w:val="20"/>
                <w:color w:val="auto"/>
              </w:rPr>
            </w:pPr>
            <w:r>
              <w:rPr>
                <w:rFonts w:ascii="Arial" w:cs="Arial" w:eastAsia="Arial" w:hAnsi="Arial"/>
                <w:sz w:val="18"/>
                <w:szCs w:val="18"/>
                <w:color w:val="0000EE"/>
              </w:rPr>
              <w:t>BUSINESS</w:t>
            </w: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Item 1A.</w:t>
            </w:r>
          </w:p>
        </w:tc>
        <w:tc>
          <w:tcPr>
            <w:tcW w:w="4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RISK FACTORS</w:t>
            </w:r>
          </w:p>
        </w:tc>
        <w:tc>
          <w:tcPr>
            <w:tcW w:w="1820" w:type="dxa"/>
            <w:vAlign w:val="bottom"/>
            <w:gridSpan w:val="4"/>
          </w:tcPr>
          <w:p>
            <w:pPr>
              <w:spacing w:after="0"/>
              <w:rPr>
                <w:sz w:val="17"/>
                <w:szCs w:val="17"/>
                <w:color w:val="auto"/>
              </w:rPr>
            </w:pP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1B.</w:t>
            </w:r>
          </w:p>
        </w:tc>
        <w:tc>
          <w:tcPr>
            <w:tcW w:w="3060" w:type="dxa"/>
            <w:vAlign w:val="bottom"/>
            <w:gridSpan w:val="7"/>
          </w:tcPr>
          <w:p>
            <w:pPr>
              <w:spacing w:after="0" w:line="196" w:lineRule="exact"/>
              <w:rPr>
                <w:sz w:val="20"/>
                <w:szCs w:val="20"/>
                <w:color w:val="auto"/>
              </w:rPr>
            </w:pPr>
            <w:r>
              <w:rPr>
                <w:rFonts w:ascii="Arial" w:cs="Arial" w:eastAsia="Arial" w:hAnsi="Arial"/>
                <w:sz w:val="18"/>
                <w:szCs w:val="18"/>
                <w:color w:val="0000EE"/>
              </w:rPr>
              <w:t>UNRESOLVED STAFF COMMENTS</w:t>
            </w: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Item 2.</w:t>
            </w:r>
          </w:p>
        </w:tc>
        <w:tc>
          <w:tcPr>
            <w:tcW w:w="500" w:type="dxa"/>
            <w:vAlign w:val="bottom"/>
            <w:gridSpan w:val="2"/>
          </w:tcPr>
          <w:p>
            <w:pPr>
              <w:spacing w:after="0"/>
              <w:rPr>
                <w:sz w:val="17"/>
                <w:szCs w:val="17"/>
                <w:color w:val="auto"/>
              </w:rPr>
            </w:pPr>
          </w:p>
        </w:tc>
        <w:tc>
          <w:tcPr>
            <w:tcW w:w="28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PROPERTIES</w:t>
            </w:r>
          </w:p>
        </w:tc>
        <w:tc>
          <w:tcPr>
            <w:tcW w:w="260" w:type="dxa"/>
            <w:vAlign w:val="bottom"/>
          </w:tcPr>
          <w:p>
            <w:pPr>
              <w:spacing w:after="0"/>
              <w:rPr>
                <w:sz w:val="17"/>
                <w:szCs w:val="17"/>
                <w:color w:val="auto"/>
              </w:rPr>
            </w:pP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3.</w:t>
            </w:r>
          </w:p>
        </w:tc>
        <w:tc>
          <w:tcPr>
            <w:tcW w:w="3060" w:type="dxa"/>
            <w:vAlign w:val="bottom"/>
            <w:gridSpan w:val="7"/>
          </w:tcPr>
          <w:p>
            <w:pPr>
              <w:spacing w:after="0" w:line="196" w:lineRule="exact"/>
              <w:rPr>
                <w:sz w:val="20"/>
                <w:szCs w:val="20"/>
                <w:color w:val="auto"/>
              </w:rPr>
            </w:pPr>
            <w:r>
              <w:rPr>
                <w:rFonts w:ascii="Arial" w:cs="Arial" w:eastAsia="Arial" w:hAnsi="Arial"/>
                <w:sz w:val="18"/>
                <w:szCs w:val="18"/>
                <w:color w:val="0000EE"/>
              </w:rPr>
              <w:t>LEGAL PROCEEDINGS</w:t>
            </w: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4.</w:t>
            </w:r>
          </w:p>
        </w:tc>
        <w:tc>
          <w:tcPr>
            <w:tcW w:w="3060" w:type="dxa"/>
            <w:vAlign w:val="bottom"/>
            <w:gridSpan w:val="7"/>
          </w:tcPr>
          <w:p>
            <w:pPr>
              <w:spacing w:after="0" w:line="196" w:lineRule="exact"/>
              <w:rPr>
                <w:sz w:val="20"/>
                <w:szCs w:val="20"/>
                <w:color w:val="auto"/>
              </w:rPr>
            </w:pPr>
            <w:r>
              <w:rPr>
                <w:rFonts w:ascii="Arial" w:cs="Arial" w:eastAsia="Arial" w:hAnsi="Arial"/>
                <w:sz w:val="18"/>
                <w:szCs w:val="18"/>
                <w:color w:val="0000EE"/>
              </w:rPr>
              <w:t>MINE SAFETY DISCLOSURES</w:t>
            </w:r>
          </w:p>
        </w:tc>
        <w:tc>
          <w:tcPr>
            <w:tcW w:w="4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gridSpan w:val="8"/>
          </w:tcPr>
          <w:p>
            <w:pPr>
              <w:ind w:left="420"/>
              <w:spacing w:after="0"/>
              <w:rPr>
                <w:sz w:val="20"/>
                <w:szCs w:val="20"/>
                <w:color w:val="auto"/>
              </w:rPr>
            </w:pPr>
            <w:r>
              <w:rPr>
                <w:rFonts w:ascii="Arial" w:cs="Arial" w:eastAsia="Arial" w:hAnsi="Arial"/>
                <w:sz w:val="18"/>
                <w:szCs w:val="18"/>
                <w:b w:val="1"/>
                <w:bCs w:val="1"/>
                <w:color w:val="auto"/>
              </w:rPr>
              <w:t>PART II</w:t>
            </w:r>
          </w:p>
        </w:tc>
        <w:tc>
          <w:tcPr>
            <w:tcW w:w="720" w:type="dxa"/>
            <w:vAlign w:val="bottom"/>
          </w:tcPr>
          <w:p>
            <w:pPr>
              <w:spacing w:after="0"/>
              <w:rPr>
                <w:sz w:val="19"/>
                <w:szCs w:val="19"/>
                <w:color w:val="auto"/>
              </w:rPr>
            </w:pPr>
          </w:p>
        </w:tc>
      </w:tr>
      <w:tr>
        <w:trPr>
          <w:trHeight w:val="190"/>
        </w:trPr>
        <w:tc>
          <w:tcPr>
            <w:tcW w:w="1120" w:type="dxa"/>
            <w:vAlign w:val="bottom"/>
            <w:gridSpan w:val="4"/>
          </w:tcPr>
          <w:p>
            <w:pPr>
              <w:spacing w:after="0" w:line="190" w:lineRule="exact"/>
              <w:rPr>
                <w:sz w:val="20"/>
                <w:szCs w:val="20"/>
                <w:color w:val="auto"/>
              </w:rPr>
            </w:pPr>
            <w:r>
              <w:rPr>
                <w:rFonts w:ascii="Arial" w:cs="Arial" w:eastAsia="Arial" w:hAnsi="Arial"/>
                <w:sz w:val="18"/>
                <w:szCs w:val="18"/>
                <w:color w:val="0000EE"/>
              </w:rPr>
              <w:t>Item 5.</w:t>
            </w:r>
          </w:p>
        </w:tc>
        <w:tc>
          <w:tcPr>
            <w:tcW w:w="7040" w:type="dxa"/>
            <w:vAlign w:val="bottom"/>
            <w:gridSpan w:val="14"/>
          </w:tcPr>
          <w:p>
            <w:pPr>
              <w:spacing w:after="0" w:line="190" w:lineRule="exact"/>
              <w:rPr>
                <w:sz w:val="20"/>
                <w:szCs w:val="20"/>
                <w:color w:val="auto"/>
              </w:rPr>
            </w:pPr>
            <w:r>
              <w:rPr>
                <w:rFonts w:ascii="Arial" w:cs="Arial" w:eastAsia="Arial" w:hAnsi="Arial"/>
                <w:sz w:val="18"/>
                <w:szCs w:val="18"/>
                <w:color w:val="0000EE"/>
              </w:rPr>
              <w:t>MARKET FOR REGISTRANT’S COMMON EQUITY, RELATED</w:t>
            </w:r>
          </w:p>
        </w:tc>
        <w:tc>
          <w:tcPr>
            <w:tcW w:w="72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STOCKHOLDER MATTERS, AND ISSUER PURCHASES OF EQUITY SECURITIES</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6.</w:t>
            </w:r>
          </w:p>
        </w:tc>
        <w:tc>
          <w:tcPr>
            <w:tcW w:w="65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RESERVED</w:t>
            </w:r>
          </w:p>
        </w:tc>
        <w:tc>
          <w:tcPr>
            <w:tcW w:w="5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7.</w:t>
            </w: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w:t>
            </w:r>
          </w:p>
        </w:tc>
        <w:tc>
          <w:tcPr>
            <w:tcW w:w="7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AND RESULTS OF OPERATIONS</w:t>
            </w:r>
          </w:p>
        </w:tc>
        <w:tc>
          <w:tcPr>
            <w:tcW w:w="3620" w:type="dxa"/>
            <w:vAlign w:val="bottom"/>
            <w:tcBorders>
              <w:top w:val="single" w:sz="8" w:color="0000EE"/>
            </w:tcBorders>
            <w:gridSpan w:val="5"/>
          </w:tcPr>
          <w:p>
            <w:pPr>
              <w:spacing w:after="0"/>
              <w:rPr>
                <w:sz w:val="17"/>
                <w:szCs w:val="17"/>
                <w:color w:val="auto"/>
              </w:rPr>
            </w:pPr>
          </w:p>
        </w:tc>
        <w:tc>
          <w:tcPr>
            <w:tcW w:w="8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40" w:type="dxa"/>
            <w:vAlign w:val="bottom"/>
            <w:gridSpan w:val="3"/>
          </w:tcPr>
          <w:p>
            <w:pPr>
              <w:spacing w:after="0" w:line="196" w:lineRule="exact"/>
              <w:rPr>
                <w:sz w:val="20"/>
                <w:szCs w:val="20"/>
                <w:color w:val="auto"/>
              </w:rPr>
            </w:pPr>
            <w:r>
              <w:rPr>
                <w:rFonts w:ascii="Arial" w:cs="Arial" w:eastAsia="Arial" w:hAnsi="Arial"/>
                <w:sz w:val="18"/>
                <w:szCs w:val="18"/>
                <w:color w:val="0000EE"/>
                <w:w w:val="92"/>
              </w:rPr>
              <w:t>Item 7A.</w:t>
            </w:r>
          </w:p>
        </w:tc>
        <w:tc>
          <w:tcPr>
            <w:tcW w:w="480" w:type="dxa"/>
            <w:vAlign w:val="bottom"/>
          </w:tcPr>
          <w:p>
            <w:pPr>
              <w:spacing w:after="0"/>
              <w:rPr>
                <w:sz w:val="17"/>
                <w:szCs w:val="17"/>
                <w:color w:val="auto"/>
              </w:rPr>
            </w:pP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Item 8.</w:t>
            </w:r>
          </w:p>
        </w:tc>
        <w:tc>
          <w:tcPr>
            <w:tcW w:w="480" w:type="dxa"/>
            <w:vAlign w:val="bottom"/>
          </w:tcPr>
          <w:p>
            <w:pPr>
              <w:spacing w:after="0"/>
              <w:rPr>
                <w:sz w:val="17"/>
                <w:szCs w:val="17"/>
                <w:color w:val="auto"/>
              </w:rPr>
            </w:pPr>
          </w:p>
        </w:tc>
        <w:tc>
          <w:tcPr>
            <w:tcW w:w="6120" w:type="dxa"/>
            <w:vAlign w:val="bottom"/>
            <w:tcBorders>
              <w:top w:val="single" w:sz="8" w:color="0000EE"/>
            </w:tcBorders>
            <w:gridSpan w:val="10"/>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92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9.</w:t>
            </w: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w:t>
            </w:r>
          </w:p>
        </w:tc>
        <w:tc>
          <w:tcPr>
            <w:tcW w:w="7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8"/>
              </w:rPr>
              <w:t>AND FINANCIAL DISCLOSURE</w:t>
            </w:r>
          </w:p>
        </w:tc>
        <w:tc>
          <w:tcPr>
            <w:tcW w:w="3920" w:type="dxa"/>
            <w:vAlign w:val="bottom"/>
            <w:tcBorders>
              <w:top w:val="single" w:sz="8" w:color="0000EE"/>
            </w:tcBorders>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Item 9A.</w:t>
            </w:r>
          </w:p>
        </w:tc>
        <w:tc>
          <w:tcPr>
            <w:tcW w:w="48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CONTROLS AND PROCEDURES</w:t>
            </w:r>
          </w:p>
        </w:tc>
        <w:tc>
          <w:tcPr>
            <w:tcW w:w="444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9B.</w:t>
            </w: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OTHER INFORMATION</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120" w:type="dxa"/>
            <w:vAlign w:val="bottom"/>
            <w:gridSpan w:val="4"/>
          </w:tcPr>
          <w:p>
            <w:pPr>
              <w:spacing w:after="0" w:line="196" w:lineRule="exact"/>
              <w:rPr>
                <w:sz w:val="20"/>
                <w:szCs w:val="20"/>
                <w:color w:val="auto"/>
              </w:rPr>
            </w:pPr>
            <w:r>
              <w:rPr>
                <w:rFonts w:ascii="Arial" w:cs="Arial" w:eastAsia="Arial" w:hAnsi="Arial"/>
                <w:sz w:val="18"/>
                <w:szCs w:val="18"/>
                <w:color w:val="0000EE"/>
              </w:rPr>
              <w:t>Item 9C.</w:t>
            </w:r>
          </w:p>
        </w:tc>
        <w:tc>
          <w:tcPr>
            <w:tcW w:w="7040" w:type="dxa"/>
            <w:vAlign w:val="bottom"/>
            <w:gridSpan w:val="14"/>
          </w:tcPr>
          <w:p>
            <w:pPr>
              <w:spacing w:after="0" w:line="196" w:lineRule="exact"/>
              <w:rPr>
                <w:sz w:val="20"/>
                <w:szCs w:val="20"/>
                <w:color w:val="auto"/>
              </w:rPr>
            </w:pPr>
            <w:r>
              <w:rPr>
                <w:rFonts w:ascii="Arial" w:cs="Arial" w:eastAsia="Arial" w:hAnsi="Arial"/>
                <w:sz w:val="18"/>
                <w:szCs w:val="18"/>
                <w:color w:val="0000EE"/>
              </w:rPr>
              <w:t>DISCLOSURE REGARDING FOREIGN JURISDICTIONS THAT PREVENT</w:t>
            </w:r>
          </w:p>
        </w:tc>
        <w:tc>
          <w:tcPr>
            <w:tcW w:w="720" w:type="dxa"/>
            <w:vAlign w:val="bottom"/>
          </w:tcPr>
          <w:p>
            <w:pPr>
              <w:spacing w:after="0"/>
              <w:rPr>
                <w:sz w:val="17"/>
                <w:szCs w:val="17"/>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INSPECTIONS</w:t>
            </w:r>
          </w:p>
        </w:tc>
        <w:tc>
          <w:tcPr>
            <w:tcW w:w="12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60" w:type="dxa"/>
            <w:vAlign w:val="bottom"/>
            <w:gridSpan w:val="7"/>
          </w:tcPr>
          <w:p>
            <w:pPr>
              <w:spacing w:after="0"/>
              <w:rPr>
                <w:sz w:val="20"/>
                <w:szCs w:val="20"/>
                <w:color w:val="auto"/>
              </w:rPr>
            </w:pPr>
            <w:r>
              <w:rPr>
                <w:rFonts w:ascii="Arial" w:cs="Arial" w:eastAsia="Arial" w:hAnsi="Arial"/>
                <w:sz w:val="18"/>
                <w:szCs w:val="18"/>
                <w:b w:val="1"/>
                <w:bCs w:val="1"/>
                <w:color w:val="0000EE"/>
              </w:rPr>
              <w:t>PART III</w:t>
            </w:r>
          </w:p>
        </w:tc>
        <w:tc>
          <w:tcPr>
            <w:tcW w:w="6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Item 10.</w:t>
            </w:r>
          </w:p>
        </w:tc>
        <w:tc>
          <w:tcPr>
            <w:tcW w:w="520" w:type="dxa"/>
            <w:vAlign w:val="bottom"/>
          </w:tcPr>
          <w:p>
            <w:pPr>
              <w:spacing w:after="0"/>
              <w:rPr>
                <w:sz w:val="17"/>
                <w:szCs w:val="17"/>
                <w:color w:val="auto"/>
              </w:rPr>
            </w:pPr>
          </w:p>
        </w:tc>
        <w:tc>
          <w:tcPr>
            <w:tcW w:w="58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DIRECTORS, EXECUTIVE OFFICERS, AND CORPORATE GOVERNANCE</w:t>
            </w:r>
          </w:p>
        </w:tc>
        <w:tc>
          <w:tcPr>
            <w:tcW w:w="132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20" w:type="dxa"/>
            <w:vAlign w:val="bottom"/>
            <w:gridSpan w:val="3"/>
          </w:tcPr>
          <w:p>
            <w:pPr>
              <w:spacing w:after="0" w:line="196" w:lineRule="exact"/>
              <w:rPr>
                <w:sz w:val="20"/>
                <w:szCs w:val="20"/>
                <w:color w:val="auto"/>
              </w:rPr>
            </w:pPr>
            <w:r>
              <w:rPr>
                <w:rFonts w:ascii="Arial" w:cs="Arial" w:eastAsia="Arial" w:hAnsi="Arial"/>
                <w:sz w:val="18"/>
                <w:szCs w:val="18"/>
                <w:color w:val="0000EE"/>
              </w:rPr>
              <w:t>Item 11.</w:t>
            </w:r>
          </w:p>
        </w:tc>
        <w:tc>
          <w:tcPr>
            <w:tcW w:w="7160" w:type="dxa"/>
            <w:vAlign w:val="bottom"/>
            <w:gridSpan w:val="10"/>
          </w:tcPr>
          <w:p>
            <w:pPr>
              <w:spacing w:after="0" w:line="196" w:lineRule="exact"/>
              <w:rPr>
                <w:sz w:val="20"/>
                <w:szCs w:val="20"/>
                <w:color w:val="auto"/>
              </w:rPr>
            </w:pPr>
            <w:r>
              <w:rPr>
                <w:rFonts w:ascii="Arial" w:cs="Arial" w:eastAsia="Arial" w:hAnsi="Arial"/>
                <w:sz w:val="18"/>
                <w:szCs w:val="18"/>
                <w:color w:val="0000EE"/>
              </w:rPr>
              <w:t>EXECUTIVE COMPENSATION</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Item 12.</w:t>
            </w:r>
          </w:p>
        </w:tc>
        <w:tc>
          <w:tcPr>
            <w:tcW w:w="52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6"/>
              </w:rPr>
              <w:t>SECURITY OWNERSHIP OF CERTAIN BENEFICIAL OWNERS AND MANAGEMENT</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5"/>
              </w:rPr>
              <w:t>AND RELATED STOCKHOLDER MATTERS</w:t>
            </w:r>
          </w:p>
        </w:tc>
        <w:tc>
          <w:tcPr>
            <w:tcW w:w="370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Item 13.</w:t>
            </w:r>
          </w:p>
        </w:tc>
        <w:tc>
          <w:tcPr>
            <w:tcW w:w="52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5"/>
              </w:rPr>
              <w:t>CERTAIN RELATIONSHIPS AND RELATED TRANSACTIONS, AND DIRECTOR</w:t>
            </w:r>
          </w:p>
        </w:tc>
        <w:tc>
          <w:tcPr>
            <w:tcW w:w="8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60" w:type="dxa"/>
            <w:vAlign w:val="bottom"/>
            <w:gridSpan w:val="10"/>
          </w:tcPr>
          <w:p>
            <w:pPr>
              <w:spacing w:after="0" w:line="196" w:lineRule="exact"/>
              <w:rPr>
                <w:sz w:val="20"/>
                <w:szCs w:val="20"/>
                <w:color w:val="auto"/>
              </w:rPr>
            </w:pPr>
            <w:r>
              <w:rPr>
                <w:rFonts w:ascii="Arial" w:cs="Arial" w:eastAsia="Arial" w:hAnsi="Arial"/>
                <w:sz w:val="18"/>
                <w:szCs w:val="18"/>
                <w:color w:val="0000EE"/>
              </w:rPr>
              <w:t>INDEPENDENCE</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Item 14.</w:t>
            </w:r>
          </w:p>
        </w:tc>
        <w:tc>
          <w:tcPr>
            <w:tcW w:w="520" w:type="dxa"/>
            <w:vAlign w:val="bottom"/>
          </w:tcPr>
          <w:p>
            <w:pPr>
              <w:spacing w:after="0"/>
              <w:rPr>
                <w:sz w:val="17"/>
                <w:szCs w:val="17"/>
                <w:color w:val="auto"/>
              </w:rPr>
            </w:pPr>
          </w:p>
        </w:tc>
        <w:tc>
          <w:tcPr>
            <w:tcW w:w="39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PRINCIPAL ACCOUNTANT FEES AND SERVICES</w:t>
            </w:r>
          </w:p>
        </w:tc>
        <w:tc>
          <w:tcPr>
            <w:tcW w:w="320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98"/>
              </w:rPr>
              <w:t>PART IV</w:t>
            </w:r>
          </w:p>
        </w:tc>
        <w:tc>
          <w:tcPr>
            <w:tcW w:w="228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0000EE"/>
                <w:w w:val="89"/>
              </w:rPr>
              <w:t>Item 15.</w:t>
            </w:r>
          </w:p>
        </w:tc>
        <w:tc>
          <w:tcPr>
            <w:tcW w:w="520" w:type="dxa"/>
            <w:vAlign w:val="bottom"/>
            <w:gridSpan w:val="2"/>
          </w:tcPr>
          <w:p>
            <w:pPr>
              <w:spacing w:after="0"/>
              <w:rPr>
                <w:sz w:val="17"/>
                <w:szCs w:val="17"/>
                <w:color w:val="auto"/>
              </w:rPr>
            </w:pPr>
          </w:p>
        </w:tc>
        <w:tc>
          <w:tcPr>
            <w:tcW w:w="6000" w:type="dxa"/>
            <w:vAlign w:val="bottom"/>
            <w:gridSpan w:val="4"/>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3"/>
          </w:tcPr>
          <w:p>
            <w:pPr>
              <w:spacing w:after="0" w:line="196" w:lineRule="exact"/>
              <w:rPr>
                <w:sz w:val="20"/>
                <w:szCs w:val="20"/>
                <w:color w:val="auto"/>
              </w:rPr>
            </w:pPr>
            <w:r>
              <w:rPr>
                <w:rFonts w:ascii="Arial" w:cs="Arial" w:eastAsia="Arial" w:hAnsi="Arial"/>
                <w:sz w:val="18"/>
                <w:szCs w:val="18"/>
                <w:color w:val="0000EE"/>
                <w:w w:val="93"/>
              </w:rPr>
              <w:t>SIGNATURES</w:t>
            </w:r>
          </w:p>
        </w:tc>
        <w:tc>
          <w:tcPr>
            <w:tcW w:w="3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810"/>
        </w:trPr>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9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7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See “Item 1A. Risk Factors” within this Annual Report on Form 10-K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Annual Report on Form 10-K. The Company undertakes no obligation to publicly release any revisions to these forward-looking statements that may be made to reflect events or circumstances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are a real estate investment trust (“REIT”) that owns and operates a high-quality portfolio of commercial net lease properties all located in the United States. Our properties are primarily leased to industry leading, creditworthy tenants, many of which operate in industries we believe are resistant to the impact of e-commerce. Our portfolio consists of 148 net leased properties located in 106 markets in 34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6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no employees and is externally managed by Alpine Income Property Manager, LLC (our “Manager”), a Delaware limited liability company and a wholly owned subsidiary of CTO Realty Growth, Inc. (NYSE: CTO) (“CTO”) is a Maryland corporation that is a publicly traded diversified REIT and the sole member of our Manager.</w:t>
      </w:r>
    </w:p>
    <w:p>
      <w:pPr>
        <w:spacing w:after="0" w:line="14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The Company elected to be taxed as a REIT for U.S. federal income tax purposes commencing with its initial taxable year ended December 31, 2019. We believe the Company has been organized and has operated in such a manner as to qualify for taxation as a REIT under the U.S. federal income tax laws. We intend to continue to operate in such a manner, but no assurances can be given that we will continue to operate in such a manner as to qualify for taxation as a REIT under the U.S. federal income tax laws.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primary objective is to maximize cash flow and value per share by generating stable and growing cash flows and attractive risk-adjusted returns through the ownership, operation and growth through acquisition of a diversified portfolio of high-quality, net leased commercial properties with attractive long-term real estate fundamentals. The 148 properties in our portfolio are 99% occupied and represent 3.7 million of gross rentable square feet with leases that have a weighted average lease term of 7.6 years (weighting based on annualized base rent as of December 31, 2022). Our portfolio is representative of our investment strategy, which consists of one or more of the following core investment criteria:</w:t>
      </w:r>
    </w:p>
    <w:p>
      <w:pPr>
        <w:spacing w:after="0" w:line="160" w:lineRule="exact"/>
        <w:rPr>
          <w:sz w:val="20"/>
          <w:szCs w:val="20"/>
          <w:color w:val="auto"/>
        </w:rPr>
      </w:pPr>
    </w:p>
    <w:p>
      <w:pPr>
        <w:jc w:val="both"/>
        <w:ind w:left="720" w:right="79" w:hanging="319"/>
        <w:spacing w:after="0" w:line="25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Attractive Locations</w:t>
      </w:r>
      <w:r>
        <w:rPr>
          <w:rFonts w:ascii="Arial" w:cs="Arial" w:eastAsia="Arial" w:hAnsi="Arial"/>
          <w:sz w:val="18"/>
          <w:szCs w:val="18"/>
          <w:color w:val="auto"/>
        </w:rPr>
        <w:t>. The 148 properties in our portfolio represent 3.7 million gross rentable square feet, are</w:t>
      </w:r>
      <w:r>
        <w:rPr>
          <w:rFonts w:ascii="Arial" w:cs="Arial" w:eastAsia="Arial" w:hAnsi="Arial"/>
          <w:sz w:val="18"/>
          <w:szCs w:val="18"/>
          <w:b w:val="1"/>
          <w:bCs w:val="1"/>
          <w:color w:val="auto"/>
        </w:rPr>
        <w:t xml:space="preserve"> </w:t>
      </w:r>
      <w:r>
        <w:rPr>
          <w:rFonts w:ascii="Arial" w:cs="Arial" w:eastAsia="Arial" w:hAnsi="Arial"/>
          <w:sz w:val="18"/>
          <w:szCs w:val="18"/>
          <w:color w:val="auto"/>
        </w:rPr>
        <w:t>99% occupied, and are primarily located in, or in close proximity to major metropolitan statistical areas, or MSAs, and in markets in the United States with favorable economic and demographic conditions. As of December 31, 2022, a total of 57% of our portfolio’s annualized base rent was derived from properties located in MSAs with populations greater than one million people.</w:t>
      </w:r>
    </w:p>
    <w:p>
      <w:pPr>
        <w:spacing w:after="0" w:line="183" w:lineRule="exact"/>
        <w:rPr>
          <w:rFonts w:ascii="Arial" w:cs="Arial" w:eastAsia="Arial" w:hAnsi="Arial"/>
          <w:sz w:val="18"/>
          <w:szCs w:val="18"/>
          <w:color w:val="auto"/>
        </w:rPr>
      </w:pPr>
    </w:p>
    <w:p>
      <w:pPr>
        <w:jc w:val="both"/>
        <w:ind w:left="720" w:right="79" w:hanging="319"/>
        <w:spacing w:after="0" w:line="277"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Creditworthy Tenants</w:t>
      </w:r>
      <w:r>
        <w:rPr>
          <w:rFonts w:ascii="Arial" w:cs="Arial" w:eastAsia="Arial" w:hAnsi="Arial"/>
          <w:sz w:val="17"/>
          <w:szCs w:val="17"/>
          <w:color w:val="auto"/>
        </w:rPr>
        <w:t>. 54% of our portfolio’s annualized base rent as of December 31, 2022 was derived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that have (or whose parent company has) an investment grade credit rating from a recognized credit rating agency. Our largest tenant, Walgreens, has a ‘BBB’ credit rating from S&amp;P Global Ratings or its equivalent from Moody’s Investor Services, Fitch Ratings or the National Association of Insurance Commissioners and contributed less than 10% of our portfolio’s total revenue as of December 31, 2022.</w:t>
      </w:r>
    </w:p>
    <w:p>
      <w:pPr>
        <w:spacing w:after="0" w:line="167" w:lineRule="exact"/>
        <w:rPr>
          <w:rFonts w:ascii="Arial" w:cs="Arial" w:eastAsia="Arial" w:hAnsi="Arial"/>
          <w:sz w:val="17"/>
          <w:szCs w:val="17"/>
          <w:color w:val="auto"/>
        </w:rPr>
      </w:pPr>
    </w:p>
    <w:p>
      <w:pPr>
        <w:ind w:left="720" w:right="79" w:hanging="319"/>
        <w:spacing w:after="0" w:line="282"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Geographic Diversity</w:t>
      </w:r>
      <w:r>
        <w:rPr>
          <w:rFonts w:ascii="Arial" w:cs="Arial" w:eastAsia="Arial" w:hAnsi="Arial"/>
          <w:sz w:val="18"/>
          <w:szCs w:val="18"/>
          <w:color w:val="auto"/>
        </w:rPr>
        <w:t>. Our portfolio is spread across 106 markets in 34 states. Our largest property, as measured</w:t>
      </w:r>
      <w:r>
        <w:rPr>
          <w:rFonts w:ascii="Arial" w:cs="Arial" w:eastAsia="Arial" w:hAnsi="Arial"/>
          <w:sz w:val="18"/>
          <w:szCs w:val="18"/>
          <w:b w:val="1"/>
          <w:bCs w:val="1"/>
          <w:color w:val="auto"/>
        </w:rPr>
        <w:t xml:space="preserve"> </w:t>
      </w:r>
      <w:r>
        <w:rPr>
          <w:rFonts w:ascii="Arial" w:cs="Arial" w:eastAsia="Arial" w:hAnsi="Arial"/>
          <w:sz w:val="18"/>
          <w:szCs w:val="18"/>
          <w:color w:val="auto"/>
        </w:rPr>
        <w:t>by annualized base rent, is located in the Houston, Texas MSA.</w:t>
      </w:r>
    </w:p>
    <w:p>
      <w:pPr>
        <w:spacing w:after="0" w:line="161" w:lineRule="exact"/>
        <w:rPr>
          <w:rFonts w:ascii="Arial" w:cs="Arial" w:eastAsia="Arial" w:hAnsi="Arial"/>
          <w:sz w:val="18"/>
          <w:szCs w:val="18"/>
          <w:color w:val="auto"/>
        </w:rPr>
      </w:pPr>
    </w:p>
    <w:p>
      <w:pPr>
        <w:jc w:val="both"/>
        <w:ind w:left="720" w:right="79" w:hanging="319"/>
        <w:spacing w:after="0" w:line="26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99% Occupied with Primarily Long Duration Leases</w:t>
      </w:r>
      <w:r>
        <w:rPr>
          <w:rFonts w:ascii="Arial" w:cs="Arial" w:eastAsia="Arial" w:hAnsi="Arial"/>
          <w:sz w:val="18"/>
          <w:szCs w:val="18"/>
          <w:color w:val="auto"/>
        </w:rPr>
        <w:t>. Our portfolio is 99% leased and occupied. The leases in</w:t>
      </w:r>
      <w:r>
        <w:rPr>
          <w:rFonts w:ascii="Arial" w:cs="Arial" w:eastAsia="Arial" w:hAnsi="Arial"/>
          <w:sz w:val="18"/>
          <w:szCs w:val="18"/>
          <w:b w:val="1"/>
          <w:bCs w:val="1"/>
          <w:color w:val="auto"/>
        </w:rPr>
        <w:t xml:space="preserve"> </w:t>
      </w:r>
      <w:r>
        <w:rPr>
          <w:rFonts w:ascii="Arial" w:cs="Arial" w:eastAsia="Arial" w:hAnsi="Arial"/>
          <w:sz w:val="18"/>
          <w:szCs w:val="18"/>
          <w:color w:val="auto"/>
        </w:rPr>
        <w:t>our portfolio have a weighted average remaining lease term of 7.6 years (weighted based on annualized base rent as of December 31, 2022).</w:t>
      </w:r>
    </w:p>
    <w:p>
      <w:pPr>
        <w:spacing w:after="0" w:line="175" w:lineRule="exact"/>
        <w:rPr>
          <w:rFonts w:ascii="Arial" w:cs="Arial" w:eastAsia="Arial" w:hAnsi="Arial"/>
          <w:sz w:val="18"/>
          <w:szCs w:val="18"/>
          <w:color w:val="auto"/>
        </w:rPr>
      </w:pPr>
    </w:p>
    <w:p>
      <w:pPr>
        <w:ind w:left="720" w:right="79" w:hanging="319"/>
        <w:spacing w:after="0" w:line="347"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Contractual Rent Growth</w:t>
      </w:r>
      <w:r>
        <w:rPr>
          <w:rFonts w:ascii="Arial" w:cs="Arial" w:eastAsia="Arial" w:hAnsi="Arial"/>
          <w:sz w:val="16"/>
          <w:szCs w:val="16"/>
          <w:color w:val="auto"/>
        </w:rPr>
        <w:t>. As of December 31, 2022, 38% of the leases in our portfolio (based on annualized</w:t>
      </w:r>
      <w:r>
        <w:rPr>
          <w:rFonts w:ascii="Arial" w:cs="Arial" w:eastAsia="Arial" w:hAnsi="Arial"/>
          <w:sz w:val="16"/>
          <w:szCs w:val="16"/>
          <w:b w:val="1"/>
          <w:bCs w:val="1"/>
          <w:color w:val="auto"/>
        </w:rPr>
        <w:t xml:space="preserve"> </w:t>
      </w:r>
      <w:r>
        <w:rPr>
          <w:rFonts w:ascii="Arial" w:cs="Arial" w:eastAsia="Arial" w:hAnsi="Arial"/>
          <w:sz w:val="16"/>
          <w:szCs w:val="16"/>
          <w:color w:val="auto"/>
        </w:rPr>
        <w:t>base rent as of December 31, 2022) provide for increases in contractual base rent during the lease term.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The Company is a Maryland corporation formed on August 19, 2019. On November 26, 2019, the Company closed its initial public offering (“IPO”). Our common stock is listed on the New York Stock Exchange (“NYSE”) under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symbol “PINE.” We sold 7,500,000 shares of our common stock at $19.00 per share in the IPO. CTO purchased 421,053 of the shares of our common stock that we sold in the IPO. We refer to the IPO, the CTO Private Placement (defined below), and the other transactions executed at the time of our listing on the NYSE collectively as the “Formation Transactions.”</w:t>
      </w:r>
    </w:p>
    <w:p>
      <w:pPr>
        <w:spacing w:after="0" w:line="14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conduct the substantial majority of our operations through, and substantially all of our assets are held by, Alpine Income Property OP, LP (the “Operating Partnership”). Our wholly owned subsidiary, Alpine Income Property GP, LLC (“PINE GP”), is the sole general partner of the Operating Partnership. As of December 31, 2022, we have a total ownership interest in the Operating Partnership of 88.7%, with CTO holding, directly and indirectly, an 8.1% ownership interest in the Operating Partnership. The remaining 3.2% ownership interest is held by an unrelated third party in connection with the issuance of units of the operating partnership (“OP Units”) issued as consideration for a portfolio of net lease properties acquired during the year ended December 31,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pacing w:after="0" w:line="17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are externally managed by our Manager. Concurrently with the closing of the IPO, CTO invested $15.5 million in exchange for 815,790 shares of our common stock. See Note 15, “Related Party Management Company” to the consolidated financial statements included in Item 8, “Financial Statements and Supplementary Data” in this Annual Report on Form 10-K for the Company’s disclosure related to CTO’s purchase of PINE common stock subsequent to the IPO.</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Markets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Equity. </w:t>
      </w:r>
      <w:r>
        <w:rPr>
          <w:rFonts w:ascii="Arial" w:cs="Arial" w:eastAsia="Arial" w:hAnsi="Arial"/>
          <w:sz w:val="18"/>
          <w:szCs w:val="18"/>
          <w:color w:val="auto"/>
        </w:rPr>
        <w:t>On December 1, 2020, the Company filed a shelf registration statement on Form S-3,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and potential issuance of its common stock, preferred stock, warrants, rights, and units with a maximum aggregate offering price of up to $350.0 million. The Securities and Exchange Commission (the “SEC”) declared the Form S-3 effective on December 11, 2020.</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8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spacing w:after="0" w:line="181"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October 21, 2022, the Company implemented a $150.0 million “at-the-market” equity offering program (the “2022 ATM Program”) pursuant to which the Company may sell, from time to time, shares of the Company’s common stock.</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30, 2022, the Company and the Operating Partnership entered into a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spacing w:after="0" w:line="187" w:lineRule="exact"/>
        <w:rPr>
          <w:sz w:val="20"/>
          <w:szCs w:val="20"/>
          <w:color w:val="auto"/>
        </w:rPr>
      </w:pPr>
    </w:p>
    <w:p>
      <w:pPr>
        <w:ind w:left="1040" w:right="159" w:hanging="315"/>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origination of a new senior unsecured revolving credit facility in the amount of $250 million (the “Credit Facility”) which matures on January 31, 2027, with the option to extend for one year;</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 of certain financial covenants; and</w:t>
      </w:r>
    </w:p>
    <w:p>
      <w:pPr>
        <w:spacing w:after="0" w:line="9" w:lineRule="exact"/>
        <w:rPr>
          <w:rFonts w:ascii="Arial" w:cs="Arial" w:eastAsia="Arial" w:hAnsi="Arial"/>
          <w:sz w:val="18"/>
          <w:szCs w:val="18"/>
          <w:color w:val="auto"/>
        </w:rPr>
      </w:pPr>
    </w:p>
    <w:p>
      <w:pPr>
        <w:ind w:left="1040" w:right="79" w:hanging="315"/>
        <w:spacing w:after="0" w:line="290"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addition of a sustainability-linked pricing component pursuant to which the Company will receive interest rate reductions up to 0.025% based on performance against sustainability performance targets.</w:t>
      </w:r>
    </w:p>
    <w:p>
      <w:pPr>
        <w:spacing w:after="0" w:line="14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Pursuant to the 2022 Amended and Restated Credit Agreement, the indebtedness outstanding under the Credit Facility accrues at a rate ranging from SOFR plus 0.10% plus a range of 125 basis points to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6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u w:val="single" w:color="auto"/>
          <w:color w:val="auto"/>
        </w:rPr>
        <w:t>2026 Term Loan.</w:t>
      </w:r>
      <w:r>
        <w:rPr>
          <w:rFonts w:ascii="Arial" w:cs="Arial" w:eastAsia="Arial" w:hAnsi="Arial"/>
          <w:sz w:val="16"/>
          <w:szCs w:val="16"/>
          <w:color w:val="auto"/>
        </w:rPr>
        <w:t xml:space="preserve"> 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spacing w:after="0" w:line="13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u w:val="single" w:color="auto"/>
          <w:color w:val="auto"/>
        </w:rPr>
        <w:t>2027 Term Loan.</w:t>
      </w:r>
      <w:r>
        <w:rPr>
          <w:rFonts w:ascii="Arial" w:cs="Arial" w:eastAsia="Arial" w:hAnsi="Arial"/>
          <w:sz w:val="16"/>
          <w:szCs w:val="16"/>
          <w:color w:val="auto"/>
        </w:rPr>
        <w:t xml:space="preserve"> 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u w:val="single" w:color="auto"/>
          <w:color w:val="auto"/>
        </w:rPr>
        <w:t>Mortgage Notes Payable.</w:t>
      </w:r>
      <w:r>
        <w:rPr>
          <w:rFonts w:ascii="Arial" w:cs="Arial" w:eastAsia="Arial" w:hAnsi="Arial"/>
          <w:sz w:val="18"/>
          <w:szCs w:val="18"/>
          <w:color w:val="auto"/>
        </w:rPr>
        <w:t xml:space="preserve"> On June 30, 2021, in connection with the acquisition of six net lease properties from CTO (the “CMBS Portfolio”), the Company assumed an existing $30.0 million secured mortgage, which bears interest at a fixed rate of 4.33% (the “CMBS Loan”). On December 1, 2022, the Company completed the defeasance of the CMBS Loan, unencumbering the CBMS Portfolio. The Company sold four of the six properties subsequent to the defeasance, during the year ended December 31, 2022. Additionally, on June 30, 2021, in connection with the acquisition of two net lease properties from an unrelated third party, the Company assumed mortgage notes totaling an aggregate of $1.6 million, which balance was repaid on July 1, 2021.</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 Opportunity</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the net lease property market has expanded steadily over the last several years, and investor demand for net leased properties has continued to gain momentum. Unlike a gross lease, which places the financial responsibility for most expenses with the property owner, the net lease structure shifts the majority or entirety of costs for property taxes, 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Strategy</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8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believe that the net leased properties we own and intend to acquire will provide our stockholders with investment diversification and can deliver strong risk-adjusted returns. We expect the majority of our net leased properties will be retail properties. We believe the risk-adjusted returns for other select property types within our portfolio are compelling and offer attractive investment yields, rental rates at or below prevailing market rental rates and an investment basis below replacement cost.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Portfolio</w:t>
      </w:r>
    </w:p>
    <w:p>
      <w:pPr>
        <w:spacing w:after="0" w:line="225"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As of December 31, 2022, the Company owned 148 properties in 34 states. The following is a summary of the relevant leases attributable to these properties: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99"/>
              </w:rPr>
              <w:t>Rentable Square</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ind w:right="13"/>
              <w:spacing w:after="0"/>
              <w:rPr>
                <w:sz w:val="20"/>
                <w:szCs w:val="20"/>
                <w:color w:val="auto"/>
              </w:rPr>
            </w:pPr>
            <w:r>
              <w:rPr>
                <w:rFonts w:ascii="Arial" w:cs="Arial" w:eastAsia="Arial" w:hAnsi="Arial"/>
                <w:sz w:val="13"/>
                <w:szCs w:val="13"/>
                <w:b w:val="1"/>
                <w:bCs w:val="1"/>
                <w:color w:val="auto"/>
                <w:w w:val="95"/>
              </w:rPr>
              <w:t>Annualized Base Rent</w:t>
            </w:r>
          </w:p>
        </w:tc>
      </w:tr>
      <w:tr>
        <w:trPr>
          <w:trHeight w:val="168"/>
        </w:trPr>
        <w:tc>
          <w:tcPr>
            <w:tcW w:w="4120" w:type="dxa"/>
            <w:vAlign w:val="bottom"/>
            <w:gridSpan w:val="2"/>
          </w:tcPr>
          <w:p>
            <w:pPr>
              <w:ind w:left="20"/>
              <w:spacing w:after="0"/>
              <w:rPr>
                <w:sz w:val="20"/>
                <w:szCs w:val="20"/>
                <w:color w:val="auto"/>
              </w:rPr>
            </w:pPr>
            <w:r>
              <w:rPr>
                <w:rFonts w:ascii="Arial" w:cs="Arial" w:eastAsia="Arial" w:hAnsi="Arial"/>
                <w:sz w:val="13"/>
                <w:szCs w:val="13"/>
                <w:b w:val="1"/>
                <w:bCs w:val="1"/>
                <w:color w:val="auto"/>
              </w:rPr>
              <w:t>Description</w:t>
            </w:r>
          </w:p>
        </w:tc>
        <w:tc>
          <w:tcPr>
            <w:tcW w:w="1860" w:type="dxa"/>
            <w:vAlign w:val="bottom"/>
            <w:gridSpan w:val="2"/>
          </w:tcPr>
          <w:p>
            <w:pPr>
              <w:ind w:left="640"/>
              <w:spacing w:after="0"/>
              <w:rPr>
                <w:sz w:val="20"/>
                <w:szCs w:val="20"/>
                <w:color w:val="auto"/>
              </w:rPr>
            </w:pPr>
            <w:r>
              <w:rPr>
                <w:rFonts w:ascii="Arial" w:cs="Arial" w:eastAsia="Arial" w:hAnsi="Arial"/>
                <w:sz w:val="13"/>
                <w:szCs w:val="13"/>
                <w:b w:val="1"/>
                <w:bCs w:val="1"/>
                <w:color w:val="auto"/>
              </w:rPr>
              <w:t>Location</w:t>
            </w:r>
          </w:p>
        </w:tc>
        <w:tc>
          <w:tcPr>
            <w:tcW w:w="1100" w:type="dxa"/>
            <w:vAlign w:val="bottom"/>
          </w:tcPr>
          <w:p>
            <w:pPr>
              <w:jc w:val="right"/>
              <w:ind w:right="352"/>
              <w:spacing w:after="0"/>
              <w:rPr>
                <w:sz w:val="20"/>
                <w:szCs w:val="20"/>
                <w:color w:val="auto"/>
              </w:rPr>
            </w:pPr>
            <w:r>
              <w:rPr>
                <w:rFonts w:ascii="Arial" w:cs="Arial" w:eastAsia="Arial" w:hAnsi="Arial"/>
                <w:sz w:val="13"/>
                <w:szCs w:val="13"/>
                <w:b w:val="1"/>
                <w:bCs w:val="1"/>
                <w:color w:val="auto"/>
              </w:rPr>
              <w:t>Feet</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ind w:right="353"/>
              <w:spacing w:after="0" w:line="168" w:lineRule="exact"/>
              <w:rPr>
                <w:sz w:val="20"/>
                <w:szCs w:val="20"/>
                <w:color w:val="auto"/>
              </w:rPr>
            </w:pPr>
            <w:r>
              <w:rPr>
                <w:rFonts w:ascii="Arial" w:cs="Arial" w:eastAsia="Arial" w:hAnsi="Arial"/>
                <w:sz w:val="13"/>
                <w:szCs w:val="13"/>
                <w:b w:val="1"/>
                <w:bCs w:val="1"/>
                <w:color w:val="auto"/>
              </w:rPr>
              <w:t xml:space="preserve">($000's) </w:t>
            </w:r>
            <w:r>
              <w:rPr>
                <w:rFonts w:ascii="Arial" w:cs="Arial" w:eastAsia="Arial" w:hAnsi="Arial"/>
                <w:sz w:val="19"/>
                <w:szCs w:val="19"/>
                <w:b w:val="1"/>
                <w:bCs w:val="1"/>
                <w:color w:val="auto"/>
                <w:vertAlign w:val="superscript"/>
              </w:rPr>
              <w:t>(1)</w:t>
            </w:r>
          </w:p>
        </w:tc>
      </w:tr>
      <w:tr>
        <w:trPr>
          <w:trHeight w:val="142"/>
        </w:trPr>
        <w:tc>
          <w:tcPr>
            <w:tcW w:w="40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Dick's Sporting Goods</w:t>
            </w:r>
          </w:p>
        </w:tc>
        <w:tc>
          <w:tcPr>
            <w:tcW w:w="8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Victor, NY</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139,702</w:t>
            </w: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1,870</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Walmart</w:t>
            </w:r>
          </w:p>
        </w:tc>
        <w:tc>
          <w:tcPr>
            <w:tcW w:w="1860" w:type="dxa"/>
            <w:vAlign w:val="bottom"/>
            <w:gridSpan w:val="2"/>
          </w:tcPr>
          <w:p>
            <w:pPr>
              <w:spacing w:after="0"/>
              <w:rPr>
                <w:sz w:val="20"/>
                <w:szCs w:val="20"/>
                <w:color w:val="auto"/>
              </w:rPr>
            </w:pPr>
            <w:r>
              <w:rPr>
                <w:rFonts w:ascii="Arial" w:cs="Arial" w:eastAsia="Arial" w:hAnsi="Arial"/>
                <w:sz w:val="13"/>
                <w:szCs w:val="13"/>
                <w:color w:val="auto"/>
              </w:rPr>
              <w:t>Howell, MI</w:t>
            </w:r>
          </w:p>
        </w:tc>
        <w:tc>
          <w:tcPr>
            <w:tcW w:w="1100" w:type="dxa"/>
            <w:vAlign w:val="bottom"/>
          </w:tcPr>
          <w:p>
            <w:pPr>
              <w:jc w:val="right"/>
              <w:spacing w:after="0"/>
              <w:rPr>
                <w:sz w:val="20"/>
                <w:szCs w:val="20"/>
                <w:color w:val="auto"/>
              </w:rPr>
            </w:pPr>
            <w:r>
              <w:rPr>
                <w:rFonts w:ascii="Arial" w:cs="Arial" w:eastAsia="Arial" w:hAnsi="Arial"/>
                <w:sz w:val="13"/>
                <w:szCs w:val="13"/>
                <w:color w:val="auto"/>
              </w:rPr>
              <w:t>214,172</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1,368</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 Fitness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Houston,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45,208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LA Fitness</w:t>
            </w:r>
          </w:p>
        </w:tc>
        <w:tc>
          <w:tcPr>
            <w:tcW w:w="1860" w:type="dxa"/>
            <w:vAlign w:val="bottom"/>
            <w:gridSpan w:val="2"/>
          </w:tcPr>
          <w:p>
            <w:pPr>
              <w:spacing w:after="0"/>
              <w:rPr>
                <w:sz w:val="20"/>
                <w:szCs w:val="20"/>
                <w:color w:val="auto"/>
              </w:rPr>
            </w:pPr>
            <w:r>
              <w:rPr>
                <w:rFonts w:ascii="Arial" w:cs="Arial" w:eastAsia="Arial" w:hAnsi="Arial"/>
                <w:sz w:val="13"/>
                <w:szCs w:val="13"/>
                <w:color w:val="auto"/>
              </w:rPr>
              <w:t>Brandon, FL</w:t>
            </w:r>
          </w:p>
        </w:tc>
        <w:tc>
          <w:tcPr>
            <w:tcW w:w="1100" w:type="dxa"/>
            <w:vAlign w:val="bottom"/>
          </w:tcPr>
          <w:p>
            <w:pPr>
              <w:jc w:val="right"/>
              <w:spacing w:after="0"/>
              <w:rPr>
                <w:sz w:val="20"/>
                <w:szCs w:val="20"/>
                <w:color w:val="auto"/>
              </w:rPr>
            </w:pPr>
            <w:r>
              <w:rPr>
                <w:rFonts w:ascii="Arial" w:cs="Arial" w:eastAsia="Arial" w:hAnsi="Arial"/>
                <w:sz w:val="13"/>
                <w:szCs w:val="13"/>
                <w:color w:val="auto"/>
              </w:rPr>
              <w:t>45,000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958</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Lowe's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Katy,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131,644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Lowe's</w:t>
            </w:r>
          </w:p>
        </w:tc>
        <w:tc>
          <w:tcPr>
            <w:tcW w:w="1860" w:type="dxa"/>
            <w:vAlign w:val="bottom"/>
            <w:gridSpan w:val="2"/>
          </w:tcPr>
          <w:p>
            <w:pPr>
              <w:spacing w:after="0"/>
              <w:rPr>
                <w:sz w:val="20"/>
                <w:szCs w:val="20"/>
                <w:color w:val="auto"/>
              </w:rPr>
            </w:pPr>
            <w:r>
              <w:rPr>
                <w:rFonts w:ascii="Arial" w:cs="Arial" w:eastAsia="Arial" w:hAnsi="Arial"/>
                <w:sz w:val="13"/>
                <w:szCs w:val="13"/>
                <w:color w:val="auto"/>
              </w:rPr>
              <w:t>Logan, WV</w:t>
            </w:r>
          </w:p>
        </w:tc>
        <w:tc>
          <w:tcPr>
            <w:tcW w:w="1100" w:type="dxa"/>
            <w:vAlign w:val="bottom"/>
          </w:tcPr>
          <w:p>
            <w:pPr>
              <w:jc w:val="right"/>
              <w:spacing w:after="0"/>
              <w:rPr>
                <w:sz w:val="20"/>
                <w:szCs w:val="20"/>
                <w:color w:val="auto"/>
              </w:rPr>
            </w:pPr>
            <w:r>
              <w:rPr>
                <w:rFonts w:ascii="Arial" w:cs="Arial" w:eastAsia="Arial" w:hAnsi="Arial"/>
                <w:sz w:val="13"/>
                <w:szCs w:val="13"/>
                <w:color w:val="auto"/>
              </w:rPr>
              <w:t>114,731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870</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Burlington</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 Richland Hills,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70,891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Hobby Lobby</w:t>
            </w:r>
          </w:p>
        </w:tc>
        <w:tc>
          <w:tcPr>
            <w:tcW w:w="1860" w:type="dxa"/>
            <w:vAlign w:val="bottom"/>
            <w:gridSpan w:val="2"/>
          </w:tcPr>
          <w:p>
            <w:pPr>
              <w:spacing w:after="0"/>
              <w:rPr>
                <w:sz w:val="20"/>
                <w:szCs w:val="20"/>
                <w:color w:val="auto"/>
              </w:rPr>
            </w:pPr>
            <w:r>
              <w:rPr>
                <w:rFonts w:ascii="Arial" w:cs="Arial" w:eastAsia="Arial" w:hAnsi="Arial"/>
                <w:sz w:val="13"/>
                <w:szCs w:val="13"/>
                <w:color w:val="auto"/>
              </w:rPr>
              <w:t>Tulsa, OK</w:t>
            </w:r>
          </w:p>
        </w:tc>
        <w:tc>
          <w:tcPr>
            <w:tcW w:w="1100" w:type="dxa"/>
            <w:vAlign w:val="bottom"/>
          </w:tcPr>
          <w:p>
            <w:pPr>
              <w:jc w:val="right"/>
              <w:spacing w:after="0"/>
              <w:rPr>
                <w:sz w:val="20"/>
                <w:szCs w:val="20"/>
                <w:color w:val="auto"/>
              </w:rPr>
            </w:pPr>
            <w:r>
              <w:rPr>
                <w:rFonts w:ascii="Arial" w:cs="Arial" w:eastAsia="Arial" w:hAnsi="Arial"/>
                <w:sz w:val="13"/>
                <w:szCs w:val="13"/>
                <w:color w:val="auto"/>
              </w:rPr>
              <w:t>84,180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842</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At Home</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Canton, OH</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89,902</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Cinemark</w:t>
            </w:r>
          </w:p>
        </w:tc>
        <w:tc>
          <w:tcPr>
            <w:tcW w:w="1860" w:type="dxa"/>
            <w:vAlign w:val="bottom"/>
            <w:gridSpan w:val="2"/>
          </w:tcPr>
          <w:p>
            <w:pPr>
              <w:spacing w:after="0"/>
              <w:rPr>
                <w:sz w:val="20"/>
                <w:szCs w:val="20"/>
                <w:color w:val="auto"/>
              </w:rPr>
            </w:pPr>
            <w:r>
              <w:rPr>
                <w:rFonts w:ascii="Arial" w:cs="Arial" w:eastAsia="Arial" w:hAnsi="Arial"/>
                <w:sz w:val="13"/>
                <w:szCs w:val="13"/>
                <w:color w:val="auto"/>
              </w:rPr>
              <w:t>Reno, NV</w:t>
            </w:r>
          </w:p>
        </w:tc>
        <w:tc>
          <w:tcPr>
            <w:tcW w:w="1100" w:type="dxa"/>
            <w:vAlign w:val="bottom"/>
          </w:tcPr>
          <w:p>
            <w:pPr>
              <w:jc w:val="right"/>
              <w:spacing w:after="0"/>
              <w:rPr>
                <w:sz w:val="20"/>
                <w:szCs w:val="20"/>
                <w:color w:val="auto"/>
              </w:rPr>
            </w:pPr>
            <w:r>
              <w:rPr>
                <w:rFonts w:ascii="Arial" w:cs="Arial" w:eastAsia="Arial" w:hAnsi="Arial"/>
                <w:sz w:val="13"/>
                <w:szCs w:val="13"/>
                <w:color w:val="auto"/>
              </w:rPr>
              <w:t>52,474</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709</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Camping World</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Duluth, MN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66,033</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Home Depot</w:t>
            </w:r>
          </w:p>
        </w:tc>
        <w:tc>
          <w:tcPr>
            <w:tcW w:w="1860" w:type="dxa"/>
            <w:vAlign w:val="bottom"/>
            <w:gridSpan w:val="2"/>
          </w:tcPr>
          <w:p>
            <w:pPr>
              <w:spacing w:after="0"/>
              <w:rPr>
                <w:sz w:val="20"/>
                <w:szCs w:val="20"/>
                <w:color w:val="auto"/>
              </w:rPr>
            </w:pPr>
            <w:r>
              <w:rPr>
                <w:rFonts w:ascii="Arial" w:cs="Arial" w:eastAsia="Arial" w:hAnsi="Arial"/>
                <w:sz w:val="13"/>
                <w:szCs w:val="13"/>
                <w:color w:val="auto"/>
              </w:rPr>
              <w:t>Woodridge, IL</w:t>
            </w:r>
          </w:p>
        </w:tc>
        <w:tc>
          <w:tcPr>
            <w:tcW w:w="1100" w:type="dxa"/>
            <w:vAlign w:val="bottom"/>
          </w:tcPr>
          <w:p>
            <w:pPr>
              <w:jc w:val="right"/>
              <w:spacing w:after="0"/>
              <w:rPr>
                <w:sz w:val="20"/>
                <w:szCs w:val="20"/>
                <w:color w:val="auto"/>
              </w:rPr>
            </w:pPr>
            <w:r>
              <w:rPr>
                <w:rFonts w:ascii="Arial" w:cs="Arial" w:eastAsia="Arial" w:hAnsi="Arial"/>
                <w:sz w:val="13"/>
                <w:szCs w:val="13"/>
                <w:color w:val="auto"/>
              </w:rPr>
              <w:t>110,626</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693</w:t>
            </w:r>
          </w:p>
        </w:tc>
      </w:tr>
      <w:tr>
        <w:trPr>
          <w:trHeight w:val="148"/>
        </w:trPr>
        <w:tc>
          <w:tcPr>
            <w:tcW w:w="4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Rooms To Go </w:t>
            </w:r>
            <w:r>
              <w:rPr>
                <w:rFonts w:ascii="Arial" w:cs="Arial" w:eastAsia="Arial" w:hAnsi="Arial"/>
                <w:sz w:val="17"/>
                <w:szCs w:val="17"/>
                <w:color w:val="auto"/>
                <w:vertAlign w:val="superscript"/>
              </w:rPr>
              <w:t>(3)</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Friendswood,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51,868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Academy Sports</w:t>
            </w:r>
          </w:p>
        </w:tc>
        <w:tc>
          <w:tcPr>
            <w:tcW w:w="1860" w:type="dxa"/>
            <w:vAlign w:val="bottom"/>
            <w:gridSpan w:val="2"/>
          </w:tcPr>
          <w:p>
            <w:pPr>
              <w:spacing w:after="0"/>
              <w:rPr>
                <w:sz w:val="20"/>
                <w:szCs w:val="20"/>
                <w:color w:val="auto"/>
              </w:rPr>
            </w:pPr>
            <w:r>
              <w:rPr>
                <w:rFonts w:ascii="Arial" w:cs="Arial" w:eastAsia="Arial" w:hAnsi="Arial"/>
                <w:sz w:val="13"/>
                <w:szCs w:val="13"/>
                <w:color w:val="auto"/>
              </w:rPr>
              <w:t>Snellville, GA</w:t>
            </w:r>
          </w:p>
        </w:tc>
        <w:tc>
          <w:tcPr>
            <w:tcW w:w="1100" w:type="dxa"/>
            <w:vAlign w:val="bottom"/>
          </w:tcPr>
          <w:p>
            <w:pPr>
              <w:jc w:val="right"/>
              <w:spacing w:after="0"/>
              <w:rPr>
                <w:sz w:val="20"/>
                <w:szCs w:val="20"/>
                <w:color w:val="auto"/>
              </w:rPr>
            </w:pPr>
            <w:r>
              <w:rPr>
                <w:rFonts w:ascii="Arial" w:cs="Arial" w:eastAsia="Arial" w:hAnsi="Arial"/>
                <w:sz w:val="13"/>
                <w:szCs w:val="13"/>
                <w:color w:val="auto"/>
              </w:rPr>
              <w:t>67,247</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672</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Academy Sports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Columbia, SC</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At Home</w:t>
            </w:r>
          </w:p>
        </w:tc>
        <w:tc>
          <w:tcPr>
            <w:tcW w:w="1860" w:type="dxa"/>
            <w:vAlign w:val="bottom"/>
            <w:gridSpan w:val="2"/>
          </w:tcPr>
          <w:p>
            <w:pPr>
              <w:spacing w:after="0"/>
              <w:rPr>
                <w:sz w:val="20"/>
                <w:szCs w:val="20"/>
                <w:color w:val="auto"/>
              </w:rPr>
            </w:pPr>
            <w:r>
              <w:rPr>
                <w:rFonts w:ascii="Arial" w:cs="Arial" w:eastAsia="Arial" w:hAnsi="Arial"/>
                <w:sz w:val="13"/>
                <w:szCs w:val="13"/>
                <w:color w:val="auto"/>
              </w:rPr>
              <w:t>Turnersville, NJ</w:t>
            </w:r>
          </w:p>
        </w:tc>
        <w:tc>
          <w:tcPr>
            <w:tcW w:w="1100" w:type="dxa"/>
            <w:vAlign w:val="bottom"/>
          </w:tcPr>
          <w:p>
            <w:pPr>
              <w:jc w:val="right"/>
              <w:spacing w:after="0"/>
              <w:rPr>
                <w:sz w:val="20"/>
                <w:szCs w:val="20"/>
                <w:color w:val="auto"/>
              </w:rPr>
            </w:pPr>
            <w:r>
              <w:rPr>
                <w:rFonts w:ascii="Arial" w:cs="Arial" w:eastAsia="Arial" w:hAnsi="Arial"/>
                <w:sz w:val="13"/>
                <w:szCs w:val="13"/>
                <w:color w:val="auto"/>
              </w:rPr>
              <w:t>89,460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641</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Live Nation</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 Troy, WI</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Academy Sports</w:t>
            </w:r>
          </w:p>
        </w:tc>
        <w:tc>
          <w:tcPr>
            <w:tcW w:w="1860" w:type="dxa"/>
            <w:vAlign w:val="bottom"/>
            <w:gridSpan w:val="2"/>
          </w:tcPr>
          <w:p>
            <w:pPr>
              <w:spacing w:after="0"/>
              <w:rPr>
                <w:sz w:val="20"/>
                <w:szCs w:val="20"/>
                <w:color w:val="auto"/>
              </w:rPr>
            </w:pPr>
            <w:r>
              <w:rPr>
                <w:rFonts w:ascii="Arial" w:cs="Arial" w:eastAsia="Arial" w:hAnsi="Arial"/>
                <w:sz w:val="13"/>
                <w:szCs w:val="13"/>
                <w:color w:val="auto"/>
              </w:rPr>
              <w:t>Florence, SC</w:t>
            </w:r>
          </w:p>
        </w:tc>
        <w:tc>
          <w:tcPr>
            <w:tcW w:w="1100" w:type="dxa"/>
            <w:vAlign w:val="bottom"/>
          </w:tcPr>
          <w:p>
            <w:pPr>
              <w:jc w:val="right"/>
              <w:spacing w:after="0"/>
              <w:rPr>
                <w:sz w:val="20"/>
                <w:szCs w:val="20"/>
                <w:color w:val="auto"/>
              </w:rPr>
            </w:pPr>
            <w:r>
              <w:rPr>
                <w:rFonts w:ascii="Arial" w:cs="Arial" w:eastAsia="Arial" w:hAnsi="Arial"/>
                <w:sz w:val="13"/>
                <w:szCs w:val="13"/>
                <w:color w:val="auto"/>
              </w:rPr>
              <w:t>58,410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628</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Dick's Sporting Goods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Chesterfield Township, MI</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49,979</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r>
      <w:tr>
        <w:trPr>
          <w:trHeight w:val="148"/>
        </w:trPr>
        <w:tc>
          <w:tcPr>
            <w:tcW w:w="412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Lowe's </w:t>
            </w:r>
            <w:r>
              <w:rPr>
                <w:rFonts w:ascii="Arial" w:cs="Arial" w:eastAsia="Arial" w:hAnsi="Arial"/>
                <w:sz w:val="17"/>
                <w:szCs w:val="17"/>
                <w:color w:val="auto"/>
                <w:vertAlign w:val="superscript"/>
              </w:rPr>
              <w:t>(3)</w:t>
            </w:r>
          </w:p>
        </w:tc>
        <w:tc>
          <w:tcPr>
            <w:tcW w:w="1860" w:type="dxa"/>
            <w:vAlign w:val="bottom"/>
            <w:gridSpan w:val="2"/>
          </w:tcPr>
          <w:p>
            <w:pPr>
              <w:spacing w:after="0"/>
              <w:rPr>
                <w:sz w:val="20"/>
                <w:szCs w:val="20"/>
                <w:color w:val="auto"/>
              </w:rPr>
            </w:pPr>
            <w:r>
              <w:rPr>
                <w:rFonts w:ascii="Arial" w:cs="Arial" w:eastAsia="Arial" w:hAnsi="Arial"/>
                <w:sz w:val="13"/>
                <w:szCs w:val="13"/>
                <w:color w:val="auto"/>
              </w:rPr>
              <w:t>Webster, TX</w:t>
            </w:r>
          </w:p>
        </w:tc>
        <w:tc>
          <w:tcPr>
            <w:tcW w:w="1100" w:type="dxa"/>
            <w:vAlign w:val="bottom"/>
          </w:tcPr>
          <w:p>
            <w:pPr>
              <w:jc w:val="right"/>
              <w:spacing w:after="0"/>
              <w:rPr>
                <w:sz w:val="20"/>
                <w:szCs w:val="20"/>
                <w:color w:val="auto"/>
              </w:rPr>
            </w:pPr>
            <w:r>
              <w:rPr>
                <w:rFonts w:ascii="Arial" w:cs="Arial" w:eastAsia="Arial" w:hAnsi="Arial"/>
                <w:sz w:val="13"/>
                <w:szCs w:val="13"/>
                <w:color w:val="auto"/>
              </w:rPr>
              <w:t>163,300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Hobby Lobby</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Arden, NC</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Feasterville, PA</w:t>
            </w:r>
          </w:p>
        </w:tc>
        <w:tc>
          <w:tcPr>
            <w:tcW w:w="1100" w:type="dxa"/>
            <w:vAlign w:val="bottom"/>
          </w:tcPr>
          <w:p>
            <w:pPr>
              <w:jc w:val="right"/>
              <w:spacing w:after="0"/>
              <w:rPr>
                <w:sz w:val="20"/>
                <w:szCs w:val="20"/>
                <w:color w:val="auto"/>
              </w:rPr>
            </w:pPr>
            <w:r>
              <w:rPr>
                <w:rFonts w:ascii="Arial" w:cs="Arial" w:eastAsia="Arial" w:hAnsi="Arial"/>
                <w:sz w:val="13"/>
                <w:szCs w:val="13"/>
                <w:color w:val="auto"/>
              </w:rPr>
              <w:t>14,820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509</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AMC Theatres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Tyngsborough, MA</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Best Buy</w:t>
            </w:r>
          </w:p>
        </w:tc>
        <w:tc>
          <w:tcPr>
            <w:tcW w:w="1860" w:type="dxa"/>
            <w:vAlign w:val="bottom"/>
            <w:gridSpan w:val="2"/>
          </w:tcPr>
          <w:p>
            <w:pPr>
              <w:spacing w:after="0"/>
              <w:rPr>
                <w:sz w:val="20"/>
                <w:szCs w:val="20"/>
                <w:color w:val="auto"/>
              </w:rPr>
            </w:pPr>
            <w:r>
              <w:rPr>
                <w:rFonts w:ascii="Arial" w:cs="Arial" w:eastAsia="Arial" w:hAnsi="Arial"/>
                <w:sz w:val="13"/>
                <w:szCs w:val="13"/>
                <w:color w:val="auto"/>
              </w:rPr>
              <w:t>Lafayette, LA</w:t>
            </w:r>
          </w:p>
        </w:tc>
        <w:tc>
          <w:tcPr>
            <w:tcW w:w="1100" w:type="dxa"/>
            <w:vAlign w:val="bottom"/>
          </w:tcPr>
          <w:p>
            <w:pPr>
              <w:jc w:val="right"/>
              <w:spacing w:after="0"/>
              <w:rPr>
                <w:sz w:val="20"/>
                <w:szCs w:val="20"/>
                <w:color w:val="auto"/>
              </w:rPr>
            </w:pPr>
            <w:r>
              <w:rPr>
                <w:rFonts w:ascii="Arial" w:cs="Arial" w:eastAsia="Arial" w:hAnsi="Arial"/>
                <w:sz w:val="13"/>
                <w:szCs w:val="13"/>
                <w:color w:val="auto"/>
              </w:rPr>
              <w:t>45,611</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507</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Sportsman's Warehouse</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Morgantown, WV</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Party City</w:t>
            </w:r>
          </w:p>
        </w:tc>
        <w:tc>
          <w:tcPr>
            <w:tcW w:w="1860" w:type="dxa"/>
            <w:vAlign w:val="bottom"/>
            <w:gridSpan w:val="2"/>
          </w:tcPr>
          <w:p>
            <w:pPr>
              <w:spacing w:after="0"/>
              <w:rPr>
                <w:sz w:val="20"/>
                <w:szCs w:val="20"/>
                <w:color w:val="auto"/>
              </w:rPr>
            </w:pPr>
            <w:r>
              <w:rPr>
                <w:rFonts w:ascii="Arial" w:cs="Arial" w:eastAsia="Arial" w:hAnsi="Arial"/>
                <w:sz w:val="13"/>
                <w:szCs w:val="13"/>
                <w:color w:val="auto"/>
              </w:rPr>
              <w:t>Oceanside, NY</w:t>
            </w:r>
          </w:p>
        </w:tc>
        <w:tc>
          <w:tcPr>
            <w:tcW w:w="1100" w:type="dxa"/>
            <w:vAlign w:val="bottom"/>
          </w:tcPr>
          <w:p>
            <w:pPr>
              <w:jc w:val="right"/>
              <w:spacing w:after="0"/>
              <w:rPr>
                <w:sz w:val="20"/>
                <w:szCs w:val="20"/>
                <w:color w:val="auto"/>
              </w:rPr>
            </w:pPr>
            <w:r>
              <w:rPr>
                <w:rFonts w:ascii="Arial" w:cs="Arial" w:eastAsia="Arial" w:hAnsi="Arial"/>
                <w:sz w:val="13"/>
                <w:szCs w:val="13"/>
                <w:color w:val="auto"/>
              </w:rPr>
              <w:t>15,500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495</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Dick's Sporting Goods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McDonough, GA</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Mechanicsville, NJ</w:t>
            </w:r>
          </w:p>
        </w:tc>
        <w:tc>
          <w:tcPr>
            <w:tcW w:w="1100" w:type="dxa"/>
            <w:vAlign w:val="bottom"/>
          </w:tcPr>
          <w:p>
            <w:pPr>
              <w:jc w:val="right"/>
              <w:spacing w:after="0"/>
              <w:rPr>
                <w:sz w:val="20"/>
                <w:szCs w:val="20"/>
                <w:color w:val="auto"/>
              </w:rPr>
            </w:pPr>
            <w:r>
              <w:rPr>
                <w:rFonts w:ascii="Arial" w:cs="Arial" w:eastAsia="Arial" w:hAnsi="Arial"/>
                <w:sz w:val="13"/>
                <w:szCs w:val="13"/>
                <w:color w:val="auto"/>
              </w:rPr>
              <w:t>14,820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464</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Conn's HomePlus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Hurst,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37,957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Brick, NJ</w:t>
            </w:r>
          </w:p>
        </w:tc>
        <w:tc>
          <w:tcPr>
            <w:tcW w:w="1100" w:type="dxa"/>
            <w:vAlign w:val="bottom"/>
          </w:tcPr>
          <w:p>
            <w:pPr>
              <w:jc w:val="right"/>
              <w:spacing w:after="0"/>
              <w:rPr>
                <w:sz w:val="20"/>
                <w:szCs w:val="20"/>
                <w:color w:val="auto"/>
              </w:rPr>
            </w:pPr>
            <w:r>
              <w:rPr>
                <w:rFonts w:ascii="Arial" w:cs="Arial" w:eastAsia="Arial" w:hAnsi="Arial"/>
                <w:sz w:val="13"/>
                <w:szCs w:val="13"/>
                <w:color w:val="auto"/>
              </w:rPr>
              <w:t>14,550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450</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Old Time Pottery</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Orange Park, FL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84,180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West Hartford, CT</w:t>
            </w:r>
          </w:p>
        </w:tc>
        <w:tc>
          <w:tcPr>
            <w:tcW w:w="1100" w:type="dxa"/>
            <w:vAlign w:val="bottom"/>
          </w:tcPr>
          <w:p>
            <w:pPr>
              <w:jc w:val="right"/>
              <w:spacing w:after="0"/>
              <w:rPr>
                <w:sz w:val="20"/>
                <w:szCs w:val="20"/>
                <w:color w:val="auto"/>
              </w:rPr>
            </w:pPr>
            <w:r>
              <w:rPr>
                <w:rFonts w:ascii="Arial" w:cs="Arial" w:eastAsia="Arial" w:hAnsi="Arial"/>
                <w:sz w:val="13"/>
                <w:szCs w:val="13"/>
                <w:color w:val="auto"/>
              </w:rPr>
              <w:t>12,805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430</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Best Buy</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Dayton, OH</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45,535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CVS</w:t>
            </w:r>
          </w:p>
        </w:tc>
        <w:tc>
          <w:tcPr>
            <w:tcW w:w="1860" w:type="dxa"/>
            <w:vAlign w:val="bottom"/>
            <w:gridSpan w:val="2"/>
          </w:tcPr>
          <w:p>
            <w:pPr>
              <w:spacing w:after="0"/>
              <w:rPr>
                <w:sz w:val="20"/>
                <w:szCs w:val="20"/>
                <w:color w:val="auto"/>
              </w:rPr>
            </w:pPr>
            <w:r>
              <w:rPr>
                <w:rFonts w:ascii="Arial" w:cs="Arial" w:eastAsia="Arial" w:hAnsi="Arial"/>
                <w:sz w:val="13"/>
                <w:szCs w:val="13"/>
                <w:color w:val="auto"/>
              </w:rPr>
              <w:t>Baton Rouge, LA</w:t>
            </w:r>
          </w:p>
        </w:tc>
        <w:tc>
          <w:tcPr>
            <w:tcW w:w="1100" w:type="dxa"/>
            <w:vAlign w:val="bottom"/>
          </w:tcPr>
          <w:p>
            <w:pPr>
              <w:jc w:val="right"/>
              <w:spacing w:after="0"/>
              <w:rPr>
                <w:sz w:val="20"/>
                <w:szCs w:val="20"/>
                <w:color w:val="auto"/>
              </w:rPr>
            </w:pPr>
            <w:r>
              <w:rPr>
                <w:rFonts w:ascii="Arial" w:cs="Arial" w:eastAsia="Arial" w:hAnsi="Arial"/>
                <w:sz w:val="13"/>
                <w:szCs w:val="13"/>
                <w:color w:val="auto"/>
              </w:rPr>
              <w:t>13,813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369</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Birmingham, AL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Alpharetta, GA</w:t>
            </w:r>
          </w:p>
        </w:tc>
        <w:tc>
          <w:tcPr>
            <w:tcW w:w="1100" w:type="dxa"/>
            <w:vAlign w:val="bottom"/>
          </w:tcPr>
          <w:p>
            <w:pPr>
              <w:jc w:val="right"/>
              <w:spacing w:after="0"/>
              <w:rPr>
                <w:sz w:val="20"/>
                <w:szCs w:val="20"/>
                <w:color w:val="auto"/>
              </w:rPr>
            </w:pPr>
            <w:r>
              <w:rPr>
                <w:rFonts w:ascii="Arial" w:cs="Arial" w:eastAsia="Arial" w:hAnsi="Arial"/>
                <w:sz w:val="13"/>
                <w:szCs w:val="13"/>
                <w:color w:val="auto"/>
              </w:rPr>
              <w:t>15,120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Decatur, IL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Best Buy</w:t>
            </w:r>
          </w:p>
        </w:tc>
        <w:tc>
          <w:tcPr>
            <w:tcW w:w="1860" w:type="dxa"/>
            <w:vAlign w:val="bottom"/>
            <w:gridSpan w:val="2"/>
          </w:tcPr>
          <w:p>
            <w:pPr>
              <w:spacing w:after="0"/>
              <w:rPr>
                <w:sz w:val="20"/>
                <w:szCs w:val="20"/>
                <w:color w:val="auto"/>
              </w:rPr>
            </w:pPr>
            <w:r>
              <w:rPr>
                <w:rFonts w:ascii="Arial" w:cs="Arial" w:eastAsia="Arial" w:hAnsi="Arial"/>
                <w:sz w:val="13"/>
                <w:szCs w:val="13"/>
                <w:color w:val="auto"/>
              </w:rPr>
              <w:t>McDonough, GA</w:t>
            </w:r>
          </w:p>
        </w:tc>
        <w:tc>
          <w:tcPr>
            <w:tcW w:w="1100" w:type="dxa"/>
            <w:vAlign w:val="bottom"/>
          </w:tcPr>
          <w:p>
            <w:pPr>
              <w:jc w:val="right"/>
              <w:spacing w:after="0"/>
              <w:rPr>
                <w:sz w:val="20"/>
                <w:szCs w:val="20"/>
                <w:color w:val="auto"/>
              </w:rPr>
            </w:pPr>
            <w:r>
              <w:rPr>
                <w:rFonts w:ascii="Arial" w:cs="Arial" w:eastAsia="Arial" w:hAnsi="Arial"/>
                <w:sz w:val="13"/>
                <w:szCs w:val="13"/>
                <w:color w:val="auto"/>
              </w:rPr>
              <w:t>30,038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BP</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Highland Heights, KY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Edgewater, MD</w:t>
            </w:r>
          </w:p>
        </w:tc>
        <w:tc>
          <w:tcPr>
            <w:tcW w:w="1100" w:type="dxa"/>
            <w:vAlign w:val="bottom"/>
          </w:tcPr>
          <w:p>
            <w:pPr>
              <w:jc w:val="right"/>
              <w:spacing w:after="0"/>
              <w:rPr>
                <w:sz w:val="20"/>
                <w:szCs w:val="20"/>
                <w:color w:val="auto"/>
              </w:rPr>
            </w:pPr>
            <w:r>
              <w:rPr>
                <w:rFonts w:ascii="Arial" w:cs="Arial" w:eastAsia="Arial" w:hAnsi="Arial"/>
                <w:sz w:val="13"/>
                <w:szCs w:val="13"/>
                <w:color w:val="auto"/>
              </w:rPr>
              <w:t>14,820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328</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Clermont, FL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Verizon</w:t>
            </w:r>
          </w:p>
        </w:tc>
        <w:tc>
          <w:tcPr>
            <w:tcW w:w="1860" w:type="dxa"/>
            <w:vAlign w:val="bottom"/>
            <w:gridSpan w:val="2"/>
          </w:tcPr>
          <w:p>
            <w:pPr>
              <w:spacing w:after="0"/>
              <w:rPr>
                <w:sz w:val="20"/>
                <w:szCs w:val="20"/>
                <w:color w:val="auto"/>
              </w:rPr>
            </w:pPr>
            <w:r>
              <w:rPr>
                <w:rFonts w:ascii="Arial" w:cs="Arial" w:eastAsia="Arial" w:hAnsi="Arial"/>
                <w:sz w:val="13"/>
                <w:szCs w:val="13"/>
                <w:color w:val="auto"/>
              </w:rPr>
              <w:t>Turnersville, NJ</w:t>
            </w:r>
          </w:p>
        </w:tc>
        <w:tc>
          <w:tcPr>
            <w:tcW w:w="1100" w:type="dxa"/>
            <w:vAlign w:val="bottom"/>
          </w:tcPr>
          <w:p>
            <w:pPr>
              <w:jc w:val="right"/>
              <w:spacing w:after="0"/>
              <w:rPr>
                <w:sz w:val="20"/>
                <w:szCs w:val="20"/>
                <w:color w:val="auto"/>
              </w:rPr>
            </w:pPr>
            <w:r>
              <w:rPr>
                <w:rFonts w:ascii="Arial" w:cs="Arial" w:eastAsia="Arial" w:hAnsi="Arial"/>
                <w:sz w:val="13"/>
                <w:szCs w:val="13"/>
                <w:color w:val="auto"/>
              </w:rPr>
              <w:t>6,027</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326</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Old Time Pottery</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Chicago, IL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78,721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Office Depot</w:t>
            </w:r>
          </w:p>
        </w:tc>
        <w:tc>
          <w:tcPr>
            <w:tcW w:w="1860" w:type="dxa"/>
            <w:vAlign w:val="bottom"/>
            <w:gridSpan w:val="2"/>
          </w:tcPr>
          <w:p>
            <w:pPr>
              <w:spacing w:after="0"/>
              <w:rPr>
                <w:sz w:val="20"/>
                <w:szCs w:val="20"/>
                <w:color w:val="auto"/>
              </w:rPr>
            </w:pPr>
            <w:r>
              <w:rPr>
                <w:rFonts w:ascii="Arial" w:cs="Arial" w:eastAsia="Arial" w:hAnsi="Arial"/>
                <w:sz w:val="13"/>
                <w:szCs w:val="13"/>
                <w:color w:val="auto"/>
              </w:rPr>
              <w:t>Albuquerque, NM</w:t>
            </w:r>
          </w:p>
        </w:tc>
        <w:tc>
          <w:tcPr>
            <w:tcW w:w="1100" w:type="dxa"/>
            <w:vAlign w:val="bottom"/>
          </w:tcPr>
          <w:p>
            <w:pPr>
              <w:jc w:val="right"/>
              <w:spacing w:after="0"/>
              <w:rPr>
                <w:sz w:val="20"/>
                <w:szCs w:val="20"/>
                <w:color w:val="auto"/>
              </w:rPr>
            </w:pPr>
            <w:r>
              <w:rPr>
                <w:rFonts w:ascii="Arial" w:cs="Arial" w:eastAsia="Arial" w:hAnsi="Arial"/>
                <w:sz w:val="13"/>
                <w:szCs w:val="13"/>
                <w:color w:val="auto"/>
              </w:rPr>
              <w:t>30,346</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Charles Schwab</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Webster,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Ashley HomeStore</w:t>
            </w:r>
          </w:p>
        </w:tc>
        <w:tc>
          <w:tcPr>
            <w:tcW w:w="1860" w:type="dxa"/>
            <w:vAlign w:val="bottom"/>
            <w:gridSpan w:val="2"/>
          </w:tcPr>
          <w:p>
            <w:pPr>
              <w:spacing w:after="0"/>
              <w:rPr>
                <w:sz w:val="20"/>
                <w:szCs w:val="20"/>
                <w:color w:val="auto"/>
              </w:rPr>
            </w:pPr>
            <w:r>
              <w:rPr>
                <w:rFonts w:ascii="Arial" w:cs="Arial" w:eastAsia="Arial" w:hAnsi="Arial"/>
                <w:sz w:val="13"/>
                <w:szCs w:val="13"/>
                <w:color w:val="auto"/>
              </w:rPr>
              <w:t>Dayton, OH</w:t>
            </w:r>
          </w:p>
        </w:tc>
        <w:tc>
          <w:tcPr>
            <w:tcW w:w="1100" w:type="dxa"/>
            <w:vAlign w:val="bottom"/>
          </w:tcPr>
          <w:p>
            <w:pPr>
              <w:jc w:val="right"/>
              <w:spacing w:after="0"/>
              <w:rPr>
                <w:sz w:val="20"/>
                <w:szCs w:val="20"/>
                <w:color w:val="auto"/>
              </w:rPr>
            </w:pPr>
            <w:r>
              <w:rPr>
                <w:rFonts w:ascii="Arial" w:cs="Arial" w:eastAsia="Arial" w:hAnsi="Arial"/>
                <w:sz w:val="13"/>
                <w:szCs w:val="13"/>
                <w:color w:val="auto"/>
              </w:rPr>
              <w:t>33,310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285</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Taylorville, IL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Tacoma, WA</w:t>
            </w:r>
          </w:p>
        </w:tc>
        <w:tc>
          <w:tcPr>
            <w:tcW w:w="1100" w:type="dxa"/>
            <w:vAlign w:val="bottom"/>
          </w:tcPr>
          <w:p>
            <w:pPr>
              <w:jc w:val="right"/>
              <w:spacing w:after="0"/>
              <w:rPr>
                <w:sz w:val="20"/>
                <w:szCs w:val="20"/>
                <w:color w:val="auto"/>
              </w:rPr>
            </w:pPr>
            <w:r>
              <w:rPr>
                <w:rFonts w:ascii="Arial" w:cs="Arial" w:eastAsia="Arial" w:hAnsi="Arial"/>
                <w:sz w:val="13"/>
                <w:szCs w:val="13"/>
                <w:color w:val="auto"/>
              </w:rPr>
              <w:t>14,125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Albany, GA</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Walmart</w:t>
            </w:r>
          </w:p>
        </w:tc>
        <w:tc>
          <w:tcPr>
            <w:tcW w:w="1860" w:type="dxa"/>
            <w:vAlign w:val="bottom"/>
            <w:gridSpan w:val="2"/>
          </w:tcPr>
          <w:p>
            <w:pPr>
              <w:spacing w:after="0"/>
              <w:rPr>
                <w:sz w:val="20"/>
                <w:szCs w:val="20"/>
                <w:color w:val="auto"/>
              </w:rPr>
            </w:pPr>
            <w:r>
              <w:rPr>
                <w:rFonts w:ascii="Arial" w:cs="Arial" w:eastAsia="Arial" w:hAnsi="Arial"/>
                <w:sz w:val="13"/>
                <w:szCs w:val="13"/>
                <w:color w:val="auto"/>
              </w:rPr>
              <w:t>Hempstead, TX</w:t>
            </w:r>
          </w:p>
        </w:tc>
        <w:tc>
          <w:tcPr>
            <w:tcW w:w="1100" w:type="dxa"/>
            <w:vAlign w:val="bottom"/>
          </w:tcPr>
          <w:p>
            <w:pPr>
              <w:jc w:val="right"/>
              <w:spacing w:after="0"/>
              <w:rPr>
                <w:sz w:val="20"/>
                <w:szCs w:val="20"/>
                <w:color w:val="auto"/>
              </w:rPr>
            </w:pPr>
            <w:r>
              <w:rPr>
                <w:rFonts w:ascii="Arial" w:cs="Arial" w:eastAsia="Arial" w:hAnsi="Arial"/>
                <w:sz w:val="13"/>
                <w:szCs w:val="13"/>
                <w:color w:val="auto"/>
              </w:rPr>
              <w:t>52,190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253</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Festival Foods</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Portage, WI</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54,720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r>
      <w:tr>
        <w:trPr>
          <w:trHeight w:val="149"/>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Buffalo Wild Wings</w:t>
            </w:r>
          </w:p>
        </w:tc>
        <w:tc>
          <w:tcPr>
            <w:tcW w:w="1860" w:type="dxa"/>
            <w:vAlign w:val="bottom"/>
            <w:gridSpan w:val="2"/>
          </w:tcPr>
          <w:p>
            <w:pPr>
              <w:spacing w:after="0"/>
              <w:rPr>
                <w:sz w:val="20"/>
                <w:szCs w:val="20"/>
                <w:color w:val="auto"/>
              </w:rPr>
            </w:pPr>
            <w:r>
              <w:rPr>
                <w:rFonts w:ascii="Arial" w:cs="Arial" w:eastAsia="Arial" w:hAnsi="Arial"/>
                <w:sz w:val="13"/>
                <w:szCs w:val="13"/>
                <w:color w:val="auto"/>
              </w:rPr>
              <w:t>Hattiesburg, MS</w:t>
            </w:r>
          </w:p>
        </w:tc>
        <w:tc>
          <w:tcPr>
            <w:tcW w:w="1100" w:type="dxa"/>
            <w:vAlign w:val="bottom"/>
          </w:tcPr>
          <w:p>
            <w:pPr>
              <w:jc w:val="right"/>
              <w:spacing w:after="0"/>
              <w:rPr>
                <w:sz w:val="20"/>
                <w:szCs w:val="20"/>
                <w:color w:val="auto"/>
              </w:rPr>
            </w:pPr>
            <w:r>
              <w:rPr>
                <w:rFonts w:ascii="Arial" w:cs="Arial" w:eastAsia="Arial" w:hAnsi="Arial"/>
                <w:sz w:val="13"/>
                <w:szCs w:val="13"/>
                <w:color w:val="auto"/>
              </w:rPr>
              <w:t>6,302</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249</w:t>
            </w:r>
          </w:p>
        </w:tc>
      </w:tr>
      <w:tr>
        <w:trPr>
          <w:trHeight w:val="148"/>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Walmart</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Walmart Malden, MO</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48,081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Walgreens</w:t>
            </w:r>
          </w:p>
        </w:tc>
        <w:tc>
          <w:tcPr>
            <w:tcW w:w="1860" w:type="dxa"/>
            <w:vAlign w:val="bottom"/>
            <w:gridSpan w:val="2"/>
          </w:tcPr>
          <w:p>
            <w:pPr>
              <w:spacing w:after="0"/>
              <w:rPr>
                <w:sz w:val="20"/>
                <w:szCs w:val="20"/>
                <w:color w:val="auto"/>
              </w:rPr>
            </w:pPr>
            <w:r>
              <w:rPr>
                <w:rFonts w:ascii="Arial" w:cs="Arial" w:eastAsia="Arial" w:hAnsi="Arial"/>
                <w:sz w:val="13"/>
                <w:szCs w:val="13"/>
                <w:color w:val="auto"/>
              </w:rPr>
              <w:t>Glen Burnie, MD</w:t>
            </w:r>
          </w:p>
        </w:tc>
        <w:tc>
          <w:tcPr>
            <w:tcW w:w="1100" w:type="dxa"/>
            <w:vAlign w:val="bottom"/>
          </w:tcPr>
          <w:p>
            <w:pPr>
              <w:jc w:val="right"/>
              <w:spacing w:after="0"/>
              <w:rPr>
                <w:sz w:val="20"/>
                <w:szCs w:val="20"/>
                <w:color w:val="auto"/>
              </w:rPr>
            </w:pPr>
            <w:r>
              <w:rPr>
                <w:rFonts w:ascii="Arial" w:cs="Arial" w:eastAsia="Arial" w:hAnsi="Arial"/>
                <w:sz w:val="13"/>
                <w:szCs w:val="13"/>
                <w:color w:val="auto"/>
              </w:rPr>
              <w:t>14,490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228</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Hobby Lobby</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Aberdeen, SD</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49,034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48"/>
        </w:trPr>
        <w:tc>
          <w:tcPr>
            <w:tcW w:w="412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7-Eleven </w:t>
            </w:r>
            <w:r>
              <w:rPr>
                <w:rFonts w:ascii="Arial" w:cs="Arial" w:eastAsia="Arial" w:hAnsi="Arial"/>
                <w:sz w:val="17"/>
                <w:szCs w:val="17"/>
                <w:color w:val="auto"/>
                <w:vertAlign w:val="superscript"/>
              </w:rPr>
              <w:t>(3)</w:t>
            </w:r>
          </w:p>
        </w:tc>
        <w:tc>
          <w:tcPr>
            <w:tcW w:w="1860" w:type="dxa"/>
            <w:vAlign w:val="bottom"/>
            <w:gridSpan w:val="2"/>
          </w:tcPr>
          <w:p>
            <w:pPr>
              <w:spacing w:after="0"/>
              <w:rPr>
                <w:sz w:val="20"/>
                <w:szCs w:val="20"/>
                <w:color w:val="auto"/>
              </w:rPr>
            </w:pPr>
            <w:r>
              <w:rPr>
                <w:rFonts w:ascii="Arial" w:cs="Arial" w:eastAsia="Arial" w:hAnsi="Arial"/>
                <w:sz w:val="13"/>
                <w:szCs w:val="13"/>
                <w:color w:val="auto"/>
              </w:rPr>
              <w:t>Olathe, KS</w:t>
            </w:r>
          </w:p>
        </w:tc>
        <w:tc>
          <w:tcPr>
            <w:tcW w:w="1100" w:type="dxa"/>
            <w:vAlign w:val="bottom"/>
          </w:tcPr>
          <w:p>
            <w:pPr>
              <w:jc w:val="right"/>
              <w:spacing w:after="0"/>
              <w:rPr>
                <w:sz w:val="20"/>
                <w:szCs w:val="20"/>
                <w:color w:val="auto"/>
              </w:rPr>
            </w:pPr>
            <w:r>
              <w:rPr>
                <w:rFonts w:ascii="Arial" w:cs="Arial" w:eastAsia="Arial" w:hAnsi="Arial"/>
                <w:sz w:val="13"/>
                <w:szCs w:val="13"/>
                <w:color w:val="auto"/>
              </w:rPr>
              <w:t>4,165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Office Max</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Gadsden, AL</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48"/>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Circle K</w:t>
            </w:r>
          </w:p>
        </w:tc>
        <w:tc>
          <w:tcPr>
            <w:tcW w:w="1860" w:type="dxa"/>
            <w:vAlign w:val="bottom"/>
            <w:gridSpan w:val="2"/>
          </w:tcPr>
          <w:p>
            <w:pPr>
              <w:spacing w:after="0"/>
              <w:rPr>
                <w:sz w:val="20"/>
                <w:szCs w:val="20"/>
                <w:color w:val="auto"/>
              </w:rPr>
            </w:pPr>
            <w:r>
              <w:rPr>
                <w:rFonts w:ascii="Arial" w:cs="Arial" w:eastAsia="Arial" w:hAnsi="Arial"/>
                <w:sz w:val="13"/>
                <w:szCs w:val="13"/>
                <w:color w:val="auto"/>
              </w:rPr>
              <w:t>Indianapolis, IN</w:t>
            </w:r>
          </w:p>
        </w:tc>
        <w:tc>
          <w:tcPr>
            <w:tcW w:w="1100" w:type="dxa"/>
            <w:vAlign w:val="bottom"/>
          </w:tcPr>
          <w:p>
            <w:pPr>
              <w:jc w:val="right"/>
              <w:spacing w:after="0"/>
              <w:rPr>
                <w:sz w:val="20"/>
                <w:szCs w:val="20"/>
                <w:color w:val="auto"/>
              </w:rPr>
            </w:pPr>
            <w:r>
              <w:rPr>
                <w:rFonts w:ascii="Arial" w:cs="Arial" w:eastAsia="Arial" w:hAnsi="Arial"/>
                <w:sz w:val="13"/>
                <w:szCs w:val="13"/>
                <w:color w:val="auto"/>
              </w:rPr>
              <w:t>4,283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49"/>
        </w:trPr>
        <w:tc>
          <w:tcPr>
            <w:tcW w:w="4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LongHorn Steakhouse </w:t>
            </w:r>
            <w:r>
              <w:rPr>
                <w:rFonts w:ascii="Arial" w:cs="Arial" w:eastAsia="Arial" w:hAnsi="Arial"/>
                <w:sz w:val="17"/>
                <w:szCs w:val="17"/>
                <w:color w:val="auto"/>
                <w:vertAlign w:val="superscript"/>
              </w:rPr>
              <w:t>(3)</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Webster,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r>
      <w:tr>
        <w:trPr>
          <w:trHeight w:val="148"/>
        </w:trPr>
        <w:tc>
          <w:tcPr>
            <w:tcW w:w="412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Olive Garden </w:t>
            </w:r>
            <w:r>
              <w:rPr>
                <w:rFonts w:ascii="Arial" w:cs="Arial" w:eastAsia="Arial" w:hAnsi="Arial"/>
                <w:sz w:val="17"/>
                <w:szCs w:val="17"/>
                <w:color w:val="auto"/>
                <w:vertAlign w:val="superscript"/>
              </w:rPr>
              <w:t>(3)</w:t>
            </w:r>
          </w:p>
        </w:tc>
        <w:tc>
          <w:tcPr>
            <w:tcW w:w="1860" w:type="dxa"/>
            <w:vAlign w:val="bottom"/>
            <w:gridSpan w:val="2"/>
          </w:tcPr>
          <w:p>
            <w:pPr>
              <w:spacing w:after="0"/>
              <w:rPr>
                <w:sz w:val="20"/>
                <w:szCs w:val="20"/>
                <w:color w:val="auto"/>
              </w:rPr>
            </w:pPr>
            <w:r>
              <w:rPr>
                <w:rFonts w:ascii="Arial" w:cs="Arial" w:eastAsia="Arial" w:hAnsi="Arial"/>
                <w:sz w:val="13"/>
                <w:szCs w:val="13"/>
                <w:color w:val="auto"/>
              </w:rPr>
              <w:t>Friendswood, TX</w:t>
            </w:r>
          </w:p>
        </w:tc>
        <w:tc>
          <w:tcPr>
            <w:tcW w:w="1100" w:type="dxa"/>
            <w:vAlign w:val="bottom"/>
          </w:tcPr>
          <w:p>
            <w:pPr>
              <w:jc w:val="right"/>
              <w:spacing w:after="0"/>
              <w:rPr>
                <w:sz w:val="20"/>
                <w:szCs w:val="20"/>
                <w:color w:val="auto"/>
              </w:rPr>
            </w:pPr>
            <w:r>
              <w:rPr>
                <w:rFonts w:ascii="Arial" w:cs="Arial" w:eastAsia="Arial" w:hAnsi="Arial"/>
                <w:sz w:val="13"/>
                <w:szCs w:val="13"/>
                <w:color w:val="auto"/>
              </w:rPr>
              <w:t>8,388</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49"/>
        </w:trPr>
        <w:tc>
          <w:tcPr>
            <w:tcW w:w="4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Crazy Alan's Swamp Shack </w:t>
            </w:r>
            <w:r>
              <w:rPr>
                <w:rFonts w:ascii="Arial" w:cs="Arial" w:eastAsia="Arial" w:hAnsi="Arial"/>
                <w:sz w:val="17"/>
                <w:szCs w:val="17"/>
                <w:color w:val="auto"/>
                <w:vertAlign w:val="superscript"/>
              </w:rPr>
              <w:t>(3)</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Friendswood, TX</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49"/>
        </w:trPr>
        <w:tc>
          <w:tcPr>
            <w:tcW w:w="412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Visionworks </w:t>
            </w:r>
            <w:r>
              <w:rPr>
                <w:rFonts w:ascii="Arial" w:cs="Arial" w:eastAsia="Arial" w:hAnsi="Arial"/>
                <w:sz w:val="17"/>
                <w:szCs w:val="17"/>
                <w:color w:val="auto"/>
                <w:vertAlign w:val="superscript"/>
              </w:rPr>
              <w:t>(3)</w:t>
            </w:r>
          </w:p>
        </w:tc>
        <w:tc>
          <w:tcPr>
            <w:tcW w:w="1860" w:type="dxa"/>
            <w:vAlign w:val="bottom"/>
            <w:gridSpan w:val="2"/>
          </w:tcPr>
          <w:p>
            <w:pPr>
              <w:spacing w:after="0"/>
              <w:rPr>
                <w:sz w:val="20"/>
                <w:szCs w:val="20"/>
                <w:color w:val="auto"/>
              </w:rPr>
            </w:pPr>
            <w:r>
              <w:rPr>
                <w:rFonts w:ascii="Arial" w:cs="Arial" w:eastAsia="Arial" w:hAnsi="Arial"/>
                <w:sz w:val="13"/>
                <w:szCs w:val="13"/>
                <w:color w:val="auto"/>
              </w:rPr>
              <w:t>Friendswood, TX</w:t>
            </w:r>
          </w:p>
        </w:tc>
        <w:tc>
          <w:tcPr>
            <w:tcW w:w="1100" w:type="dxa"/>
            <w:vAlign w:val="bottom"/>
          </w:tcPr>
          <w:p>
            <w:pPr>
              <w:jc w:val="right"/>
              <w:spacing w:after="0"/>
              <w:rPr>
                <w:sz w:val="20"/>
                <w:szCs w:val="20"/>
                <w:color w:val="auto"/>
              </w:rPr>
            </w:pPr>
            <w:r>
              <w:rPr>
                <w:rFonts w:ascii="Arial" w:cs="Arial" w:eastAsia="Arial" w:hAnsi="Arial"/>
                <w:sz w:val="13"/>
                <w:szCs w:val="13"/>
                <w:color w:val="auto"/>
              </w:rPr>
              <w:t>3,949</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4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Mattress Firm</w:t>
            </w: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Richmond, IN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72"/>
        </w:trPr>
        <w:tc>
          <w:tcPr>
            <w:tcW w:w="4120" w:type="dxa"/>
            <w:vAlign w:val="bottom"/>
            <w:gridSpan w:val="2"/>
          </w:tcPr>
          <w:p>
            <w:pPr>
              <w:ind w:left="20"/>
              <w:spacing w:after="0"/>
              <w:rPr>
                <w:sz w:val="20"/>
                <w:szCs w:val="20"/>
                <w:color w:val="auto"/>
              </w:rPr>
            </w:pPr>
            <w:r>
              <w:rPr>
                <w:rFonts w:ascii="Arial" w:cs="Arial" w:eastAsia="Arial" w:hAnsi="Arial"/>
                <w:sz w:val="13"/>
                <w:szCs w:val="13"/>
                <w:color w:val="auto"/>
              </w:rPr>
              <w:t>Mattress Firm</w:t>
            </w:r>
          </w:p>
        </w:tc>
        <w:tc>
          <w:tcPr>
            <w:tcW w:w="1860" w:type="dxa"/>
            <w:vAlign w:val="bottom"/>
            <w:gridSpan w:val="2"/>
          </w:tcPr>
          <w:p>
            <w:pPr>
              <w:spacing w:after="0"/>
              <w:rPr>
                <w:sz w:val="20"/>
                <w:szCs w:val="20"/>
                <w:color w:val="auto"/>
              </w:rPr>
            </w:pPr>
            <w:r>
              <w:rPr>
                <w:rFonts w:ascii="Arial" w:cs="Arial" w:eastAsia="Arial" w:hAnsi="Arial"/>
                <w:sz w:val="13"/>
                <w:szCs w:val="13"/>
                <w:color w:val="auto"/>
              </w:rPr>
              <w:t>Lake City, FL</w:t>
            </w:r>
          </w:p>
        </w:tc>
        <w:tc>
          <w:tcPr>
            <w:tcW w:w="1100" w:type="dxa"/>
            <w:vAlign w:val="bottom"/>
          </w:tcPr>
          <w:p>
            <w:pPr>
              <w:jc w:val="right"/>
              <w:spacing w:after="0"/>
              <w:rPr>
                <w:sz w:val="20"/>
                <w:szCs w:val="20"/>
                <w:color w:val="auto"/>
              </w:rPr>
            </w:pPr>
            <w:r>
              <w:rPr>
                <w:rFonts w:ascii="Arial" w:cs="Arial" w:eastAsia="Arial" w:hAnsi="Arial"/>
                <w:sz w:val="13"/>
                <w:szCs w:val="13"/>
                <w:color w:val="auto"/>
              </w:rPr>
              <w:t>4,577</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170</w:t>
            </w: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The Burger Joint </w:t>
            </w:r>
            <w:r>
              <w:rPr>
                <w:rFonts w:ascii="Arial" w:cs="Arial" w:eastAsia="Arial" w:hAnsi="Arial"/>
                <w:sz w:val="20"/>
                <w:szCs w:val="20"/>
                <w:color w:val="auto"/>
                <w:vertAlign w:val="superscript"/>
              </w:rPr>
              <w:t>(3)</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Friendswood,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4,054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Orscheln Farm and Home</w:t>
            </w:r>
          </w:p>
        </w:tc>
        <w:tc>
          <w:tcPr>
            <w:tcW w:w="3460" w:type="dxa"/>
            <w:vAlign w:val="bottom"/>
          </w:tcPr>
          <w:p>
            <w:pPr>
              <w:ind w:left="1360"/>
              <w:spacing w:after="0"/>
              <w:rPr>
                <w:sz w:val="20"/>
                <w:szCs w:val="20"/>
                <w:color w:val="auto"/>
              </w:rPr>
            </w:pPr>
            <w:r>
              <w:rPr>
                <w:rFonts w:ascii="Arial" w:cs="Arial" w:eastAsia="Arial" w:hAnsi="Arial"/>
                <w:sz w:val="13"/>
                <w:szCs w:val="13"/>
                <w:color w:val="auto"/>
              </w:rPr>
              <w:t>Durant, OK</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37,965</w:t>
            </w:r>
          </w:p>
        </w:tc>
        <w:tc>
          <w:tcPr>
            <w:tcW w:w="1040" w:type="dxa"/>
            <w:vAlign w:val="bottom"/>
          </w:tcPr>
          <w:p>
            <w:pPr>
              <w:jc w:val="right"/>
              <w:spacing w:after="0"/>
              <w:rPr>
                <w:sz w:val="20"/>
                <w:szCs w:val="20"/>
                <w:color w:val="auto"/>
              </w:rPr>
            </w:pPr>
            <w:r>
              <w:rPr>
                <w:rFonts w:ascii="Arial" w:cs="Arial" w:eastAsia="Arial" w:hAnsi="Arial"/>
                <w:sz w:val="13"/>
                <w:szCs w:val="13"/>
                <w:color w:val="auto"/>
              </w:rPr>
              <w:t>165</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400"/>
              <w:spacing w:after="0"/>
              <w:rPr>
                <w:sz w:val="20"/>
                <w:szCs w:val="20"/>
                <w:color w:val="auto"/>
              </w:rPr>
            </w:pPr>
            <w:r>
              <w:rPr>
                <w:rFonts w:ascii="Arial" w:cs="Arial" w:eastAsia="Arial" w:hAnsi="Arial"/>
                <w:sz w:val="13"/>
                <w:szCs w:val="13"/>
                <w:color w:val="auto"/>
              </w:rPr>
              <w:t>Lynn, MA</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9,228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Little Caesars</w:t>
            </w:r>
          </w:p>
        </w:tc>
        <w:tc>
          <w:tcPr>
            <w:tcW w:w="3460" w:type="dxa"/>
            <w:vAlign w:val="bottom"/>
          </w:tcPr>
          <w:p>
            <w:pPr>
              <w:ind w:left="1360"/>
              <w:spacing w:after="0"/>
              <w:rPr>
                <w:sz w:val="20"/>
                <w:szCs w:val="20"/>
                <w:color w:val="auto"/>
              </w:rPr>
            </w:pPr>
            <w:r>
              <w:rPr>
                <w:rFonts w:ascii="Arial" w:cs="Arial" w:eastAsia="Arial" w:hAnsi="Arial"/>
                <w:sz w:val="13"/>
                <w:szCs w:val="13"/>
                <w:color w:val="auto"/>
              </w:rPr>
              <w:t>Kearney, NE</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2,253</w:t>
            </w:r>
          </w:p>
        </w:tc>
        <w:tc>
          <w:tcPr>
            <w:tcW w:w="1040" w:type="dxa"/>
            <w:vAlign w:val="bottom"/>
          </w:tcPr>
          <w:p>
            <w:pPr>
              <w:jc w:val="right"/>
              <w:spacing w:after="0"/>
              <w:rPr>
                <w:sz w:val="20"/>
                <w:szCs w:val="20"/>
                <w:color w:val="auto"/>
              </w:rPr>
            </w:pPr>
            <w:r>
              <w:rPr>
                <w:rFonts w:ascii="Arial" w:cs="Arial" w:eastAsia="Arial" w:hAnsi="Arial"/>
                <w:sz w:val="13"/>
                <w:szCs w:val="13"/>
                <w:color w:val="auto"/>
              </w:rPr>
              <w:t>158</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Big Lots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Durant, OK</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36,794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2"/>
                <w:szCs w:val="12"/>
                <w:color w:val="auto"/>
              </w:rPr>
              <w:t xml:space="preserve">Ethan Allen </w:t>
            </w:r>
            <w:r>
              <w:rPr>
                <w:rFonts w:ascii="Arial" w:cs="Arial" w:eastAsia="Arial" w:hAnsi="Arial"/>
                <w:sz w:val="17"/>
                <w:szCs w:val="17"/>
                <w:color w:val="auto"/>
                <w:vertAlign w:val="superscript"/>
              </w:rPr>
              <w:t>(3)</w:t>
            </w:r>
          </w:p>
        </w:tc>
        <w:tc>
          <w:tcPr>
            <w:tcW w:w="3460" w:type="dxa"/>
            <w:vAlign w:val="bottom"/>
          </w:tcPr>
          <w:p>
            <w:pPr>
              <w:ind w:left="1360"/>
              <w:spacing w:after="0"/>
              <w:rPr>
                <w:sz w:val="20"/>
                <w:szCs w:val="20"/>
                <w:color w:val="auto"/>
              </w:rPr>
            </w:pPr>
            <w:r>
              <w:rPr>
                <w:rFonts w:ascii="Arial" w:cs="Arial" w:eastAsia="Arial" w:hAnsi="Arial"/>
                <w:sz w:val="13"/>
                <w:szCs w:val="13"/>
                <w:color w:val="auto"/>
              </w:rPr>
              <w:t>Friendswood, TX</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12,208</w:t>
            </w:r>
          </w:p>
        </w:tc>
        <w:tc>
          <w:tcPr>
            <w:tcW w:w="1040" w:type="dxa"/>
            <w:vAlign w:val="bottom"/>
          </w:tcPr>
          <w:p>
            <w:pPr>
              <w:jc w:val="right"/>
              <w:spacing w:after="0"/>
              <w:rPr>
                <w:sz w:val="20"/>
                <w:szCs w:val="20"/>
                <w:color w:val="auto"/>
              </w:rPr>
            </w:pPr>
            <w:r>
              <w:rPr>
                <w:rFonts w:ascii="Arial" w:cs="Arial" w:eastAsia="Arial" w:hAnsi="Arial"/>
                <w:sz w:val="13"/>
                <w:szCs w:val="13"/>
                <w:color w:val="auto"/>
              </w:rPr>
              <w:t>154</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Advance Auto Parts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St. Paul, MN</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7,201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Harbor Freight</w:t>
            </w:r>
          </w:p>
        </w:tc>
        <w:tc>
          <w:tcPr>
            <w:tcW w:w="3460" w:type="dxa"/>
            <w:vAlign w:val="bottom"/>
          </w:tcPr>
          <w:p>
            <w:pPr>
              <w:ind w:left="1360"/>
              <w:spacing w:after="0"/>
              <w:rPr>
                <w:sz w:val="20"/>
                <w:szCs w:val="20"/>
                <w:color w:val="auto"/>
              </w:rPr>
            </w:pPr>
            <w:r>
              <w:rPr>
                <w:rFonts w:ascii="Arial" w:cs="Arial" w:eastAsia="Arial" w:hAnsi="Arial"/>
                <w:sz w:val="13"/>
                <w:szCs w:val="13"/>
                <w:color w:val="auto"/>
              </w:rPr>
              <w:t>Washington, MO</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23,466</w:t>
            </w:r>
          </w:p>
        </w:tc>
        <w:tc>
          <w:tcPr>
            <w:tcW w:w="104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Tractor Supply</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Washington Court House, OH</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39,984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Advanced Auto Parts</w:t>
            </w:r>
          </w:p>
        </w:tc>
        <w:tc>
          <w:tcPr>
            <w:tcW w:w="3460" w:type="dxa"/>
            <w:vAlign w:val="bottom"/>
          </w:tcPr>
          <w:p>
            <w:pPr>
              <w:ind w:left="1360"/>
              <w:spacing w:after="0"/>
              <w:rPr>
                <w:sz w:val="20"/>
                <w:szCs w:val="20"/>
                <w:color w:val="auto"/>
              </w:rPr>
            </w:pPr>
            <w:r>
              <w:rPr>
                <w:rFonts w:ascii="Arial" w:cs="Arial" w:eastAsia="Arial" w:hAnsi="Arial"/>
                <w:sz w:val="13"/>
                <w:szCs w:val="13"/>
                <w:color w:val="auto"/>
              </w:rPr>
              <w:t>Severn, MD</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6,876</w:t>
            </w:r>
          </w:p>
        </w:tc>
        <w:tc>
          <w:tcPr>
            <w:tcW w:w="1040" w:type="dxa"/>
            <w:vAlign w:val="bottom"/>
          </w:tcPr>
          <w:p>
            <w:pPr>
              <w:jc w:val="right"/>
              <w:spacing w:after="0"/>
              <w:rPr>
                <w:sz w:val="20"/>
                <w:szCs w:val="20"/>
                <w:color w:val="auto"/>
              </w:rPr>
            </w:pPr>
            <w:r>
              <w:rPr>
                <w:rFonts w:ascii="Arial" w:cs="Arial" w:eastAsia="Arial" w:hAnsi="Arial"/>
                <w:sz w:val="13"/>
                <w:szCs w:val="13"/>
                <w:color w:val="auto"/>
              </w:rPr>
              <w:t>148</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Valero (4)</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New Cleveland, OH</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2,554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O'Reilly Auto Parts</w:t>
            </w:r>
          </w:p>
        </w:tc>
        <w:tc>
          <w:tcPr>
            <w:tcW w:w="3460" w:type="dxa"/>
            <w:vAlign w:val="bottom"/>
          </w:tcPr>
          <w:p>
            <w:pPr>
              <w:ind w:left="1360"/>
              <w:spacing w:after="0"/>
              <w:rPr>
                <w:sz w:val="20"/>
                <w:szCs w:val="20"/>
                <w:color w:val="auto"/>
              </w:rPr>
            </w:pPr>
            <w:r>
              <w:rPr>
                <w:rFonts w:ascii="Arial" w:cs="Arial" w:eastAsia="Arial" w:hAnsi="Arial"/>
                <w:sz w:val="13"/>
                <w:szCs w:val="13"/>
                <w:color w:val="auto"/>
              </w:rPr>
              <w:t>Angels Camp, CA</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7,066</w:t>
            </w:r>
          </w:p>
        </w:tc>
        <w:tc>
          <w:tcPr>
            <w:tcW w:w="104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Kermit,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10,920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Burger King</w:t>
            </w:r>
          </w:p>
        </w:tc>
        <w:tc>
          <w:tcPr>
            <w:tcW w:w="3460" w:type="dxa"/>
            <w:vAlign w:val="bottom"/>
          </w:tcPr>
          <w:p>
            <w:pPr>
              <w:ind w:left="1360"/>
              <w:spacing w:after="0"/>
              <w:rPr>
                <w:sz w:val="20"/>
                <w:szCs w:val="20"/>
                <w:color w:val="auto"/>
              </w:rPr>
            </w:pPr>
            <w:r>
              <w:rPr>
                <w:rFonts w:ascii="Arial" w:cs="Arial" w:eastAsia="Arial" w:hAnsi="Arial"/>
                <w:sz w:val="13"/>
                <w:szCs w:val="13"/>
                <w:color w:val="auto"/>
              </w:rPr>
              <w:t>Plymouth, NC</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3,142</w:t>
            </w:r>
          </w:p>
        </w:tc>
        <w:tc>
          <w:tcPr>
            <w:tcW w:w="104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Harbor Freight</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Midland, MI</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14,624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Orscheln Farm and Home</w:t>
            </w:r>
          </w:p>
        </w:tc>
        <w:tc>
          <w:tcPr>
            <w:tcW w:w="3460" w:type="dxa"/>
            <w:vAlign w:val="bottom"/>
          </w:tcPr>
          <w:p>
            <w:pPr>
              <w:ind w:left="1360"/>
              <w:spacing w:after="0"/>
              <w:rPr>
                <w:sz w:val="20"/>
                <w:szCs w:val="20"/>
                <w:color w:val="auto"/>
              </w:rPr>
            </w:pPr>
            <w:r>
              <w:rPr>
                <w:rFonts w:ascii="Arial" w:cs="Arial" w:eastAsia="Arial" w:hAnsi="Arial"/>
                <w:sz w:val="13"/>
                <w:szCs w:val="13"/>
                <w:color w:val="auto"/>
              </w:rPr>
              <w:t>California, MO</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23,042</w:t>
            </w:r>
          </w:p>
        </w:tc>
        <w:tc>
          <w:tcPr>
            <w:tcW w:w="104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Mattress Firm</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Gadsden, AL</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7,237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Orscheln Farm and Home</w:t>
            </w:r>
          </w:p>
        </w:tc>
        <w:tc>
          <w:tcPr>
            <w:tcW w:w="3460" w:type="dxa"/>
            <w:vAlign w:val="bottom"/>
          </w:tcPr>
          <w:p>
            <w:pPr>
              <w:ind w:left="1360"/>
              <w:spacing w:after="0"/>
              <w:rPr>
                <w:sz w:val="20"/>
                <w:szCs w:val="20"/>
                <w:color w:val="auto"/>
              </w:rPr>
            </w:pPr>
            <w:r>
              <w:rPr>
                <w:rFonts w:ascii="Arial" w:cs="Arial" w:eastAsia="Arial" w:hAnsi="Arial"/>
                <w:sz w:val="13"/>
                <w:szCs w:val="13"/>
                <w:color w:val="auto"/>
              </w:rPr>
              <w:t>Owensville, MO</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38,452</w:t>
            </w:r>
          </w:p>
        </w:tc>
        <w:tc>
          <w:tcPr>
            <w:tcW w:w="1040" w:type="dxa"/>
            <w:vAlign w:val="bottom"/>
          </w:tcPr>
          <w:p>
            <w:pPr>
              <w:jc w:val="right"/>
              <w:spacing w:after="0"/>
              <w:rPr>
                <w:sz w:val="20"/>
                <w:szCs w:val="20"/>
                <w:color w:val="auto"/>
              </w:rPr>
            </w:pPr>
            <w:r>
              <w:rPr>
                <w:rFonts w:ascii="Arial" w:cs="Arial" w:eastAsia="Arial" w:hAnsi="Arial"/>
                <w:sz w:val="13"/>
                <w:szCs w:val="13"/>
                <w:color w:val="auto"/>
              </w:rPr>
              <w:t>121</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Chazy, NY</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9,277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Auburn, NE</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10,577</w:t>
            </w:r>
          </w:p>
        </w:tc>
        <w:tc>
          <w:tcPr>
            <w:tcW w:w="104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Odessa,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9,127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McKenny, VA</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10,531</w:t>
            </w:r>
          </w:p>
        </w:tc>
        <w:tc>
          <w:tcPr>
            <w:tcW w:w="104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Willis,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9,138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Medicine Lodge, KS</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10,566</w:t>
            </w:r>
          </w:p>
        </w:tc>
        <w:tc>
          <w:tcPr>
            <w:tcW w:w="104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Burlington, NC</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11,394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tcPr>
          <w:p>
            <w:pPr>
              <w:ind w:left="1360"/>
              <w:spacing w:after="0"/>
              <w:rPr>
                <w:sz w:val="20"/>
                <w:szCs w:val="20"/>
                <w:color w:val="auto"/>
              </w:rPr>
            </w:pPr>
            <w:r>
              <w:rPr>
                <w:rFonts w:ascii="Arial" w:cs="Arial" w:eastAsia="Arial" w:hAnsi="Arial"/>
                <w:sz w:val="13"/>
                <w:szCs w:val="13"/>
                <w:color w:val="auto"/>
              </w:rPr>
              <w:t>Winthrop, NY</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9,167</w:t>
            </w:r>
          </w:p>
        </w:tc>
        <w:tc>
          <w:tcPr>
            <w:tcW w:w="104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Burlington, KS</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Amsterdam, OH</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Cut and Shoot,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9,096</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Advance Auto Parts</w:t>
            </w:r>
          </w:p>
        </w:tc>
        <w:tc>
          <w:tcPr>
            <w:tcW w:w="3460" w:type="dxa"/>
            <w:vAlign w:val="bottom"/>
          </w:tcPr>
          <w:p>
            <w:pPr>
              <w:ind w:left="1360"/>
              <w:spacing w:after="0"/>
              <w:rPr>
                <w:sz w:val="20"/>
                <w:szCs w:val="20"/>
                <w:color w:val="auto"/>
              </w:rPr>
            </w:pPr>
            <w:r>
              <w:rPr>
                <w:rFonts w:ascii="Arial" w:cs="Arial" w:eastAsia="Arial" w:hAnsi="Arial"/>
                <w:sz w:val="13"/>
                <w:szCs w:val="13"/>
                <w:color w:val="auto"/>
              </w:rPr>
              <w:t>Ware, MA</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6,889</w:t>
            </w:r>
          </w:p>
        </w:tc>
        <w:tc>
          <w:tcPr>
            <w:tcW w:w="104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Caneyville, KY</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10,604</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Sulphur, OK</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10,000</w:t>
            </w:r>
          </w:p>
        </w:tc>
        <w:tc>
          <w:tcPr>
            <w:tcW w:w="104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Caney, KS</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10,555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Tipton, MO</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10,557</w:t>
            </w:r>
          </w:p>
        </w:tc>
        <w:tc>
          <w:tcPr>
            <w:tcW w:w="104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Pet Supplies Plus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Canton, OH</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8,400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Dollar Tree</w:t>
            </w:r>
          </w:p>
        </w:tc>
        <w:tc>
          <w:tcPr>
            <w:tcW w:w="3460" w:type="dxa"/>
            <w:vAlign w:val="bottom"/>
          </w:tcPr>
          <w:p>
            <w:pPr>
              <w:ind w:left="1360"/>
              <w:spacing w:after="0"/>
              <w:rPr>
                <w:sz w:val="20"/>
                <w:szCs w:val="20"/>
                <w:color w:val="auto"/>
              </w:rPr>
            </w:pPr>
            <w:r>
              <w:rPr>
                <w:rFonts w:ascii="Arial" w:cs="Arial" w:eastAsia="Arial" w:hAnsi="Arial"/>
                <w:sz w:val="13"/>
                <w:szCs w:val="13"/>
                <w:color w:val="auto"/>
              </w:rPr>
              <w:t>Demopolis, AL</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10,159</w:t>
            </w:r>
          </w:p>
        </w:tc>
        <w:tc>
          <w:tcPr>
            <w:tcW w:w="104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Milford, ME</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9,128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Madill, OK</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9,682</w:t>
            </w:r>
          </w:p>
        </w:tc>
        <w:tc>
          <w:tcPr>
            <w:tcW w:w="104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Superior, NE</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Sabetha, KS</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Van Buren, MO</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Phillipsburg, KS</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Gladewater,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10,111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Dollar Tree</w:t>
            </w:r>
          </w:p>
        </w:tc>
        <w:tc>
          <w:tcPr>
            <w:tcW w:w="3460" w:type="dxa"/>
            <w:vAlign w:val="bottom"/>
          </w:tcPr>
          <w:p>
            <w:pPr>
              <w:ind w:left="1360"/>
              <w:spacing w:after="0"/>
              <w:rPr>
                <w:sz w:val="20"/>
                <w:szCs w:val="20"/>
                <w:color w:val="auto"/>
              </w:rPr>
            </w:pPr>
            <w:r>
              <w:rPr>
                <w:rFonts w:ascii="Arial" w:cs="Arial" w:eastAsia="Arial" w:hAnsi="Arial"/>
                <w:sz w:val="13"/>
                <w:szCs w:val="13"/>
                <w:color w:val="auto"/>
              </w:rPr>
              <w:t>Stillwell, OK</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9,828</w:t>
            </w:r>
          </w:p>
        </w:tc>
        <w:tc>
          <w:tcPr>
            <w:tcW w:w="104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Salem, NY</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9,199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Plainville, KS</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Harrisville, NY</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9,309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tcPr>
          <w:p>
            <w:pPr>
              <w:ind w:left="1360"/>
              <w:spacing w:after="0"/>
              <w:rPr>
                <w:sz w:val="20"/>
                <w:szCs w:val="20"/>
                <w:color w:val="auto"/>
              </w:rPr>
            </w:pPr>
            <w:r>
              <w:rPr>
                <w:rFonts w:ascii="Arial" w:cs="Arial" w:eastAsia="Arial" w:hAnsi="Arial"/>
                <w:sz w:val="13"/>
                <w:szCs w:val="13"/>
                <w:color w:val="auto"/>
              </w:rPr>
              <w:t>Heuvelton, NY</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9,342</w:t>
            </w: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Bingham, ME</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9,345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Murfreesboro, AR</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10,500</w:t>
            </w: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Town Creek, AL</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10,545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Tecumseh, NE</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10,644</w:t>
            </w:r>
          </w:p>
        </w:tc>
        <w:tc>
          <w:tcPr>
            <w:tcW w:w="1040" w:type="dxa"/>
            <w:vAlign w:val="bottom"/>
          </w:tcPr>
          <w:p>
            <w:pPr>
              <w:jc w:val="right"/>
              <w:spacing w:after="0"/>
              <w:rPr>
                <w:sz w:val="20"/>
                <w:szCs w:val="20"/>
                <w:color w:val="auto"/>
              </w:rPr>
            </w:pPr>
            <w:r>
              <w:rPr>
                <w:rFonts w:ascii="Arial" w:cs="Arial" w:eastAsia="Arial" w:hAnsi="Arial"/>
                <w:sz w:val="13"/>
                <w:szCs w:val="13"/>
                <w:color w:val="auto"/>
              </w:rPr>
              <w:t>104</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Firestone</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Pittsburgh, PA</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10,629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tcPr>
          <w:p>
            <w:pPr>
              <w:ind w:left="1360"/>
              <w:spacing w:after="0"/>
              <w:rPr>
                <w:sz w:val="20"/>
                <w:szCs w:val="20"/>
                <w:color w:val="auto"/>
              </w:rPr>
            </w:pPr>
            <w:r>
              <w:rPr>
                <w:rFonts w:ascii="Arial" w:cs="Arial" w:eastAsia="Arial" w:hAnsi="Arial"/>
                <w:sz w:val="13"/>
                <w:szCs w:val="13"/>
                <w:color w:val="auto"/>
              </w:rPr>
              <w:t>Barker, NY</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9,275</w:t>
            </w:r>
          </w:p>
        </w:tc>
        <w:tc>
          <w:tcPr>
            <w:tcW w:w="104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Little Caesars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North Platte, NE</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1,529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r>
      <w:tr>
        <w:trPr>
          <w:trHeight w:val="148"/>
        </w:trPr>
        <w:tc>
          <w:tcPr>
            <w:tcW w:w="2760" w:type="dxa"/>
            <w:vAlign w:val="bottom"/>
          </w:tcPr>
          <w:p>
            <w:pPr>
              <w:ind w:left="20"/>
              <w:spacing w:after="0" w:line="149" w:lineRule="exact"/>
              <w:rPr>
                <w:sz w:val="20"/>
                <w:szCs w:val="20"/>
                <w:color w:val="auto"/>
              </w:rPr>
            </w:pPr>
            <w:r>
              <w:rPr>
                <w:rFonts w:ascii="Arial" w:cs="Arial" w:eastAsia="Arial" w:hAnsi="Arial"/>
                <w:sz w:val="12"/>
                <w:szCs w:val="12"/>
                <w:color w:val="auto"/>
              </w:rPr>
              <w:t xml:space="preserve">Boston Market </w:t>
            </w:r>
            <w:r>
              <w:rPr>
                <w:rFonts w:ascii="Arial" w:cs="Arial" w:eastAsia="Arial" w:hAnsi="Arial"/>
                <w:sz w:val="17"/>
                <w:szCs w:val="17"/>
                <w:color w:val="auto"/>
                <w:vertAlign w:val="superscript"/>
              </w:rPr>
              <w:t>(3)</w:t>
            </w:r>
          </w:p>
        </w:tc>
        <w:tc>
          <w:tcPr>
            <w:tcW w:w="3460" w:type="dxa"/>
            <w:vAlign w:val="bottom"/>
          </w:tcPr>
          <w:p>
            <w:pPr>
              <w:ind w:left="1360"/>
              <w:spacing w:after="0"/>
              <w:rPr>
                <w:sz w:val="20"/>
                <w:szCs w:val="20"/>
                <w:color w:val="auto"/>
              </w:rPr>
            </w:pPr>
            <w:r>
              <w:rPr>
                <w:rFonts w:ascii="Arial" w:cs="Arial" w:eastAsia="Arial" w:hAnsi="Arial"/>
                <w:sz w:val="13"/>
                <w:szCs w:val="13"/>
                <w:color w:val="auto"/>
              </w:rPr>
              <w:t>Turnersville, NJ</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2,627</w:t>
            </w: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Limestone, ME</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9,167</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Anderson, AL</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10,607</w:t>
            </w:r>
          </w:p>
        </w:tc>
        <w:tc>
          <w:tcPr>
            <w:tcW w:w="104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Valero</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Massillon, OH</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1,363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tcPr>
          <w:p>
            <w:pPr>
              <w:ind w:left="1360"/>
              <w:spacing w:after="0"/>
              <w:rPr>
                <w:sz w:val="20"/>
                <w:szCs w:val="20"/>
                <w:color w:val="auto"/>
              </w:rPr>
            </w:pPr>
            <w:r>
              <w:rPr>
                <w:rFonts w:ascii="Arial" w:cs="Arial" w:eastAsia="Arial" w:hAnsi="Arial"/>
                <w:sz w:val="13"/>
                <w:szCs w:val="13"/>
                <w:color w:val="auto"/>
              </w:rPr>
              <w:t>Hammond, NY</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9,219</w:t>
            </w:r>
          </w:p>
        </w:tc>
        <w:tc>
          <w:tcPr>
            <w:tcW w:w="104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Somerville,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9,252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tcPr>
          <w:p>
            <w:pPr>
              <w:ind w:left="1360"/>
              <w:spacing w:after="0"/>
              <w:rPr>
                <w:sz w:val="20"/>
                <w:szCs w:val="20"/>
                <w:color w:val="auto"/>
              </w:rPr>
            </w:pPr>
            <w:r>
              <w:rPr>
                <w:rFonts w:ascii="Arial" w:cs="Arial" w:eastAsia="Arial" w:hAnsi="Arial"/>
                <w:sz w:val="13"/>
                <w:szCs w:val="13"/>
                <w:color w:val="auto"/>
              </w:rPr>
              <w:t>Dearing, GA</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9,288</w:t>
            </w:r>
          </w:p>
        </w:tc>
        <w:tc>
          <w:tcPr>
            <w:tcW w:w="104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48"/>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Little Caesars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Greensboro, NC</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1,678</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Valero</w:t>
            </w:r>
          </w:p>
        </w:tc>
        <w:tc>
          <w:tcPr>
            <w:tcW w:w="3460" w:type="dxa"/>
            <w:vAlign w:val="bottom"/>
          </w:tcPr>
          <w:p>
            <w:pPr>
              <w:ind w:left="1360"/>
              <w:spacing w:after="0"/>
              <w:rPr>
                <w:sz w:val="20"/>
                <w:szCs w:val="20"/>
                <w:color w:val="auto"/>
              </w:rPr>
            </w:pPr>
            <w:r>
              <w:rPr>
                <w:rFonts w:ascii="Arial" w:cs="Arial" w:eastAsia="Arial" w:hAnsi="Arial"/>
                <w:sz w:val="13"/>
                <w:szCs w:val="13"/>
                <w:color w:val="auto"/>
              </w:rPr>
              <w:t>Parma, OH</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1,884</w:t>
            </w:r>
          </w:p>
        </w:tc>
        <w:tc>
          <w:tcPr>
            <w:tcW w:w="10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Seguin,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9,155</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Grease Monkey</w:t>
            </w:r>
          </w:p>
        </w:tc>
        <w:tc>
          <w:tcPr>
            <w:tcW w:w="3460" w:type="dxa"/>
            <w:vAlign w:val="bottom"/>
          </w:tcPr>
          <w:p>
            <w:pPr>
              <w:ind w:left="1360"/>
              <w:spacing w:after="0"/>
              <w:rPr>
                <w:sz w:val="20"/>
                <w:szCs w:val="20"/>
                <w:color w:val="auto"/>
              </w:rPr>
            </w:pPr>
            <w:r>
              <w:rPr>
                <w:rFonts w:ascii="Arial" w:cs="Arial" w:eastAsia="Arial" w:hAnsi="Arial"/>
                <w:sz w:val="13"/>
                <w:szCs w:val="13"/>
                <w:color w:val="auto"/>
              </w:rPr>
              <w:t>Stockbridge, GA</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1,846</w:t>
            </w:r>
          </w:p>
        </w:tc>
        <w:tc>
          <w:tcPr>
            <w:tcW w:w="104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Schlotzsky's</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Sweetwater, TX</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2,431</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Dollar Tree</w:t>
            </w:r>
          </w:p>
        </w:tc>
        <w:tc>
          <w:tcPr>
            <w:tcW w:w="3460" w:type="dxa"/>
            <w:vAlign w:val="bottom"/>
          </w:tcPr>
          <w:p>
            <w:pPr>
              <w:ind w:left="1360"/>
              <w:spacing w:after="0"/>
              <w:rPr>
                <w:sz w:val="20"/>
                <w:szCs w:val="20"/>
                <w:color w:val="auto"/>
              </w:rPr>
            </w:pPr>
            <w:r>
              <w:rPr>
                <w:rFonts w:ascii="Arial" w:cs="Arial" w:eastAsia="Arial" w:hAnsi="Arial"/>
                <w:sz w:val="13"/>
                <w:szCs w:val="13"/>
                <w:color w:val="auto"/>
              </w:rPr>
              <w:t>Albuquerque, NM</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10,023</w:t>
            </w:r>
          </w:p>
        </w:tc>
        <w:tc>
          <w:tcPr>
            <w:tcW w:w="104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Valero (4)</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Jackson, MS</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1,920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r>
      <w:tr>
        <w:trPr>
          <w:trHeight w:val="149"/>
        </w:trPr>
        <w:tc>
          <w:tcPr>
            <w:tcW w:w="2760" w:type="dxa"/>
            <w:vAlign w:val="bottom"/>
          </w:tcPr>
          <w:p>
            <w:pPr>
              <w:ind w:left="20"/>
              <w:spacing w:after="0"/>
              <w:rPr>
                <w:sz w:val="20"/>
                <w:szCs w:val="20"/>
                <w:color w:val="auto"/>
              </w:rPr>
            </w:pPr>
            <w:r>
              <w:rPr>
                <w:rFonts w:ascii="Arial" w:cs="Arial" w:eastAsia="Arial" w:hAnsi="Arial"/>
                <w:sz w:val="13"/>
                <w:szCs w:val="13"/>
                <w:color w:val="auto"/>
              </w:rPr>
              <w:t>Little Caesars</w:t>
            </w:r>
          </w:p>
        </w:tc>
        <w:tc>
          <w:tcPr>
            <w:tcW w:w="3460" w:type="dxa"/>
            <w:vAlign w:val="bottom"/>
          </w:tcPr>
          <w:p>
            <w:pPr>
              <w:ind w:left="1360"/>
              <w:spacing w:after="0"/>
              <w:rPr>
                <w:sz w:val="20"/>
                <w:szCs w:val="20"/>
                <w:color w:val="auto"/>
              </w:rPr>
            </w:pPr>
            <w:r>
              <w:rPr>
                <w:rFonts w:ascii="Arial" w:cs="Arial" w:eastAsia="Arial" w:hAnsi="Arial"/>
                <w:sz w:val="13"/>
                <w:szCs w:val="13"/>
                <w:color w:val="auto"/>
              </w:rPr>
              <w:t>Eden, NC</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1,790</w:t>
            </w:r>
          </w:p>
        </w:tc>
        <w:tc>
          <w:tcPr>
            <w:tcW w:w="104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Family Dollar</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Lake Village, AR</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14,592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48"/>
        </w:trPr>
        <w:tc>
          <w:tcPr>
            <w:tcW w:w="276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tcPr>
          <w:p>
            <w:pPr>
              <w:ind w:left="1360"/>
              <w:spacing w:after="0"/>
              <w:rPr>
                <w:sz w:val="20"/>
                <w:szCs w:val="20"/>
                <w:color w:val="auto"/>
              </w:rPr>
            </w:pPr>
            <w:r>
              <w:rPr>
                <w:rFonts w:ascii="Arial" w:cs="Arial" w:eastAsia="Arial" w:hAnsi="Arial"/>
                <w:sz w:val="13"/>
                <w:szCs w:val="13"/>
                <w:color w:val="auto"/>
              </w:rPr>
              <w:t>Del Rio, TX</w:t>
            </w:r>
          </w:p>
        </w:tc>
        <w:tc>
          <w:tcPr>
            <w:tcW w:w="1640" w:type="dxa"/>
            <w:vAlign w:val="bottom"/>
          </w:tcPr>
          <w:p>
            <w:pPr>
              <w:jc w:val="right"/>
              <w:ind w:right="753"/>
              <w:spacing w:after="0"/>
              <w:rPr>
                <w:sz w:val="20"/>
                <w:szCs w:val="20"/>
                <w:color w:val="auto"/>
              </w:rPr>
            </w:pPr>
            <w:r>
              <w:rPr>
                <w:rFonts w:ascii="Arial" w:cs="Arial" w:eastAsia="Arial" w:hAnsi="Arial"/>
                <w:sz w:val="13"/>
                <w:szCs w:val="13"/>
                <w:color w:val="auto"/>
              </w:rPr>
              <w:t>9,219</w:t>
            </w:r>
          </w:p>
        </w:tc>
        <w:tc>
          <w:tcPr>
            <w:tcW w:w="104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4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460" w:type="dxa"/>
            <w:vAlign w:val="bottom"/>
            <w:shd w:val="clear" w:color="auto" w:fill="CCEEFF"/>
          </w:tcPr>
          <w:p>
            <w:pPr>
              <w:ind w:left="1360"/>
              <w:spacing w:after="0"/>
              <w:rPr>
                <w:sz w:val="20"/>
                <w:szCs w:val="20"/>
                <w:color w:val="auto"/>
              </w:rPr>
            </w:pPr>
            <w:r>
              <w:rPr>
                <w:rFonts w:ascii="Arial" w:cs="Arial" w:eastAsia="Arial" w:hAnsi="Arial"/>
                <w:sz w:val="13"/>
                <w:szCs w:val="13"/>
                <w:color w:val="auto"/>
              </w:rPr>
              <w:t>Newtonsville, OH</w:t>
            </w:r>
          </w:p>
        </w:tc>
        <w:tc>
          <w:tcPr>
            <w:tcW w:w="164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9,290</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2240" w:type="dxa"/>
            <w:vAlign w:val="bottom"/>
          </w:tcPr>
          <w:p>
            <w:pPr>
              <w:ind w:left="20"/>
              <w:spacing w:after="0"/>
              <w:rPr>
                <w:sz w:val="20"/>
                <w:szCs w:val="20"/>
                <w:color w:val="auto"/>
              </w:rPr>
            </w:pPr>
            <w:r>
              <w:rPr>
                <w:rFonts w:ascii="Arial" w:cs="Arial" w:eastAsia="Arial" w:hAnsi="Arial"/>
                <w:sz w:val="13"/>
                <w:szCs w:val="13"/>
                <w:color w:val="auto"/>
              </w:rPr>
              <w:t>Hardee's</w:t>
            </w:r>
          </w:p>
        </w:tc>
        <w:tc>
          <w:tcPr>
            <w:tcW w:w="3740" w:type="dxa"/>
            <w:vAlign w:val="bottom"/>
          </w:tcPr>
          <w:p>
            <w:pPr>
              <w:ind w:left="1880"/>
              <w:spacing w:after="0"/>
              <w:rPr>
                <w:sz w:val="20"/>
                <w:szCs w:val="20"/>
                <w:color w:val="auto"/>
              </w:rPr>
            </w:pPr>
            <w:r>
              <w:rPr>
                <w:rFonts w:ascii="Arial" w:cs="Arial" w:eastAsia="Arial" w:hAnsi="Arial"/>
                <w:sz w:val="13"/>
                <w:szCs w:val="13"/>
                <w:color w:val="auto"/>
              </w:rPr>
              <w:t>Boaz, AL</w:t>
            </w:r>
          </w:p>
        </w:tc>
        <w:tc>
          <w:tcPr>
            <w:tcW w:w="1100" w:type="dxa"/>
            <w:vAlign w:val="bottom"/>
          </w:tcPr>
          <w:p>
            <w:pPr>
              <w:jc w:val="right"/>
              <w:spacing w:after="0"/>
              <w:rPr>
                <w:sz w:val="20"/>
                <w:szCs w:val="20"/>
                <w:color w:val="auto"/>
              </w:rPr>
            </w:pPr>
            <w:r>
              <w:rPr>
                <w:rFonts w:ascii="Arial" w:cs="Arial" w:eastAsia="Arial" w:hAnsi="Arial"/>
                <w:sz w:val="13"/>
                <w:szCs w:val="13"/>
                <w:color w:val="auto"/>
              </w:rPr>
              <w:t>3,542</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49"/>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Advance Auto Parts</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Athens, GA</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6,871</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48"/>
        </w:trPr>
        <w:tc>
          <w:tcPr>
            <w:tcW w:w="2240" w:type="dxa"/>
            <w:vAlign w:val="bottom"/>
          </w:tcPr>
          <w:p>
            <w:pPr>
              <w:ind w:left="20"/>
              <w:spacing w:after="0"/>
              <w:rPr>
                <w:sz w:val="20"/>
                <w:szCs w:val="20"/>
                <w:color w:val="auto"/>
              </w:rPr>
            </w:pPr>
            <w:r>
              <w:rPr>
                <w:rFonts w:ascii="Arial" w:cs="Arial" w:eastAsia="Arial" w:hAnsi="Arial"/>
                <w:sz w:val="13"/>
                <w:szCs w:val="13"/>
                <w:color w:val="auto"/>
              </w:rPr>
              <w:t>Valero (4)</w:t>
            </w:r>
          </w:p>
        </w:tc>
        <w:tc>
          <w:tcPr>
            <w:tcW w:w="3740" w:type="dxa"/>
            <w:vAlign w:val="bottom"/>
          </w:tcPr>
          <w:p>
            <w:pPr>
              <w:ind w:left="1880"/>
              <w:spacing w:after="0"/>
              <w:rPr>
                <w:sz w:val="20"/>
                <w:szCs w:val="20"/>
                <w:color w:val="auto"/>
              </w:rPr>
            </w:pPr>
            <w:r>
              <w:rPr>
                <w:rFonts w:ascii="Arial" w:cs="Arial" w:eastAsia="Arial" w:hAnsi="Arial"/>
                <w:sz w:val="13"/>
                <w:szCs w:val="13"/>
                <w:color w:val="auto"/>
              </w:rPr>
              <w:t>Leland, MS</w:t>
            </w:r>
          </w:p>
        </w:tc>
        <w:tc>
          <w:tcPr>
            <w:tcW w:w="1100" w:type="dxa"/>
            <w:vAlign w:val="bottom"/>
          </w:tcPr>
          <w:p>
            <w:pPr>
              <w:jc w:val="right"/>
              <w:spacing w:after="0"/>
              <w:rPr>
                <w:sz w:val="20"/>
                <w:szCs w:val="20"/>
                <w:color w:val="auto"/>
              </w:rPr>
            </w:pPr>
            <w:r>
              <w:rPr>
                <w:rFonts w:ascii="Arial" w:cs="Arial" w:eastAsia="Arial" w:hAnsi="Arial"/>
                <w:sz w:val="13"/>
                <w:szCs w:val="13"/>
                <w:color w:val="auto"/>
              </w:rPr>
              <w:t>3,343</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Warsaw, NY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14,495</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48"/>
        </w:trPr>
        <w:tc>
          <w:tcPr>
            <w:tcW w:w="2240" w:type="dxa"/>
            <w:vAlign w:val="bottom"/>
          </w:tcPr>
          <w:p>
            <w:pPr>
              <w:ind w:left="20"/>
              <w:spacing w:after="0"/>
              <w:rPr>
                <w:sz w:val="20"/>
                <w:szCs w:val="20"/>
                <w:color w:val="auto"/>
              </w:rPr>
            </w:pPr>
            <w:r>
              <w:rPr>
                <w:rFonts w:ascii="Arial" w:cs="Arial" w:eastAsia="Arial" w:hAnsi="Arial"/>
                <w:sz w:val="13"/>
                <w:szCs w:val="13"/>
                <w:color w:val="auto"/>
              </w:rPr>
              <w:t>Valero (4)</w:t>
            </w:r>
          </w:p>
        </w:tc>
        <w:tc>
          <w:tcPr>
            <w:tcW w:w="3740" w:type="dxa"/>
            <w:vAlign w:val="bottom"/>
          </w:tcPr>
          <w:p>
            <w:pPr>
              <w:ind w:left="1880"/>
              <w:spacing w:after="0"/>
              <w:rPr>
                <w:sz w:val="20"/>
                <w:szCs w:val="20"/>
                <w:color w:val="auto"/>
              </w:rPr>
            </w:pPr>
            <w:r>
              <w:rPr>
                <w:rFonts w:ascii="Arial" w:cs="Arial" w:eastAsia="Arial" w:hAnsi="Arial"/>
                <w:sz w:val="13"/>
                <w:szCs w:val="13"/>
                <w:color w:val="auto"/>
              </w:rPr>
              <w:t>Lorain, OH</w:t>
            </w:r>
          </w:p>
        </w:tc>
        <w:tc>
          <w:tcPr>
            <w:tcW w:w="1100" w:type="dxa"/>
            <w:vAlign w:val="bottom"/>
          </w:tcPr>
          <w:p>
            <w:pPr>
              <w:jc w:val="right"/>
              <w:spacing w:after="0"/>
              <w:rPr>
                <w:sz w:val="20"/>
                <w:szCs w:val="20"/>
                <w:color w:val="auto"/>
              </w:rPr>
            </w:pPr>
            <w:r>
              <w:rPr>
                <w:rFonts w:ascii="Arial" w:cs="Arial" w:eastAsia="Arial" w:hAnsi="Arial"/>
                <w:sz w:val="13"/>
                <w:szCs w:val="13"/>
                <w:color w:val="auto"/>
              </w:rPr>
              <w:t>900</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Salon Lofts</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Canton, OH</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49"/>
        </w:trPr>
        <w:tc>
          <w:tcPr>
            <w:tcW w:w="2240" w:type="dxa"/>
            <w:vAlign w:val="bottom"/>
          </w:tcPr>
          <w:p>
            <w:pPr>
              <w:ind w:left="20"/>
              <w:spacing w:after="0"/>
              <w:rPr>
                <w:sz w:val="20"/>
                <w:szCs w:val="20"/>
                <w:color w:val="auto"/>
              </w:rPr>
            </w:pPr>
            <w:r>
              <w:rPr>
                <w:rFonts w:ascii="Arial" w:cs="Arial" w:eastAsia="Arial" w:hAnsi="Arial"/>
                <w:sz w:val="13"/>
                <w:szCs w:val="13"/>
                <w:color w:val="auto"/>
              </w:rPr>
              <w:t>O'Reilly Auto Parts</w:t>
            </w:r>
          </w:p>
        </w:tc>
        <w:tc>
          <w:tcPr>
            <w:tcW w:w="3740" w:type="dxa"/>
            <w:vAlign w:val="bottom"/>
          </w:tcPr>
          <w:p>
            <w:pPr>
              <w:ind w:left="1880"/>
              <w:spacing w:after="0"/>
              <w:rPr>
                <w:sz w:val="20"/>
                <w:szCs w:val="20"/>
                <w:color w:val="auto"/>
              </w:rPr>
            </w:pPr>
            <w:r>
              <w:rPr>
                <w:rFonts w:ascii="Arial" w:cs="Arial" w:eastAsia="Arial" w:hAnsi="Arial"/>
                <w:sz w:val="13"/>
                <w:szCs w:val="13"/>
                <w:color w:val="auto"/>
              </w:rPr>
              <w:t>Duluth, MN</w:t>
            </w:r>
          </w:p>
        </w:tc>
        <w:tc>
          <w:tcPr>
            <w:tcW w:w="1100" w:type="dxa"/>
            <w:vAlign w:val="bottom"/>
          </w:tcPr>
          <w:p>
            <w:pPr>
              <w:jc w:val="right"/>
              <w:spacing w:after="0"/>
              <w:rPr>
                <w:sz w:val="20"/>
                <w:szCs w:val="20"/>
                <w:color w:val="auto"/>
              </w:rPr>
            </w:pPr>
            <w:r>
              <w:rPr>
                <w:rFonts w:ascii="Arial" w:cs="Arial" w:eastAsia="Arial" w:hAnsi="Arial"/>
                <w:sz w:val="13"/>
                <w:szCs w:val="13"/>
                <w:color w:val="auto"/>
              </w:rPr>
              <w:t>11,182</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Little Caesars</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Columbus, NE</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6,944</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48"/>
        </w:trPr>
        <w:tc>
          <w:tcPr>
            <w:tcW w:w="2240" w:type="dxa"/>
            <w:vAlign w:val="bottom"/>
          </w:tcPr>
          <w:p>
            <w:pPr>
              <w:ind w:left="20"/>
              <w:spacing w:after="0"/>
              <w:rPr>
                <w:sz w:val="20"/>
                <w:szCs w:val="20"/>
                <w:color w:val="auto"/>
              </w:rPr>
            </w:pPr>
            <w:r>
              <w:rPr>
                <w:rFonts w:ascii="Arial" w:cs="Arial" w:eastAsia="Arial" w:hAnsi="Arial"/>
                <w:sz w:val="13"/>
                <w:szCs w:val="13"/>
                <w:color w:val="auto"/>
              </w:rPr>
              <w:t>Valero</w:t>
            </w:r>
          </w:p>
        </w:tc>
        <w:tc>
          <w:tcPr>
            <w:tcW w:w="3740" w:type="dxa"/>
            <w:vAlign w:val="bottom"/>
          </w:tcPr>
          <w:p>
            <w:pPr>
              <w:ind w:left="1880"/>
              <w:spacing w:after="0"/>
              <w:rPr>
                <w:sz w:val="20"/>
                <w:szCs w:val="20"/>
                <w:color w:val="auto"/>
              </w:rPr>
            </w:pPr>
            <w:r>
              <w:rPr>
                <w:rFonts w:ascii="Arial" w:cs="Arial" w:eastAsia="Arial" w:hAnsi="Arial"/>
                <w:sz w:val="13"/>
                <w:szCs w:val="13"/>
                <w:color w:val="auto"/>
              </w:rPr>
              <w:t>Cadiz, OH</w:t>
            </w:r>
          </w:p>
        </w:tc>
        <w:tc>
          <w:tcPr>
            <w:tcW w:w="1100" w:type="dxa"/>
            <w:vAlign w:val="bottom"/>
          </w:tcPr>
          <w:p>
            <w:pPr>
              <w:jc w:val="right"/>
              <w:spacing w:after="0"/>
              <w:rPr>
                <w:sz w:val="20"/>
                <w:szCs w:val="20"/>
                <w:color w:val="auto"/>
              </w:rPr>
            </w:pPr>
            <w:r>
              <w:rPr>
                <w:rFonts w:ascii="Arial" w:cs="Arial" w:eastAsia="Arial" w:hAnsi="Arial"/>
                <w:sz w:val="13"/>
                <w:szCs w:val="13"/>
                <w:color w:val="auto"/>
              </w:rPr>
              <w:t>1,292</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Advance Auto Parts</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Ludington, MI</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6,604</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r>
      <w:tr>
        <w:trPr>
          <w:trHeight w:val="148"/>
        </w:trPr>
        <w:tc>
          <w:tcPr>
            <w:tcW w:w="2240" w:type="dxa"/>
            <w:vAlign w:val="bottom"/>
          </w:tcPr>
          <w:p>
            <w:pPr>
              <w:ind w:left="20"/>
              <w:spacing w:after="0"/>
              <w:rPr>
                <w:sz w:val="20"/>
                <w:szCs w:val="20"/>
                <w:color w:val="auto"/>
              </w:rPr>
            </w:pPr>
            <w:r>
              <w:rPr>
                <w:rFonts w:ascii="Arial" w:cs="Arial" w:eastAsia="Arial" w:hAnsi="Arial"/>
                <w:sz w:val="13"/>
                <w:szCs w:val="13"/>
                <w:color w:val="auto"/>
              </w:rPr>
              <w:t>Advance Auto Parts</w:t>
            </w:r>
          </w:p>
        </w:tc>
        <w:tc>
          <w:tcPr>
            <w:tcW w:w="3740" w:type="dxa"/>
            <w:vAlign w:val="bottom"/>
          </w:tcPr>
          <w:p>
            <w:pPr>
              <w:ind w:left="1880"/>
              <w:spacing w:after="0"/>
              <w:rPr>
                <w:sz w:val="20"/>
                <w:szCs w:val="20"/>
                <w:color w:val="auto"/>
              </w:rPr>
            </w:pPr>
            <w:r>
              <w:rPr>
                <w:rFonts w:ascii="Arial" w:cs="Arial" w:eastAsia="Arial" w:hAnsi="Arial"/>
                <w:sz w:val="13"/>
                <w:szCs w:val="13"/>
                <w:color w:val="auto"/>
              </w:rPr>
              <w:t>New Baltimore, MI</w:t>
            </w:r>
          </w:p>
        </w:tc>
        <w:tc>
          <w:tcPr>
            <w:tcW w:w="1100" w:type="dxa"/>
            <w:vAlign w:val="bottom"/>
          </w:tcPr>
          <w:p>
            <w:pPr>
              <w:jc w:val="right"/>
              <w:spacing w:after="0"/>
              <w:rPr>
                <w:sz w:val="20"/>
                <w:szCs w:val="20"/>
                <w:color w:val="auto"/>
              </w:rPr>
            </w:pPr>
            <w:r>
              <w:rPr>
                <w:rFonts w:ascii="Arial" w:cs="Arial" w:eastAsia="Arial" w:hAnsi="Arial"/>
                <w:sz w:val="13"/>
                <w:szCs w:val="13"/>
                <w:color w:val="auto"/>
              </w:rPr>
              <w:t>6,784</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Perry, NY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49"/>
        </w:trPr>
        <w:tc>
          <w:tcPr>
            <w:tcW w:w="2240" w:type="dxa"/>
            <w:vAlign w:val="bottom"/>
          </w:tcPr>
          <w:p>
            <w:pPr>
              <w:ind w:left="20"/>
              <w:spacing w:after="0"/>
              <w:rPr>
                <w:sz w:val="20"/>
                <w:szCs w:val="20"/>
                <w:color w:val="auto"/>
              </w:rPr>
            </w:pPr>
            <w:r>
              <w:rPr>
                <w:rFonts w:ascii="Arial" w:cs="Arial" w:eastAsia="Arial" w:hAnsi="Arial"/>
                <w:sz w:val="13"/>
                <w:szCs w:val="13"/>
                <w:color w:val="auto"/>
              </w:rPr>
              <w:t>Dollar General</w:t>
            </w:r>
          </w:p>
        </w:tc>
        <w:tc>
          <w:tcPr>
            <w:tcW w:w="3740" w:type="dxa"/>
            <w:vAlign w:val="bottom"/>
          </w:tcPr>
          <w:p>
            <w:pPr>
              <w:ind w:left="1880"/>
              <w:spacing w:after="0"/>
              <w:rPr>
                <w:sz w:val="20"/>
                <w:szCs w:val="20"/>
                <w:color w:val="auto"/>
              </w:rPr>
            </w:pPr>
            <w:r>
              <w:rPr>
                <w:rFonts w:ascii="Arial" w:cs="Arial" w:eastAsia="Arial" w:hAnsi="Arial"/>
                <w:sz w:val="13"/>
                <w:szCs w:val="13"/>
                <w:color w:val="auto"/>
              </w:rPr>
              <w:t>Dansville, NY</w:t>
            </w:r>
          </w:p>
        </w:tc>
        <w:tc>
          <w:tcPr>
            <w:tcW w:w="1100" w:type="dxa"/>
            <w:vAlign w:val="bottom"/>
          </w:tcPr>
          <w:p>
            <w:pPr>
              <w:jc w:val="right"/>
              <w:spacing w:after="0"/>
              <w:rPr>
                <w:sz w:val="20"/>
                <w:szCs w:val="20"/>
                <w:color w:val="auto"/>
              </w:rPr>
            </w:pPr>
            <w:r>
              <w:rPr>
                <w:rFonts w:ascii="Arial" w:cs="Arial" w:eastAsia="Arial" w:hAnsi="Arial"/>
                <w:sz w:val="13"/>
                <w:szCs w:val="13"/>
                <w:color w:val="auto"/>
              </w:rPr>
              <w:t>9,174</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48"/>
        </w:trPr>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Dollar General</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Great Valley, NY</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9,144</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48"/>
        </w:trPr>
        <w:tc>
          <w:tcPr>
            <w:tcW w:w="2240" w:type="dxa"/>
            <w:vAlign w:val="bottom"/>
          </w:tcPr>
          <w:p>
            <w:pPr>
              <w:ind w:left="20"/>
              <w:spacing w:after="0"/>
              <w:rPr>
                <w:sz w:val="20"/>
                <w:szCs w:val="20"/>
                <w:color w:val="auto"/>
              </w:rPr>
            </w:pPr>
            <w:r>
              <w:rPr>
                <w:rFonts w:ascii="Arial" w:cs="Arial" w:eastAsia="Arial" w:hAnsi="Arial"/>
                <w:sz w:val="13"/>
                <w:szCs w:val="13"/>
                <w:color w:val="auto"/>
              </w:rPr>
              <w:t>AutoZone</w:t>
            </w:r>
          </w:p>
        </w:tc>
        <w:tc>
          <w:tcPr>
            <w:tcW w:w="3740" w:type="dxa"/>
            <w:vAlign w:val="bottom"/>
          </w:tcPr>
          <w:p>
            <w:pPr>
              <w:ind w:left="1880"/>
              <w:spacing w:after="0"/>
              <w:rPr>
                <w:sz w:val="20"/>
                <w:szCs w:val="20"/>
                <w:color w:val="auto"/>
              </w:rPr>
            </w:pPr>
            <w:r>
              <w:rPr>
                <w:rFonts w:ascii="Arial" w:cs="Arial" w:eastAsia="Arial" w:hAnsi="Arial"/>
                <w:sz w:val="13"/>
                <w:szCs w:val="13"/>
                <w:color w:val="auto"/>
              </w:rPr>
              <w:t>Winston-Salem, NC</w:t>
            </w:r>
          </w:p>
        </w:tc>
        <w:tc>
          <w:tcPr>
            <w:tcW w:w="1100" w:type="dxa"/>
            <w:vAlign w:val="bottom"/>
          </w:tcPr>
          <w:p>
            <w:pPr>
              <w:jc w:val="right"/>
              <w:spacing w:after="0"/>
              <w:rPr>
                <w:sz w:val="20"/>
                <w:szCs w:val="20"/>
                <w:color w:val="auto"/>
              </w:rPr>
            </w:pPr>
            <w:r>
              <w:rPr>
                <w:rFonts w:ascii="Arial" w:cs="Arial" w:eastAsia="Arial" w:hAnsi="Arial"/>
                <w:sz w:val="13"/>
                <w:szCs w:val="13"/>
                <w:color w:val="auto"/>
              </w:rPr>
              <w:t>8,008</w:t>
            </w: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48"/>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2"/>
                <w:szCs w:val="12"/>
                <w:color w:val="auto"/>
              </w:rPr>
              <w:t xml:space="preserve">Long John Silver's </w:t>
            </w:r>
            <w:r>
              <w:rPr>
                <w:rFonts w:ascii="Arial" w:cs="Arial" w:eastAsia="Arial" w:hAnsi="Arial"/>
                <w:sz w:val="17"/>
                <w:szCs w:val="17"/>
                <w:color w:val="auto"/>
                <w:vertAlign w:val="superscript"/>
              </w:rPr>
              <w:t>(3)</w:t>
            </w:r>
          </w:p>
        </w:tc>
        <w:tc>
          <w:tcPr>
            <w:tcW w:w="3740" w:type="dxa"/>
            <w:vAlign w:val="bottom"/>
            <w:shd w:val="clear" w:color="auto" w:fill="CCEEFF"/>
          </w:tcPr>
          <w:p>
            <w:pPr>
              <w:ind w:left="1880"/>
              <w:spacing w:after="0"/>
              <w:rPr>
                <w:sz w:val="20"/>
                <w:szCs w:val="20"/>
                <w:color w:val="auto"/>
              </w:rPr>
            </w:pPr>
            <w:r>
              <w:rPr>
                <w:rFonts w:ascii="Arial" w:cs="Arial" w:eastAsia="Arial" w:hAnsi="Arial"/>
                <w:sz w:val="13"/>
                <w:szCs w:val="13"/>
                <w:color w:val="auto"/>
              </w:rPr>
              <w:t>Tulsa, OK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3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22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3,651,466</w:t>
            </w:r>
          </w:p>
        </w:tc>
        <w:tc>
          <w:tcPr>
            <w:tcW w:w="360" w:type="dxa"/>
            <w:vAlign w:val="bottom"/>
          </w:tcPr>
          <w:p>
            <w:pPr>
              <w:spacing w:after="0"/>
              <w:rPr>
                <w:sz w:val="12"/>
                <w:szCs w:val="12"/>
                <w:color w:val="auto"/>
              </w:rPr>
            </w:pPr>
          </w:p>
        </w:tc>
        <w:tc>
          <w:tcPr>
            <w:tcW w:w="6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40,398</w:t>
            </w:r>
          </w:p>
        </w:tc>
      </w:tr>
      <w:tr>
        <w:trPr>
          <w:trHeight w:val="20"/>
        </w:trPr>
        <w:tc>
          <w:tcPr>
            <w:tcW w:w="22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Annualized straight-line base rental income in place as of December 31, 2022.</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The Alpine Valley Music Theatre, leased to Live Nation Entertainment, Inc., is an entertainment venue consisting of a two-sided, open-air, 7,500-seat pavilion; an outdoor amphitheater with a capacity for 37,000; and over 150 acres of green space.</w:t>
      </w:r>
    </w:p>
    <w:p>
      <w:pPr>
        <w:ind w:left="380" w:right="79" w:hanging="330"/>
        <w:spacing w:after="0" w:line="221" w:lineRule="auto"/>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We are the lessor in a ground lease with the tenant. Rentable square feet represents improvements on the property that revert to us at the expiration of the lease.</w:t>
      </w:r>
    </w:p>
    <w:p>
      <w:pPr>
        <w:ind w:left="380" w:hanging="330"/>
        <w:spacing w:after="0"/>
        <w:tabs>
          <w:tab w:leader="none" w:pos="380" w:val="left"/>
        </w:tabs>
        <w:numPr>
          <w:ilvl w:val="0"/>
          <w:numId w:val="5"/>
        </w:numPr>
        <w:rPr>
          <w:rFonts w:ascii="Arial" w:cs="Arial" w:eastAsia="Arial" w:hAnsi="Arial"/>
          <w:sz w:val="11"/>
          <w:szCs w:val="11"/>
          <w:color w:val="auto"/>
        </w:rPr>
      </w:pPr>
      <w:r>
        <w:rPr>
          <w:rFonts w:ascii="Arial" w:cs="Arial" w:eastAsia="Arial" w:hAnsi="Arial"/>
          <w:sz w:val="14"/>
          <w:szCs w:val="14"/>
          <w:color w:val="auto"/>
        </w:rPr>
        <w:t>Subject to a master lease agreement.</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Certain individual tenants in the Company’s portfolio of properties accounted for more than 10% of total revenues during the years ended December 31, 2021 and 2020. No individual tenant accounted for more than 10% of total revenues during the year ended December 31, 2022. For the year ended December 31, 2021, Wells Fargo represented 12% of total revenues. Wells Fargo and Hilton Grand Vacations represented 19% and 12% of total revenues, respectively, for the year ended December 31, 2020. There were no tenants who represented more than 10% of the square footage of our properties as of December 31, 2022. As of December 31, 2022, 19% of the Company’s real estate portfolio, based on square footage, was located in the state of Texas.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w:t>
      </w:r>
    </w:p>
    <w:p>
      <w:pPr>
        <w:spacing w:after="0" w:line="2" w:lineRule="exact"/>
        <w:rPr>
          <w:sz w:val="20"/>
          <w:szCs w:val="20"/>
          <w:color w:val="auto"/>
        </w:rPr>
      </w:pPr>
    </w:p>
    <w:p>
      <w:pPr>
        <w:ind w:left="60" w:right="59" w:hanging="10"/>
        <w:spacing w:after="0" w:line="260"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product of (a) 15% multiplied by (b) the Outperformance Amount multiplied by (c) the weighted average shares. No incentive fee was due for the years ended December 31, 2022, 2021, or 2020.</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any termination fee, with 30 days’ prior written notice from the Board. During the initial term of the Management Agreement, we may not terminate the Management Agreement except for cause.</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than the purchase price that would have been paid to or by us if the transaction were the result of arm’s length negotiations with an unaffiliated third party.</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real estate business, generally, is highly competitive. We intend to focus on investing in commercial real estate that produces income primarily through the leasing of assets to tenants. To identify investment opportunities in income-producing real estate assets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from investors, including traded and non-traded public REITs, private equity investors and institutional investment funds, some of which have greater financial resources than we do, a greater ability to borrow funds to acquire properties and the ability to accept more risk. This competition may increase the demand for the types of properties in which we typically invest and, therefore, reduce the number of suitable investment opportunities available to us and increase the prices paid for such acquisition properties. This competition will increase if investments in real estate become more attractive relative to other forms of investment.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are eligible to receive certain specified reduced disclosure and other requirements that are otherwise generally applicable to public companies that are not “emerging growth companies,” including, but not limited to, exclusion from the requirement to comply with the auditor attestation requirements of Section 404 of the Sarbanes-Oxley Act. We have irrevocably opted-out of the extended transition period afforded to emerging growth companies in Section 7(a)(2)(B) of the Securities Act for complying with new or revised financial accounting standards. As a result, we will comply with new or revised accounting standards on the same time frames as other public companies that are not emerging growth companies.</w:t>
      </w:r>
    </w:p>
    <w:p>
      <w:pPr>
        <w:spacing w:after="0" w:line="166" w:lineRule="exact"/>
        <w:rPr>
          <w:sz w:val="20"/>
          <w:szCs w:val="20"/>
          <w:color w:val="auto"/>
        </w:rPr>
      </w:pPr>
    </w:p>
    <w:p>
      <w:pPr>
        <w:jc w:val="both"/>
        <w:ind w:left="60" w:right="79" w:firstLine="324"/>
        <w:spacing w:after="0" w:line="274" w:lineRule="auto"/>
        <w:rPr>
          <w:sz w:val="20"/>
          <w:szCs w:val="20"/>
          <w:color w:val="auto"/>
        </w:rPr>
      </w:pPr>
      <w:r>
        <w:rPr>
          <w:rFonts w:ascii="Arial" w:cs="Arial" w:eastAsia="Arial" w:hAnsi="Arial"/>
          <w:sz w:val="17"/>
          <w:szCs w:val="17"/>
          <w:color w:val="auto"/>
        </w:rPr>
        <w:t>We will remain an “emerging growth company” until the earliest to occur of (i) the last day of the fiscal year during which our total annual gross revenue equals or exceeds $1.235 billion (subject to adjustment for inflation),</w:t>
      </w:r>
    </w:p>
    <w:p>
      <w:pPr>
        <w:jc w:val="both"/>
        <w:ind w:left="60" w:right="59" w:hanging="10"/>
        <w:spacing w:after="0" w:line="253" w:lineRule="auto"/>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December 31, 2024 (the last day of the fiscal year following the fifth anniversary of the IPO), (iii) the date on which we have, during the previous three-year period, issued more than $1.0 billion in non-convertible debt securities, and (iv) the date on which we are deemed to be a “large accelerated filer” under the Securities Exchange Act of 1934, as amended, or the Exchange Act.</w:t>
      </w:r>
    </w:p>
    <w:p>
      <w:pPr>
        <w:spacing w:after="0" w:line="193"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properties are subject to various laws, ordinances and regulations, including those relating to fire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Americans With Disabilities Act. </w:t>
      </w:r>
      <w:r>
        <w:rPr>
          <w:rFonts w:ascii="Arial" w:cs="Arial" w:eastAsia="Arial" w:hAnsi="Arial"/>
          <w:sz w:val="17"/>
          <w:szCs w:val="17"/>
          <w:color w:val="auto"/>
        </w:rPr>
        <w:t>Under Title III of the Americans with Disabilities Act (“ADA”), and</w:t>
      </w:r>
      <w:r>
        <w:rPr>
          <w:rFonts w:ascii="Arial" w:cs="Arial" w:eastAsia="Arial" w:hAnsi="Arial"/>
          <w:sz w:val="17"/>
          <w:szCs w:val="17"/>
          <w:i w:val="1"/>
          <w:iCs w:val="1"/>
          <w:color w:val="auto"/>
        </w:rPr>
        <w:t xml:space="preserve"> </w:t>
      </w:r>
      <w:r>
        <w:rPr>
          <w:rFonts w:ascii="Arial" w:cs="Arial" w:eastAsia="Arial" w:hAnsi="Arial"/>
          <w:sz w:val="17"/>
          <w:szCs w:val="17"/>
          <w:color w:val="auto"/>
        </w:rPr>
        <w:t>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may also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spacing w:after="0" w:line="1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spacing w:after="0" w:line="18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spacing w:after="0" w:line="17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obtain Phase I environmental assessments for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spacing w:after="0" w:line="18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no employees and is externally managed and advised by our Manager pursuant to the Management Agreement. Our Manager is a wholly owned subsidiary of CTO. All of our executive officers serve as executive officers of CTO, and one of our executive officers and directors, John P. Albright, serves as an executive officer and director of CTO.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The Company maintains a website at </w:t>
      </w:r>
      <w:r>
        <w:rPr>
          <w:rFonts w:ascii="Arial" w:cs="Arial" w:eastAsia="Arial" w:hAnsi="Arial"/>
          <w:sz w:val="18"/>
          <w:szCs w:val="18"/>
          <w:i w:val="1"/>
          <w:iCs w:val="1"/>
          <w:color w:val="auto"/>
        </w:rPr>
        <w:t>www.alpinereit.com</w:t>
      </w:r>
      <w:r>
        <w:rPr>
          <w:rFonts w:ascii="Arial" w:cs="Arial" w:eastAsia="Arial" w:hAnsi="Arial"/>
          <w:sz w:val="18"/>
          <w:szCs w:val="18"/>
          <w:color w:val="auto"/>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them to, the SEC. The public may read and obtain a copy of any materials the Company files electronically with the SEC at www.sec.gov.</w:t>
      </w:r>
    </w:p>
    <w:p>
      <w:pPr>
        <w:spacing w:after="0" w:line="188"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summarized below in this Item 1A, “Risk Factors” included in this Annual Report on Form 10-K. These risks include, but are not limited to, the following:</w:t>
      </w:r>
    </w:p>
    <w:p>
      <w:pPr>
        <w:spacing w:after="0" w:line="184" w:lineRule="exact"/>
        <w:rPr>
          <w:sz w:val="20"/>
          <w:szCs w:val="20"/>
          <w:color w:val="auto"/>
        </w:rPr>
      </w:pPr>
    </w:p>
    <w:p>
      <w:pPr>
        <w:ind w:left="720" w:right="79" w:hanging="319"/>
        <w:spacing w:after="0" w:line="25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jc w:val="both"/>
        <w:ind w:left="720" w:right="79" w:hanging="319"/>
        <w:spacing w:after="0" w:line="28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Properties occupied by a single tenant pursuant to a single lease subject us to significant risk of tenant default.</w:t>
      </w:r>
    </w:p>
    <w:p>
      <w:pPr>
        <w:spacing w:after="0" w:line="3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portfolio has geographic market concentrations that make us susceptible to adverse developments in those geographic markets.</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related to tenant concentration, and an adverse development with respect to a large tenant could materially and adversely affect us.</w:t>
      </w:r>
    </w:p>
    <w:p>
      <w:pPr>
        <w:jc w:val="both"/>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decrease in demand for retail space may materially and adversely affect us.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renew leases, lease vacant space or re-lease space as leases expire on favorable terms or at all.</w:t>
      </w:r>
    </w:p>
    <w:p>
      <w:pPr>
        <w:jc w:val="both"/>
        <w:ind w:left="720" w:right="79" w:hanging="319"/>
        <w:spacing w:after="0" w:line="265"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vacancy of one or more of our properties could result in us having to incur significant capital expenditures to re-tenant the space.</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identify suitable property acquisitions or developments, which may impede our growth, and our future acquisitions and developments may not yield the returns we expect.</w:t>
      </w:r>
    </w:p>
    <w:p>
      <w:pPr>
        <w:ind w:left="720" w:right="79" w:hanging="319"/>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for tenants, which may adversely impact the occupancy levels of our portfolio or prevent increases of the rental rates of our properties.</w:t>
      </w:r>
    </w:p>
    <w:p>
      <w:pPr>
        <w:ind w:left="720" w:hanging="3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costs of compliance with or liabilities related to environmental laws may materially and adversely affect us.</w:t>
      </w:r>
    </w:p>
    <w:p>
      <w:pPr>
        <w:spacing w:after="0" w:line="32"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properties may contain or develop harmful mold, which could lead to liability for adverse health effects and costs of remediation.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5"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2"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no employees and are entirely dependent upon our Manager for all the services we require, and we cannot assure you that our Manager will allocate the resources necessary to meet our business objectives.</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CTO may be unable to obtain or retain the executive officers and other personnel that it provides to us through our Manager.</w:t>
      </w: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incentive fee payable to our Manager pursuant to the Management Agreement may cause our Manager to select investments in more risky assets to increase its incentive compensation.</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conflicts of interest in our relationships with our Manager, which could result in outcomes that are not in our best interests.</w:t>
      </w: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Management Agreement with our Manager and the ROFO Agreement with CTO were not negotiated on an arm’s-length basis and may not be as favorable to us as if they had been negotiated with unaffiliated third parties.</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remain qualified as a REIT would cause us to be taxed as a regular corporation, which would substantially reduce funds available for distributions to our stockholders.</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remain qualified as a REIT, we may face other tax liabilities that could reduce our cash flows and negatively impact our results of operations and financial condition.</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make required distributions would subject us to U.S. federal corporate income tax.</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Complying with REIT requirements may limit our ability to hedge our liabilities effectively and may cause us to incur tax liabilities.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prohibited transactions tax may limit our ability to dispose of our properties.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Board to revoke our REIT qualification without stockholder approval may cause adverse consequences to our stockholders.</w:t>
      </w: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payable by REITs do not qualify for the reduced tax rates available for some dividends.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the ownership of commercial real estate that could affect the performance and value of our properties.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Factors beyond our control can affect the performance and value of our properties. Our core business is the ownership of commercial net leased properties. Accordingly, our performance is subject to risks incident to the ownership of commercial real estate, including:</w:t>
      </w:r>
    </w:p>
    <w:p>
      <w:pPr>
        <w:spacing w:after="0" w:line="184"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collect rents from tenants due to financial hardship, including bankruptcy;</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real estate conditions in the markets where our properties are located, including the availability and demand for the properties we own;</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trends and preferences that affect the demand for products and services offered by our tenants;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national, regional and local economic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lease or sell properties upon expiration or termination of existing leases;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risks, including the presence of hazardous or toxic substances on our properties;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subjectivity of real estate valuations and changes in such valuations over time;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illiquidity of real estate investments, which may limit our ability to modify our portfolio promptly 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response to changes in economic or other conditions;</w:t>
      </w:r>
    </w:p>
    <w:p>
      <w:pPr>
        <w:spacing w:after="0" w:line="9" w:lineRule="exact"/>
        <w:rPr>
          <w:sz w:val="20"/>
          <w:szCs w:val="20"/>
          <w:color w:val="auto"/>
        </w:rPr>
      </w:pPr>
    </w:p>
    <w:p>
      <w:pPr>
        <w:ind w:left="700" w:right="619" w:hanging="299"/>
        <w:spacing w:after="0" w:line="260" w:lineRule="auto"/>
        <w:tabs>
          <w:tab w:leader="none" w:pos="7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or other local regulatory restrictions, or other factors pertaining to the local government institutions which inhibit interest in the markets in which our properties are located;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 and the availability of financing;</w:t>
      </w:r>
    </w:p>
    <w:p>
      <w:pPr>
        <w:spacing w:after="0" w:line="23" w:lineRule="exact"/>
        <w:rPr>
          <w:rFonts w:ascii="Arial" w:cs="Arial" w:eastAsia="Arial" w:hAnsi="Arial"/>
          <w:sz w:val="18"/>
          <w:szCs w:val="18"/>
          <w:color w:val="auto"/>
        </w:rPr>
      </w:pPr>
    </w:p>
    <w:p>
      <w:pPr>
        <w:ind w:left="700" w:right="679" w:hanging="299"/>
        <w:spacing w:after="0" w:line="250" w:lineRule="auto"/>
        <w:tabs>
          <w:tab w:leader="none" w:pos="7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other real estate companies similar to ours and competition for tenants, including competition based on rental rates, age and location of properties and the quality of maintenance, insurance and management services;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God, including natural disasters and global pandemics, such as the COVID-19 Pandemic, which impact the United States, which may result in uninsured losses;</w:t>
      </w: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war or terrorism, including consequences of terrorist attacks;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and marketability of our properties to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tenants or cause decreases in market rental rates;</w:t>
      </w:r>
    </w:p>
    <w:p>
      <w:pPr>
        <w:spacing w:after="0" w:line="9"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or re-lease our properties;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cost of our operations, particularly maintenance, insurance or real estate taxes</w:t>
      </w:r>
    </w:p>
    <w:p>
      <w:pPr>
        <w:spacing w:after="0" w:line="9" w:lineRule="exact"/>
        <w:rPr>
          <w:sz w:val="20"/>
          <w:szCs w:val="20"/>
          <w:color w:val="auto"/>
        </w:rPr>
      </w:pPr>
    </w:p>
    <w:p>
      <w:pPr>
        <w:ind w:left="700" w:right="59"/>
        <w:spacing w:after="0" w:line="250" w:lineRule="auto"/>
        <w:rPr>
          <w:sz w:val="20"/>
          <w:szCs w:val="20"/>
          <w:color w:val="auto"/>
        </w:rPr>
      </w:pPr>
      <w:r>
        <w:rPr>
          <w:rFonts w:ascii="Arial" w:cs="Arial" w:eastAsia="Arial" w:hAnsi="Arial"/>
          <w:sz w:val="18"/>
          <w:szCs w:val="18"/>
          <w:color w:val="auto"/>
        </w:rPr>
        <w:t>which may occur even when circumstances such as market factors and competition cause a reduction in our revenues;</w:t>
      </w:r>
    </w:p>
    <w:p>
      <w:pPr>
        <w:spacing w:after="0" w:line="1"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laws and regulations, fiscal policies and zoning ordinances and the related</w:t>
      </w:r>
    </w:p>
    <w:p>
      <w:pPr>
        <w:spacing w:after="0" w:line="9" w:lineRule="exact"/>
        <w:rPr>
          <w:sz w:val="20"/>
          <w:szCs w:val="20"/>
          <w:color w:val="auto"/>
        </w:rPr>
      </w:pPr>
    </w:p>
    <w:p>
      <w:pPr>
        <w:ind w:left="700" w:right="59"/>
        <w:spacing w:after="0" w:line="265" w:lineRule="auto"/>
        <w:rPr>
          <w:sz w:val="20"/>
          <w:szCs w:val="20"/>
          <w:color w:val="auto"/>
        </w:rPr>
      </w:pPr>
      <w:r>
        <w:rPr>
          <w:rFonts w:ascii="Arial" w:cs="Arial" w:eastAsia="Arial" w:hAnsi="Arial"/>
          <w:sz w:val="17"/>
          <w:szCs w:val="17"/>
          <w:color w:val="auto"/>
        </w:rPr>
        <w:t>costs of compliance with laws and regulations, fiscal policies and ordinances including in response to global pandemics whereby our tenants’ businesses are forced to close or remain open on a limited basis only; and</w:t>
      </w: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commodities prices.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occurrence of any of the risks described above may cause the performance and value of our properties to decline, which could materially and adversely affect us.</w:t>
      </w:r>
    </w:p>
    <w:p>
      <w:pPr>
        <w:spacing w:after="0" w:line="170"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Adverse changes in U.S., global and local regions or markets that impact our tenants’ businesses may materially and adversely affect us generally and the ability of our tenants to make rental payments to us pursuant to our leases.</w:t>
      </w:r>
    </w:p>
    <w:p>
      <w:pPr>
        <w:spacing w:after="0" w:line="10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business is dependent upon our tenants successfully operating their businesses, and their failure to do so could materially and adversely affect us.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Most of our properties are occupied by a single tenant. Therefore, the success of our investments in these properties is materially dependent upon the performance of each property’s respective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spacing w:after="0" w:line="16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declaring bankruptcy. We depend on our tenants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spacing w:after="0" w:line="17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b w:val="1"/>
          <w:bCs w:val="1"/>
          <w:i w:val="1"/>
          <w:iCs w:val="1"/>
          <w:color w:val="auto"/>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spacing w:after="0" w:line="14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Additionally, we believe that many of the businesses operated by our tenants are benefiting from current favorable macroeconomic trends that support consumer spending, such as strong and growing employment levels, a relatively low interest rate environment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Properties occupied by a single tenant pursuant to a single lease subject us to significant risk of tenant default.</w:t>
      </w:r>
    </w:p>
    <w:p>
      <w:pPr>
        <w:spacing w:after="0" w:line="24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Most of our properties are occupied by a single tenant. Therefore, the financial failure of, or default in payment by, a tenant under its lease is likely to cause a significant or complete reduction in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spacing w:after="0" w:line="19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experience a decline in the fair value of our real estate assets which could result in impairments and would impact our financial condition and results of operations.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portfolio has geographic market concentrations that make us susceptible to adverse developments in those geographic markets.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addition to general, regional, national, and global economic conditions, our operating performance is impacted by the economic conditions of the specific geographic markets in which we have concentrations of properties. Our portfolio includes substantial holdings in Texas as of December 31, 2022 (based on square footage). Our geographic 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epidemics or pandemics such as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spacing w:after="0" w:line="1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are subject to risks related to tenant concentration, and an adverse development with respect to a large tenant could materially and adversely affect us.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have in the past and may in the future have significant tenant and property concentrations. In the event that a tenant that occupies a significant number of our properties or whose lease payments represent a significant portion of our rental revenue, were to experience financial difficulty or file for bankruptcy, it could have a material adverse effect on us.</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Certain of our tenants are not rated by a recognized credit rating agency or do not have an investment grade rating from such an agency. Leases with unrated or non-investment grade rated tenants may be subject to a greater risk of default.</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December 31, 2022, 46%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tenants may also be more likely to experience financial weakness or file for bankruptcy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it could have a material adverse effect on us.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decrease in demand for retail space may materially and adversely affect us.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As of December 31, 2022, 100% of leases based on annualized straight-line base rent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auto"/>
        </w:rPr>
        <w:t>We may be unable to renew leases, lease vacant space or re-lease space as leases expire on favorable terms or at all.</w:t>
      </w:r>
    </w:p>
    <w:p>
      <w:pPr>
        <w:spacing w:after="0" w:line="26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results of operations depend on our ability to lease our properties, including renewing expiring leases, leasing vacant space and re-leasing space in properties where leases are expiring, and leasing space related to new project development.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our leases may be unenforceable.</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of our tenants could result in the termination of such tenant’s lease and material losses to us.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occurrence of a tenant bankruptcy or insolvency would likely diminish the income we receive from that tenant’s lease or leases or force us to re-tenant a property as a result of a default of the in-place tenant or a rejection of a tenant lease by a bankruptcy court. If a tenant files for bankruptcy or becomes insolvent, federal law may prohibit us from evicting such tenant based solely upon such bankruptcy or insolvency. In addition, a bankrupt or insolvent tenant may be authorized 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acquire the properties that we evaluate in our pipeline.</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will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 we continue to acquire properties, we may decrease or fail to increase the diversity of our portfolio.</w:t>
      </w:r>
    </w:p>
    <w:p>
      <w:pPr>
        <w:spacing w:after="0" w:line="23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While we will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b w:val="1"/>
          <w:bCs w:val="1"/>
          <w:i w:val="1"/>
          <w:iCs w:val="1"/>
          <w:color w:val="auto"/>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or purchase of, properties with limited warranties increases the risk that we may lose some or all of our invested capital in the property, lose rental income from that property or may be subject to unknown liabilities with respect to such properties.</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b w:val="1"/>
          <w:bCs w:val="1"/>
          <w:i w:val="1"/>
          <w:iCs w:val="1"/>
          <w:color w:val="auto"/>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spacing w:after="0" w:line="17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Certain properties in our portfolio are leased to tenants operating retail, service-oriented or experience-based businesses. General merchandise, financial services, hospitality, home furnishings and entertainment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The ability of consumers to use their discretionary income may be impacted by issues including a global pandemic that impacts the United States.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vacancy of one or more of our properties could result in us having to incur significant capital expenditures to re-tenant the space.</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loss of a tenant, either through lease expiration or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spacing w:after="0" w:line="18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We may be unable to identify and complete suitable property acquisitions or developments, which may impede our growth, and our future acquisitions and developments may not yield the returns we expect.</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ability to expand through acquisitions and developments requires us to identify and complete acquisitions and new property developments that are consistent with our investment and growth strategy and our investment criteria and to successfully integrate newly acquired properties into our portfolio. Our Manager continually evaluates investment opportunities for us, but our ability to acquire or develop new properties on favorable terms and successfully operate them may be constrained by the following significant risks:</w:t>
      </w:r>
    </w:p>
    <w:p>
      <w:pPr>
        <w:spacing w:after="0" w:line="188" w:lineRule="exact"/>
        <w:rPr>
          <w:sz w:val="20"/>
          <w:szCs w:val="20"/>
          <w:color w:val="auto"/>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competition from commercial developers and other real estate investors with significant capital, including REITs and institutional investment funds, which may be able to accept more risk than we can prudently manage, including risks associated with paying higher acquisition prices;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competition from other potential acquirers which may significantly increase the purchase price for a property we acquire, which could reduce our growth prospects;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incur significant costs and divert management attention in connection with evaluating and negotiating potential acquisitions and developments, including ones that we are unable to complete;</w:t>
      </w:r>
    </w:p>
    <w:p>
      <w:pPr>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acquire properties that are not accretive to our results of operations upon acquisition, and we may be unsuccessful in managing and leasing such properties in accordance with our expectations;</w:t>
      </w:r>
    </w:p>
    <w:p>
      <w:pPr>
        <w:ind w:left="720" w:right="79" w:hanging="319"/>
        <w:spacing w:after="0" w:line="265"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cash flow from an acquired or developed property may be insufficient to meet our required principal and interest payments with respect to debt used to finance the acquisition or development of such property;</w:t>
      </w:r>
    </w:p>
    <w:p>
      <w:pPr>
        <w:jc w:val="both"/>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fail to obtain financing for an acquisition or new property development on favorable terms or at all;</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spend more than budgeted amounts to make necessary improvements or renovations to acquired properties;</w:t>
      </w:r>
    </w:p>
    <w:p>
      <w:pPr>
        <w:ind w:left="720" w:hanging="31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market conditions may result in higher than expected vacancy rates and lower than expected rental rates; and</w:t>
      </w:r>
    </w:p>
    <w:p>
      <w:pPr>
        <w:spacing w:after="0" w:line="32" w:lineRule="exact"/>
        <w:rPr>
          <w:rFonts w:ascii="Arial" w:cs="Arial" w:eastAsia="Arial" w:hAnsi="Arial"/>
          <w:sz w:val="16"/>
          <w:szCs w:val="16"/>
          <w:color w:val="auto"/>
        </w:rPr>
      </w:pPr>
    </w:p>
    <w:p>
      <w:pPr>
        <w:jc w:val="both"/>
        <w:ind w:left="720" w:right="79" w:hanging="319"/>
        <w:spacing w:after="0" w:line="252"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any of these risks are realized, we may be materially and adversely affected.</w:t>
      </w:r>
    </w:p>
    <w:p>
      <w:pPr>
        <w:spacing w:after="0" w:line="225"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We may be unable to complete acquisitions of properties owned by CTO that are covered by the ROFO Agreement, and any completed acquisitions of such properties may not yield the returns we expect.</w:t>
      </w:r>
    </w:p>
    <w:p>
      <w:pPr>
        <w:spacing w:after="0" w:line="14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Although the ROFO Agreement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ROFO Agreement in the future. Further, even if we are able to acquire properties covered by the ROFO Agreement, there is no guarantee that such properties will be able to maintain their historical performance, or that we will be able to realize the same returns from those properties as CTO.</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tenants, which may adversely impact the occupancy levels of our portfolio or prevent increases of the rental rates of our properties.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compete with numerous developers, owners and operators of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Inflation may materially and adversely affect us and our tenants.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Increased inflation could have an adverse impact on interest rates, which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Increased costs may have an adverse impact on our tenants if increases in their operating expenses exceed increases they might achieve in revenues, which may adversely affect the tenants’ ability to pay rent owed to us.</w:t>
      </w:r>
    </w:p>
    <w:p>
      <w:pPr>
        <w:spacing w:after="0" w:line="14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redevelopment or renovation of our properties may cause us to experience unexpected costs and have other risks that could materially and adversely affect us.</w:t>
      </w:r>
    </w:p>
    <w:p>
      <w:pPr>
        <w:spacing w:after="0" w:line="170"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Credit Facility or any 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spacing w:after="0" w:line="168"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Our real estate investments are generally illiquid, which could significantly affect our ability to respond to market changes or adverse changes relating to our tenants or in the performance of our properties.</w:t>
      </w:r>
    </w:p>
    <w:p>
      <w:pPr>
        <w:spacing w:after="0" w:line="146"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real estate investments made, and expected to be made, by us are relatively difficult for us to sell quickly. As a result, our ability to make rapid adjustments in the size and content of our portfolio in response to economic or other conditions will be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our portfolio, we may realize significantly less than the value at which we have previously recorded our assets.</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the Internal Revenue Code of 1986, as amended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not be able to dispose of properties we target for sale to recycle our capital.</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consequently, materially and adversely affect us.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development of new projects and/or properties may cause us to experience unexpected costs and have other risks that could materially and adversely affect us.</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the revolving credit facility or any other credit facilities that we may have in place in the future, which would limit our ability to use those sources of capital for the acquisition of properties and other operating needs. The risks associated with new project development activities, including but not necessarily limited to those noted above, could materially and adversely affect us.</w:t>
      </w:r>
    </w:p>
    <w:p>
      <w:pPr>
        <w:spacing w:after="0" w:line="187"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b w:val="1"/>
          <w:bCs w:val="1"/>
          <w:i w:val="1"/>
          <w:iCs w:val="1"/>
          <w:color w:val="auto"/>
        </w:rPr>
        <w:t>The success of our activities related to new project development in which we will retain an ownership interest is partly dependent on the availability of suitable undeveloped land at acceptable prices.</w:t>
      </w:r>
    </w:p>
    <w:p>
      <w:pPr>
        <w:spacing w:after="0" w:line="146" w:lineRule="exact"/>
        <w:rPr>
          <w:sz w:val="20"/>
          <w:szCs w:val="20"/>
          <w:color w:val="auto"/>
        </w:rPr>
      </w:pPr>
    </w:p>
    <w:p>
      <w:pPr>
        <w:jc w:val="both"/>
        <w:ind w:left="60" w:right="59" w:firstLine="415"/>
        <w:spacing w:after="0" w:line="254" w:lineRule="auto"/>
        <w:rPr>
          <w:sz w:val="20"/>
          <w:szCs w:val="20"/>
          <w:color w:val="auto"/>
        </w:rPr>
      </w:pPr>
      <w:r>
        <w:rPr>
          <w:rFonts w:ascii="Arial" w:cs="Arial" w:eastAsia="Arial" w:hAnsi="Arial"/>
          <w:sz w:val="18"/>
          <w:szCs w:val="18"/>
          <w:color w:val="auto"/>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 the number of development projects we may be able to undertake could be reduced. Thus, the lack of availability of suitable land opportunities could have a material adverse effect on our results of operations and growth prospects.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Certain Events, Environmental Matters and Climate Change</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Natural disasters, terrorist attacks, other acts of violence or war or other unexpected events could materially and adversely affect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lenders or other institutions with which we have a relationship. The U.S. may be engaged in armed conflict, which could also have an impact on the tenants,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Insurance on our properties may not adequately cover all losses and uninsured losses could materially and adversely affect us.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 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spacing w:after="0" w:line="18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 zoning and building code requirements. The loss of our capital investment in or anticipated future returns from our properties due to material uninsured losses could materially and adversely affect us.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costs of compliance with or liabilities related to environmental laws may materially and adversely affect us.</w:t>
      </w:r>
    </w:p>
    <w:p>
      <w:pPr>
        <w:spacing w:after="0" w:line="24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p>
      <w:pPr>
        <w:spacing w:after="0" w:line="192"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knowledge of the contamination;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contamination;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cause of the contamination; or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party responsible for the contamination of the property.</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There may be environmental liabilities associated with our properties of which we are unaware. We obtain Phase I environmental assessments for properties acquired.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 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properties may contain or develop harmful mold, which could lead to liability for adverse health effects and costs of remediation.</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operations and financial condition may be adversely affected by climate change, including possible changes in weather patterns, weather-related events, government policy, laws, regulations and economic conditions.</w:t>
      </w:r>
    </w:p>
    <w:p>
      <w:pPr>
        <w:spacing w:after="0" w:line="10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Other Aspects of our Operation and as a Public Company</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b w:val="1"/>
          <w:bCs w:val="1"/>
          <w:i w:val="1"/>
          <w:iCs w:val="1"/>
          <w:color w:val="auto"/>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common stock and adversely impact our results of operations and cash flows.</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business is highly dependent on communications and information systems and networks. Any failure or interruption of these systems or networks could cause delays or other problems in our operations and communications. Through our relationship with CTO and our Manager, we rely heavily on CTO’s financial, accounting and other data processing systems. In addition, much of the information technology infrastructure on which we rely is or may be managed by third parties and, as such, we also face the risk of operational failure, termination or capacity constraints by any of these third parties. It is difficult to determine what, if any, negative impact may directly result from any specific interruption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 can be no assurance that our senior management team will be able to successfully operate two publicly traded companies. Any failure by our senior management team to successfully operate our company or CTO could materially and adversely affect us.</w:t>
      </w:r>
    </w:p>
    <w:p>
      <w:pPr>
        <w:spacing w:after="0" w:line="19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If there are deficiencies in our disclosure controls and procedures or internal control over financial reporting, we may be unable to accurately present our financial statements, which could materially and adversely affect us.</w:t>
      </w:r>
    </w:p>
    <w:p>
      <w:pPr>
        <w:spacing w:after="0" w:line="12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a publicly traded company, we are required to report our financial statements on a consolidated basis. Effective internal controls are necessary for us to accurately report our financial results. Section 404 of the Sarbanes-Oxley Act will require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through December 31, 2024 (the last day of the fiscal year following the fifth anniversary of the IPO).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spacing w:after="0" w:line="17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unanticipated expenditures that materially and adversely affect us.</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developments or renovations, or that additional regulations will not be adopted that increase such delays or result in additional costs. Additionally, failure to comply with any of these requirements could result in the imposition of fines by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spacing w:after="0" w:line="187"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We have in the past and may in the future choose to acquire properties or portfolios of properties through tax deferred contribution transactions, which could result in stockholder dilution and limit our ability to sell such assets.</w:t>
      </w:r>
    </w:p>
    <w:p>
      <w:pPr>
        <w:spacing w:after="0" w:line="12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in the past acquired, and may in the future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 with CTO and Our Manager and the Management Agreement</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b w:val="1"/>
          <w:bCs w:val="1"/>
          <w:i w:val="1"/>
          <w:iCs w:val="1"/>
          <w:color w:val="auto"/>
        </w:rPr>
        <w:t>We have no employees and are entirely dependent upon our Manager for all the services we require, and we cannot assure you that our Manager will allocate the resources necessary to meet our business objectives.</w:t>
      </w:r>
    </w:p>
    <w:p>
      <w:pPr>
        <w:spacing w:after="0" w:line="12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Because we are “externally managed,” we do not employ our own personnel, but instead depend upon CTO, our Manager and their affiliates for virtually all of the services we require. Our Manager selects and manages the acquisition of properties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CTO may be unable to obtain or retain the executive officers and other personnel that it provides to us through our Manager.</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Matthew M. Partridge, Senior Vice President, Chief Financial Officer and Treasurer of our company and CTO; Steven R. Greathouse, Senior Vice President and Chief Investment Officer of our company and CTO; and Daniel E. Smith, Senior Vice President, General Counsel and Corporate Secretary of our company and CTO. In addition to these executive officers, we also rely on other personnel of CTO that are provided to us through our Manager. We cannot guarantee that all, or any particular one of these 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spacing w:after="0" w:line="17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pay substantial fees and expenses to our Manager. These payments increase the risk that you will not earn a profit on your investment.</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spacing w:after="0" w:line="184"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incentive fee payable to our Manager pursuant to the Management Agreement may cause our Manager to select investments in more risky assets to increase its incentive compensation.</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common stock and our ability to make distributions to our stockholders.</w:t>
      </w:r>
    </w:p>
    <w:p>
      <w:pPr>
        <w:spacing w:after="0" w:line="19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There are conflicts of interest in our relationships with our Manager, which could result in outcomes that are not in our best interests.</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spacing w:after="0" w:line="17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addition to our initial portfolio, we have in the past acquired and may in the future acquire or sell properties that would potentially fit the investment criteria for CTO or its affiliates. Similarly, CTO or its affiliates may acquire or sell properties that would potentially fit our investment criteria. Although such acquisitions or dispositions could present conflicts of interest, we nonetheless may pursue and consummate such transactions. Additionally, we may engage in transactions directly with CTO, our Manager or their affiliates. If we acquire a property from CTO or one of its affiliates or sell a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 equity securities at dilutive prices, the market price of our common stock may be adversely affected, and you could lose some or all of your investment in our common stock.</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ability to achieve our objectives depends on, among other things, our Manager’s ability to identify, acquire and lease properties that meet our investment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common stock.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with and pursuant to the Management Agreement, except those resulting from acts constituting gross negligence, willful misconduct, bad faith or reckless disregard of our Manager’s duties under the Management Agreement.</w:t>
      </w:r>
    </w:p>
    <w:p>
      <w:pPr>
        <w:spacing w:after="0" w:line="16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Termination of the Management Agreement could be difficult and costly, including as a result of payment of termination fees to our Manager, and may cause us to be unable to execute our business plan, which could materially and adversely affect us.</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 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ROFO Agreement with CTO, as discussed further herein. As a result of termination of the ROFO Agreement, we would face increased competition from CTO and its affiliates, as well as others, for the acquisition of properties that meet our investment criteria, and our right to</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acquire certain properties from CTO and its affiliates would be terminated. As a result, the termination of the Management Agreement could materially and adversely affect us.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our Manager ceases to be our manager pursuant to the Management Agreement, counterparties to our agreements may cease doing business with us.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spacing w:after="0" w:line="188"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b w:val="1"/>
          <w:bCs w:val="1"/>
          <w:i w:val="1"/>
          <w:iCs w:val="1"/>
          <w:color w:val="auto"/>
        </w:rPr>
        <w:t>The Management Agreement with our Manager and the ROFO Agreement with CTO were not negotiated on an arm’s-length basis and may not be as favorable to us as if they had been negotiated with unaffiliated third parties.</w:t>
      </w:r>
    </w:p>
    <w:p>
      <w:pPr>
        <w:spacing w:after="0" w:line="12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Management Agreement with our Manager and the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ROFO Agreement because of our desire to maintain our ongoing relationships with our Manager and CTO.</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Financing Activities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growth depends on external sources of capital, including debt financings, that are outside of our control and may not be available to us on commercially reasonable terms or at all.</w:t>
      </w:r>
    </w:p>
    <w:p>
      <w:pPr>
        <w:spacing w:after="0" w:line="17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order to maintain our qualification as a REIT under the Code, we are required,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p>
      <w:pPr>
        <w:spacing w:after="0" w:line="178"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debt levels;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current and expected future earnings;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cash flow and cash distributions;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per share of our common stock.</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spacing w:after="0" w:line="18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Our organizational documents have no limitation on the amount of additional indebtedness that we may incur in the future. As a result, we may become highly leveraged in the future, which could materially and adversely affect us.</w:t>
      </w:r>
    </w:p>
    <w:p>
      <w:pPr>
        <w:spacing w:after="0" w:line="100"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have entered into certain debt agreements and, in the future, we may incur additional indebtedness to finance future acquisitions and development, redevelopment and renovation projects and for general corporate purposes. There are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no restrictions in our charter or bylaws that limit the amount or percentage of indebtedness that we may incur nor restrict the form in which our indebtedness will be incurred (including recourse or non-recourse debt or cross-collateralized debt).</w:t>
      </w:r>
    </w:p>
    <w:p>
      <w:pPr>
        <w:spacing w:after="0" w:line="124"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 substantial level of indebtedness in the future could have adverse consequences for our business and otherwise materially and adversely affect us because it could, among other things:</w:t>
      </w:r>
    </w:p>
    <w:p>
      <w:pPr>
        <w:spacing w:after="0" w:line="170" w:lineRule="exact"/>
        <w:rPr>
          <w:sz w:val="20"/>
          <w:szCs w:val="20"/>
          <w:color w:val="auto"/>
        </w:rPr>
      </w:pPr>
    </w:p>
    <w:p>
      <w:pPr>
        <w:jc w:val="both"/>
        <w:ind w:left="720" w:right="79" w:hanging="319"/>
        <w:spacing w:after="0" w:line="269"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as currently contemplated or necessary to satisfy the requirements for qualification as a REIT;</w:t>
      </w:r>
    </w:p>
    <w:p>
      <w:pPr>
        <w:spacing w:after="0" w:line="1"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 and limit our flexibility in planning for, or reacting to, changes in our business and our industry;</w:t>
      </w: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borrow additional funds or refinance indebtedness on favorable terms or at all to expand our business or ease liquidity constraints; and</w:t>
      </w: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place us at a competitive disadvantage relative to competitors that have less indebtedness.</w:t>
      </w:r>
    </w:p>
    <w:p>
      <w:pPr>
        <w:spacing w:after="0" w:line="211"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b w:val="1"/>
          <w:bCs w:val="1"/>
          <w:i w:val="1"/>
          <w:iCs w:val="1"/>
          <w:color w:val="auto"/>
        </w:rPr>
        <w:t>The agreements governing our indebtedness are likely to place restrictions on us and our subsidiaries, reducing our operational flexibility and creating risks associated with default and noncompliance.</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agreements governing the Credit Facility and any other indebtedness that we may incur in the future contain or may contain covenants that place restrictions on us and our subsidiaries. These covenants may restrict, among other activities, our and our subsidiaries’ ability to:</w:t>
      </w:r>
    </w:p>
    <w:p>
      <w:pPr>
        <w:spacing w:after="0" w:line="184"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or our subsidiaries’ assets;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transfer, pledge or encumber our stock or the ownership interests of our subsidiaries;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 or issue preferred stock;</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expenditures, including capital expenditures;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repurchase our capital stock;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1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Mortgage debt obligations expose us to the possibility of foreclosure, which could result in the loss of our investment in any property subject to mortgage debt.</w:t>
      </w:r>
    </w:p>
    <w:p>
      <w:pPr>
        <w:spacing w:after="0" w:line="170"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assume or incur new mortgage indebtedness on our properties. Any default under any mortgage debt obligation we incur may increase the risk of our default on our other indebtedness, including indebtedness under our anticipated revolving credit facility, which could materially and adversely affect us.</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Increases in interest rates have and will likely continue to increase our interest costs on our variable rate debt and could adversely impact our ability to refinance existing debt or sell assets.</w:t>
      </w:r>
    </w:p>
    <w:p>
      <w:pPr>
        <w:spacing w:after="0" w:line="170" w:lineRule="exact"/>
        <w:rPr>
          <w:sz w:val="20"/>
          <w:szCs w:val="20"/>
          <w:color w:val="auto"/>
        </w:rPr>
      </w:pPr>
    </w:p>
    <w:p>
      <w:pPr>
        <w:jc w:val="both"/>
        <w:ind w:left="60" w:right="79" w:firstLine="324"/>
        <w:spacing w:after="0" w:line="273" w:lineRule="auto"/>
        <w:rPr>
          <w:sz w:val="20"/>
          <w:szCs w:val="20"/>
          <w:color w:val="auto"/>
        </w:rPr>
      </w:pPr>
      <w:r>
        <w:rPr>
          <w:rFonts w:ascii="Arial" w:cs="Arial" w:eastAsia="Arial" w:hAnsi="Arial"/>
          <w:sz w:val="17"/>
          <w:szCs w:val="17"/>
          <w:color w:val="auto"/>
        </w:rPr>
        <w:t>Current and future borrowings under our revolving credit facility will bear interest at variable rates. Recent increases in interest rates have increased our interest payments and reduced our cash flow available for other corporate purposes, and we expect this trend to continue in the near term. In addition, rising interest rates could limit our ability to refinance debt when it matures and increase interest costs on any debt that is refinanced. Further, an increase in interest rates could increase the cost of financing, thereby decreasing the amount third parties are willing to pay for our properties, which would limit our ability to dispose of properties when necessary or desired.</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addition, we may enter into hedging arrangements in the future. Our hedging arrangements may include interest rate swaps, caps, floors and other interest rate hedging contracts. Our hedging arrangements could reduce, but may not eliminate, the impact of rising interest rates, and they could expose us to the risk that other parties to our hedging arrangements will not perform or that the agreements relating to our hedges may not be enforceable.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planned discontinuation of LIBOR may affect our financial results.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ICE Benchmark Administration (“IBA”), the administrator of LIBOR, ceased publication of USD LIBOR on December 31, 2021 for the one week and two month USD LIBOR tenors, and intends to cease publishing the remaining USD LIBOR tenors on June 30, 2023. The Alternative Reference Rates Committee of the Federal Reserve Board (the “ARRC”) has formally recommended the Secured Overnight Financing Rate, or SOFR, as its preferred alternative replacement rate for LIBOR. There are significant differences between LIBOR and SOFR, such as LIBOR being an unsecured lending rate versus SOFR which is a secured lending rate, and SOFR being an overnight rate versus LIBOR which reflects term rates at different maturities. These and other differences create the potential for basis risk between the two rates. The impact of any basis risk between LIBOR and SOFR may negatively affect our operating results. Any of these alternative methods may result in interest rates that are higher than if LIBOR were available in its current form, which could have a material adverse effect on our results.</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It is uncertain at this time if the remaining tenors of USD LIBOR will cease to exist prior to June 30, 2023, or whether additional reforms to LIBOR may be enacted, or whether alternative reference rates such as SOFR will gain market acceptance as a replacement for LIBOR. Although SOFR is the ARRC’s recommended replacement rate, whether or not SOFR attains market traction as a LIBOR replacement tool remains in question. In addition, although certain of our LIBOR based obligations provide for alternative methods of calculating the interest rate payable on certain of our obligations if LIBOR is not reported, which include requesting certain rates from major reference banks in London or New York, or alternatively using LIBOR for the immediately preceding interest period or using the initial interest rate, as applicable, uncertainty as to the extent and manner of future changes may result in interest rates and/or payments that are higher than, lower than or that do not otherwise correlate over time with the interest rates and/or payments that would have been made on our obligations if LIBOR rate was available in its current form. The Company converted from LIBOR to SOFR during the year ended December 31, 2022.</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direct operations, and we will rely on funds received from the Operating Partnership to pay our obligations and make distributions to our stockholders.</w:t>
      </w:r>
    </w:p>
    <w:p>
      <w:pPr>
        <w:spacing w:after="0" w:line="17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are a holding company and will conduct substantially all of our operations through the Operating Partnership. We will not have, apart from an interest in the Operating Partnership, any independent operations. As a result, we will rely on distributions from the Operating Partnership to make any distributions we declare on shares of our common stock. We will also rely on distributions from the Operating Partnership to meet any of our obligations, including any tax liability on taxable income allocated to us from the Operating Partnership. In addition, because we are a holding company, your claims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we owned 88.7% of the OP Units issued by the Operating Partnership. However, in connection with our future acquisition activities or otherwise, we may issue additional OP Units to third parties. Such issuances would reduce our ownership in the Operating Partnership.</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Certain provisions of Maryland law could inhibit changes in control of our company.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common stock with the opportunity to realize a premium over the then-prevailing market price of our common stock.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Certain provisions in the partnership agreement of the Operating Partnership may delay, defer or prevent unsolicited acquisitions of us.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187"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redemption rights of qualifying parties;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restrictions on OP Units;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of the limited partners to consent to transfers of the general partnership interest and mergers or other transactions involving us under specified circumstances.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partnership agreement of the Operating Partnership and Delaware law also contain other provisions that may delay, defer or prevent a transaction or a change of control that might involve a premium price for our common stock or that our stockholders otherwise believe to be in their best interest.</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charter contains stock ownership limits, which may delay, defer or prevent a change of control.</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order for us to maintain our qualification as a REIT for each taxable year,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The Board may change our strategies, policies or procedures without stockholder consent, which may subject us to different and more significant risks in the future.</w:t>
      </w:r>
    </w:p>
    <w:p>
      <w:pPr>
        <w:spacing w:after="0" w:line="17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of directors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 Board may change our policies with respect to conflicts of interest, provided that such changes are consistent with applicable legal requirements.</w:t>
      </w:r>
    </w:p>
    <w:p>
      <w:pPr>
        <w:spacing w:after="0" w:line="19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have assumed unknown liabilities in connection with the Formation Transactions, which, if significant, could materially and adversely affect us.</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spacing w:after="0" w:line="177"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Conflicts of interest exist or could arise in the future between the interests of our stockholders and the interests of holders of Operating Partnership units, which may impede business decisions that could benefit our stockholders.</w:t>
      </w:r>
    </w:p>
    <w:p>
      <w:pPr>
        <w:spacing w:after="0" w:line="10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PINE GP,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 with the duties of our directors and executive officers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p>
      <w:pPr>
        <w:spacing w:after="0" w:line="188" w:lineRule="exact"/>
        <w:rPr>
          <w:sz w:val="20"/>
          <w:szCs w:val="20"/>
          <w:color w:val="auto"/>
        </w:rPr>
      </w:pPr>
    </w:p>
    <w:p>
      <w:pPr>
        <w:ind w:left="720" w:right="79" w:hanging="319"/>
        <w:spacing w:after="0" w:line="258"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act or omission of the indemnitee was material to the matter giving rise to the proceeding and either was committed in bad faith or was the result of active and deliberate dishonesty;</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indemnitee actually received an improper personal benefit in money, property or services; or</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any criminal proceeding, the indemnitee had reasonable cause to believe that the act or omission was unlawful.</w:t>
      </w:r>
    </w:p>
    <w:p>
      <w:pPr>
        <w:spacing w:after="0" w:line="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spacing w:after="0" w:line="193"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spacing w:after="0" w:line="184"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Operating Partnership has in the past and may in the future issue additional OP Units without the consent of our stockholders, which could have a dilutive effect on our stockholders.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Operating Partnership has in the past and may in the future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 of (i) the last day of the fiscal year during which our total annual gross revenue equals or exceeds $1.235 billion (subject to adjustment for inflation), (ii) December 31, 2024 (the last day of the fiscal year following the fifth anniversary of the IPO); (iii) the date on which we have, during the previous three-year period, issued more than $1 billion in non-convertible debt securities and (iv) the date on which we are deemed to be a “large accelerated filer” under the Exchange Act.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 attestation report by our auditor would require additional procedures by them that could detect problems with our internal control over financial reporting that are not detected by management. If our system of internal control over financial reporting is not determined to be appropriately designed or operating effectively, it could require us to restate financial statements, cause us to fail to meet reporting obligations and cause investors to lose confidence in our reported financial information, all of which could lead to a significant decline in the market price of our common stock. The JOBS Act also provides that an “emerging growth company” can take advantage of the extended transition period provided in the Securities Act of 1933, as amended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3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also a “smaller reporting company” as defined in Regulation S-K under the Securities Act and may take advantage of certain of the scaled disclosures available to smaller reporting companies. We may be a smaller reporting company even after we are no longer an “emerging growth company.”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cannot predict if investors will find our common stock less attractive because we intend to rely on certain of these exemptions and benefits under the JOBS Act. If some investors find our common stock less attractive as a result, there may be a less active, liquid and/or orderly trading market for our common stock and the market price and trading volume of our common stock may be more volatile and decline significantly.</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have incurred new costs as a result of becoming a public company, and such costs may increase when we cease to be an “emerging growth company.”</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a public company, we incur significant legal, accounting, insurance and other expenses, including costs associated with public company reporting requirements.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although we are currently unable to estimate theses costs with any degree of certainty. We could be an emerging growth company for up to five years, although circumstances could cause us to lose that status earlier, which could result in our incurring additional costs applicable to public companies that are not emerging growth companies.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Qualification and Operation as a REIT</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Failure to remain qualified as a REIT would cause us to be taxed as a regular corporation, which would substantially reduce funds available for distributions to our stockholders.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believe that our organization and method of operation have enabled us to meet the requirements for qualification and taxation as a REIT and we intend to continue to be organized and operate in such a manner. However, we cannot assure you that we will remain qualified as a REIT. Moreover, our qualification and taxation as a REIT depend upon our ability to meet on a continuing basis, through actual annual operating results, certain qualification tests set forth in the U.S.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federal income tax laws. Accordingly, no assurance can be given that our actual results of operations for any particular taxable year will satisfy such requirements.</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If we fail to qualify as a REIT in any taxable year, we will face serious tax consequences that will substantially reduce the funds available for distributions to our stockholders because:</w:t>
      </w:r>
    </w:p>
    <w:p>
      <w:pPr>
        <w:spacing w:after="0" w:line="170" w:lineRule="exact"/>
        <w:rPr>
          <w:sz w:val="20"/>
          <w:szCs w:val="20"/>
          <w:color w:val="auto"/>
        </w:rPr>
      </w:pPr>
    </w:p>
    <w:p>
      <w:pPr>
        <w:ind w:left="720" w:right="79" w:hanging="319"/>
        <w:spacing w:after="0" w:line="258"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would not be allowed a deduction for dividends paid to stockholders in computing our taxable income and would be subject to U.S. federal income tax at regular corporate rates;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subject to increased state and local taxes;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unless we are entitled to relief under certain U.S. federal income tax laws, we could not re-elect REIT status until the fifth calendar year after the year in which we failed to qualify as a REIT.</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common stock.</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could reduce our cash flows and negatively impact our results of operations and financial condition.</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partnership audit procedures, the Operating Partnership and any other partnership that we may form or acquire may be liable at the entity level for tax imposed under those procedures. Further, any taxable REIT subsidiaries (“TRSs”) that we may form in the 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common stock.</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Failure to make required distributions would subject us to U.S. federal corporate income tax.</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 or liquidate otherwise attractive investments.</w:t>
      </w:r>
    </w:p>
    <w:p>
      <w:pPr>
        <w:spacing w:after="0" w:line="170"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spacing w:after="0" w:line="15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of any one issuer. In addition, in general, no more than 5% of the value of our assets (other than government securities, securities of TRSs and qualified real estate assets) can consist of the securities of any one issuer, no more than 20%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spacing w:after="0" w:line="16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relative lack of experience of our Manager in operating under the constraints imposed on us as a REIT may hinder the achievement of our investment objectives.</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Code imposes numerous constraints on the operations of REITs that do not apply to other investment vehicles. Our qualification as a REIT depends upon our ability to meet requirements regarding our organization and ownership, distributions of our income, the nature and diversification of our income and assets and other tests imposed by the Code. Any failure to comply could cause us to fail to satisfy the requirements associated with qualifying for and maintaining REIT status. Our Manager has relatively limited experience operating under these constraints, which may hinder our ability to take advantage of attractive investment opportunities and to achieve our investment objectives. As a result, we cannot assure you that our Manager will be able to operate our business under these constraints. If we fail to qualify as a REIT for any taxable year, we will be subject to U.S. federal income tax on our taxable income at corporate rates. In addition, we would generally be disqualified from treatment as a REIT for the four taxable years following the year of losing our REIT status. Losing our REIT status would reduce our net earnings available for investment or distribution to stockholders because of the additional tax liability. In addition, distributions to stockholders would no longer qualify for the dividends paid deduction, and we would no longer be required to make distributions. If this occurs, we might be required to borrow funds or liquidate some investments in order to pay the applicable tax.</w:t>
      </w:r>
    </w:p>
    <w:p>
      <w:pPr>
        <w:spacing w:after="0" w:line="17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Complying with REIT requirements may limit our ability to hedge our liabilities effectively and may cause us to incur tax liabilities.</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of the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want to bear. In addition, losses in a TRS generally will not provide any tax benefit, except for being carried forward against future taxable income of such TRS.</w:t>
      </w:r>
    </w:p>
    <w:p>
      <w:pPr>
        <w:spacing w:after="0" w:line="16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Our ability to provide certain services to our tenants may be limited by the REIT rules or may have to be provided through a TRS.</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prohibited transactions tax may limit our ability to dispose of our properties.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which would be subject to U.S. federal corporate income tax.</w:t>
      </w:r>
    </w:p>
    <w:p>
      <w:pPr>
        <w:spacing w:after="0" w:line="178" w:lineRule="exact"/>
        <w:rPr>
          <w:sz w:val="20"/>
          <w:szCs w:val="20"/>
          <w:color w:val="auto"/>
        </w:rPr>
      </w:pPr>
    </w:p>
    <w:p>
      <w:pPr>
        <w:jc w:val="both"/>
        <w:ind w:left="60" w:right="59" w:firstLine="324"/>
        <w:spacing w:after="0" w:line="381" w:lineRule="auto"/>
        <w:rPr>
          <w:sz w:val="20"/>
          <w:szCs w:val="20"/>
          <w:color w:val="auto"/>
        </w:rPr>
      </w:pPr>
      <w:r>
        <w:rPr>
          <w:rFonts w:ascii="Arial" w:cs="Arial" w:eastAsia="Arial" w:hAnsi="Arial"/>
          <w:sz w:val="15"/>
          <w:szCs w:val="15"/>
          <w:b w:val="1"/>
          <w:bCs w:val="1"/>
          <w:i w:val="1"/>
          <w:iCs w:val="1"/>
          <w:color w:val="auto"/>
        </w:rPr>
        <w:t>We may pay taxable dividends in our common stock and cash, in which case stockholders may sell shares of our common stock to pay tax on such dividends, placing downward pressure on the market price of our common stock.</w:t>
      </w:r>
    </w:p>
    <w:p>
      <w:pPr>
        <w:spacing w:after="0" w:line="100"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may satisfy the 90% distribution test with taxable distributions of our common stock. The Internal Revenue Service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If we made a taxable dividend payable in cash and common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common stock that it receives as a dividend in order to pay this tax, the sales proceeds may be less than the amount included in income with respect to the dividend, depending on the market price of our common stock at the time of the sale. Furthermore, with respect to certain non-U.S. stockholders, we may be required to withhold U.S. federal income tax with respect to such dividends, including in respect of all or a portion of such dividend that is payable in common stock. If we made a taxable dividend payable in cash and our common stock and a significant number of our stockholders determine to sell shares of our common stock in order to pay taxes owed on dividends, it may put downward pressure on the trading price of our common stock. We do not currently intend to pay taxable dividends using both our common stock and cash, although we may choose to do so in the future.</w:t>
      </w:r>
    </w:p>
    <w:p>
      <w:pPr>
        <w:spacing w:after="0" w:line="17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ability of the Board to revoke our REIT qualification without stockholder approval may cause adverse consequences to our stockholders.</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Any ownership of a TRS we may form in the future will be subject to limitations and our transactions with a TRS will cause us to be subject to a 100% penalty tax on certain income or deductions if those transactions are not conducted on arm’s-length terms.</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Overall, no more than 20%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 value of our respective investments in any TRS that we may form for the purpose of ensuring compliance with TRS ownership limitations and will structure our transactions with any TRS on terms that we believe are arm’s length to avoid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incurring the 100% excise tax described above. There can be no assurance, however, that we will be able to comply with the 20% limitation or to avoid application of the 100% excise tax.</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You may be restricted from acquiring or transferring certain amounts of our common stock.</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stock ownership restrictions of the Code for REITs and the 9.8% share ownership limit in our charter may inhibit market activity in our capital stock and restrict our business combination opportunities.</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order for us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To help ensure that we meet these tests, our charter restricts the acquisition and ownership of shares of our capital stock.</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available for some dividends.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for taxable years beginning before January 1, 2026,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stock.</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We may be subject to adverse legislative or regulatory tax changes, in each instance with potentially retroactive effect, that could reduce the market price of our common stock.</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common and preferred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the Operating Partnership failed to qualify as a partnership for U.S. federal income tax purposes, we would cease to qualify as a REIT and suffer other adverse consequences.</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The market value of our common stock is subject to various factors that may cause significant fluctuations or volatility.</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with other publicly traded securities, the market price of our common stock depends on various factors, which may change from time to time and/or may be unrelated to our financial condition, results of operations or cash flows. These factors may cause significant fluctuations or volatility in the market price of our common stock. These factors include, but are likely not limited to, the following:</w:t>
      </w:r>
    </w:p>
    <w:p>
      <w:pPr>
        <w:spacing w:after="0" w:line="187" w:lineRule="exact"/>
        <w:rPr>
          <w:sz w:val="20"/>
          <w:szCs w:val="20"/>
          <w:color w:val="auto"/>
        </w:rPr>
      </w:pPr>
    </w:p>
    <w:p>
      <w:pPr>
        <w:ind w:left="720" w:right="79" w:hanging="319"/>
        <w:spacing w:after="0" w:line="25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condition and operating performance and the financial condition or performance of other similar companies;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differences in our quarterly or annual operating results than expected;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revenues, Funds From Operations (“FFO”), Adjusted Funds From Operations (“AFFO”), or earnings estimates or recommendations by securities analysts;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generally;</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market interest rates, which may lead investors to demand a higher distribution yield for shares of our common stock, and could result in increased interest expense on our debt;</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and our tenants’ businesses or prospects, including as a result of the impact of a global pandemic, such as the COVID-19 Pandemic;</w:t>
      </w: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current state of the credit and capital markets, and our ability and the ability of our tenants to obtain financing on favorable terms;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conflicts of interest with CTO and its affiliates, including our Manager;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termination of our Manager or additions and departures of key personnel of our Manager;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in our markets;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or growth strategies;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or our industry;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speculation in the press or investment community;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of investor interest in our securities;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general reputation of REITs and the attractiveness of our equity securities in comparison to other equity securities, including securities issued by other real estate-based companies;</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confidence in the stock and bond markets, generally;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issuances by us (including the issuances of OP Units), or common stock resales by our stockholders, or the perception that such issuances or resales may occur;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volume of average daily trading and the amount of our common stock available to be traded;</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our qualification as a REIT;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the rules of the NYSE or maintain the listing of our common stock on the NYSE;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terrorist acts, natural or man-made disasters, including global pandemics impacting the United States, or threatened or actual armed conflicts; and</w:t>
      </w:r>
    </w:p>
    <w:p>
      <w:pPr>
        <w:ind w:left="720" w:right="79" w:hanging="319"/>
        <w:spacing w:after="0" w:line="26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and local, regional and national economic conditions, including factors unrelated to our operating performance and prospects.</w:t>
      </w:r>
    </w:p>
    <w:p>
      <w:pPr>
        <w:spacing w:after="0" w:line="18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be able to make or maintain cash distributions, and certain agreements relating to our indebtedness may, under certain circumstances, limit or eliminate our ability to make distributions to our common stockholders.</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common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spacing w:after="0" w:line="16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common stock.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market price of our common stock could be adversely affected by our level of cash distributions.</w:t>
      </w:r>
    </w:p>
    <w:p>
      <w:pPr>
        <w:spacing w:after="0" w:line="23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Increases in market interest rates may result in a decline in the market price of our common stock.</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One of the factors that we believe influences the market price of our common stock is the distribution yield on the common stock (as a percentage of the market price of our common stock) relative to market interest rates. Additional increases in market interest rates, which have increased recently but are still currently at low levels relative to certain historical rates, may lead prospective purchasers of shares of our common stock to expect a higher distribution yield.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Additionally, higher interest rates have in the past and are expected to continue to increase our borrowing costs and potentially decrease our cash available for distribution. Thus, higher market interest rates could cause the market price of our common stock to decline.</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Future issuances of debt securities, which would rank senior to shares of our common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spacing w:after="0" w:line="18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or the perception that they might occur, could reduce the price of our common stock and may dilute the voting power of our then-existing common stockholders and such common stockholders’ ownership interest in us.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Sales of substantial amounts of our common stock in the public market, or the perception that such sales could occur, could adversely affect the market price of our common stock and may make it more difficult for our then-existing common stockholders to sell their shares of common stock at a time and price that such common stockholders deem appropriate.</w:t>
      </w:r>
    </w:p>
    <w:p>
      <w:pPr>
        <w:spacing w:after="0" w:line="14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shares of our common stock that we sold in the IPO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agreement that we entered into with CTO, the shares of our common stock purchased by CTO in the CTO Private Placement may be eligible for future sale without restriction. Sales of a substantial number of such shares, or the perception that such sales may occur, could cause the market price of our common stock to fall or make it more difficult for our then-existing common stockholders to sell their common stock at a time and price that such common stockholders deem appropriate.</w:t>
      </w:r>
    </w:p>
    <w:p>
      <w:pPr>
        <w:spacing w:after="0" w:line="16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addition, our charter provides that we may issue up to 500,000,000 shares of common stock and 100,000,000 shares of preferred stock, $0.01 par value per share. Moreover, under Maryland law and as is provided in our charter, a majority of our entire board of directors will have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materially and adversely impact or disrupt our tenant’s business operations and as a result adversely impact our financial condition, results of operations, cash flows and performance.</w:t>
      </w:r>
    </w:p>
    <w:p>
      <w:pPr>
        <w:spacing w:after="0" w:line="18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Since late December 2019, the COVID-19 Pandemic has spread globally, including every state in the United States. The COVID-19 Pandemic has had, and other future pandemics could have, repercussions across regional and global economies and financial markets. The outbreak of COVID-19 Pandemic and its variants have significantly adversely impacted global economic activity and produced significant volatility in the global financial markets. The global impact of the outbreak rapidly evolved and, as cases of COVID-19 have continued to be identified in additional countries, many countries, including the United States, reacted by instituting quarantines, mandating business and school closures and restricting travel.</w:t>
      </w:r>
    </w:p>
    <w:p>
      <w:pPr>
        <w:spacing w:after="0" w:line="19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Certain states and cities, including where we own properties, also reacted by instituting quarantines, restrictions on travel, “shelter at home” rules, and importantly, restrictions on the types of business that may continue to operate or requiring others to shut down completely. Additional states and cities may implement similar restrictions. As a result, the COVID-19 Pandemic has negatively impacted most every industry directly or indirectly. A number of our tenants have announced temporary closures of their stores and requested deferral, or in some instances, rent abatement while the pandemic remains. The COVID-19 Pandemic, or a future pandemic, could have material and adverse effects on our ability to successfully operate our business and as a result our financial condition, results of operations and cash flows due to, among other factors:</w:t>
      </w:r>
    </w:p>
    <w:p>
      <w:pPr>
        <w:spacing w:after="0" w:line="192" w:lineRule="exact"/>
        <w:rPr>
          <w:sz w:val="20"/>
          <w:szCs w:val="20"/>
          <w:color w:val="auto"/>
        </w:rPr>
      </w:pPr>
    </w:p>
    <w:p>
      <w:pPr>
        <w:ind w:left="720" w:right="79" w:hanging="319"/>
        <w:spacing w:after="0" w:line="25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properties resulting from government or tenant action;</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reduced economic activity severely impacts our tenants' businesses, financial condition and liquidity and may cause one or more of our tenants to be unable to meet their obligations to us in full, or at all, or to otherwise seek modifications of such obligations;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reduced economic activity could result in a recession, which could negatively impact consumer discretionary spending;</w:t>
      </w: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on a timely basis;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general decline in business activity and demand for real estate transactions could adversely affect our ability or desire to grow our portfolio of properties;</w:t>
      </w: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deterioration in our or our tenants’ ability to operate in affected areas or delays in the supply of products or services to us or our tenants from vendors that are needed for our or our tenants' efficient operations could adversely affect our operations and those of our tenants; and</w:t>
      </w:r>
    </w:p>
    <w:p>
      <w:pPr>
        <w:spacing w:after="0" w:line="1" w:lineRule="exact"/>
        <w:rPr>
          <w:rFonts w:ascii="Arial" w:cs="Arial" w:eastAsia="Arial" w:hAnsi="Arial"/>
          <w:sz w:val="18"/>
          <w:szCs w:val="18"/>
          <w:color w:val="auto"/>
        </w:rPr>
      </w:pPr>
    </w:p>
    <w:p>
      <w:pPr>
        <w:ind w:left="720" w:right="79" w:hanging="319"/>
        <w:spacing w:after="0" w:line="323" w:lineRule="auto"/>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potential negative impact on the health of our Manager’s personnel, particularly if a significant number of them are impacted, could result in a deterioration in our ability to ensure business continuity during a disruption.</w:t>
      </w:r>
    </w:p>
    <w:p>
      <w:pPr>
        <w:spacing w:after="0" w:line="13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extent to which the COVID-19 Pandemic impacts our operations, and those of our tenants, will depend on future developments, which are highly uncertain and cannot be predicted with any degree of certainty, including the scope, severity and duration of the COVID-19 Pandemic, and the impact of actions taken by governmental and health organizations to contain the COVID-19 Pandemic or mitigate its impact, and the direct and indirect economic effects of the COVID-19 Pandemic and containment measures, among others. Additional closures by our tenants of their businesses and early terminations by our tenants of their leases could reduce our cash flows, which could impact our ability to continue paying dividends to our stockholders at expected levels, or at all. The rapid onset of the COVID-19 Pandemic and the continued uncertainty of its duration and long-term impact precludes any prediction of the magnitude of the adverse impact on the U.S. economy, our tenant’s businesses and ours. Consequently, the COVID-19 Pandemic presents material uncertainty and risk with respect to our business operations, our Manager’s business, and therefore, our financial condition, results of operations, and cash flows. Further, many risk factors set forth in this Annual Report on Form 10-K for the year ended December 31, 2022, should be interpreted as heightened risks as a result of the impact of the COVID-19 Pandemic.</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Cybersecurity risks and cyber incidents could adversely affect our business and disrupt operations.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become subject to litigation, which could materially and adversely affect us.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may become subject to litigation, our operations, other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8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disclosure controls and procedures, we may not be able to meet applicable reporting requirements, which could materially and adversely affect us.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common stock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 of our common stock.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accounting standards may materially and adversely affect us.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business faces public scrutiny related to environmental, social and governance (“ESG”) activities. We risk damage to our reputation if we or affiliates of our Manager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cost of our operations and relationships with investors, all of which could adversely affect our business and results of operations. Additionally, new legislative or regulatory initiatives related to ESG could adversely affect our business.</w:t>
      </w:r>
    </w:p>
    <w:p>
      <w:pPr>
        <w:spacing w:after="0" w:line="16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6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principal offices are located at 369 N. New York Avenue., Suite 201, Winter Park, Florida 32789. Our telephone number is (407) 904-3324.</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2022, the Company owns 148 net leased retail and office buildings located in 34 states (refer to Item 1. “Business”).</w:t>
      </w:r>
    </w:p>
    <w:p>
      <w:pPr>
        <w:spacing w:after="0" w:line="16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4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spacing w:after="0" w:line="180"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REPURCHASES OF EQUITY SECURITIES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common stock trades on the NYSE under the symbol “PINE”.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As of February 2, 2023, there were 112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There were no unregistered sales of equity securities during the year ended December 31, 2022, which were not previously reported.</w:t>
      </w:r>
    </w:p>
    <w:p>
      <w:pPr>
        <w:spacing w:after="0" w:line="166"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i w:val="1"/>
          <w:iCs w:val="1"/>
          <w:color w:val="auto"/>
        </w:rPr>
        <w:t>When we refer to “we,” “us,” “our,” “PINE,” or “the Company,” we mean Alpine Income Property Trust, Inc. and its consolidated subsidiaries. References to “Notes to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spacing w:after="0" w:line="18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related notes included elsewhere 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Alpine Income Property Trust, Inc. is a Maryland corporation that conducts its operations so as to qualify as a REIT for U.S. federal income tax purposes. Substantially all of the operations are conducted through our Operating Partnership.</w:t>
      </w:r>
    </w:p>
    <w:p>
      <w:pPr>
        <w:spacing w:after="0" w:line="12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8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operating results for the year ended December 31, 2022 were in-line with our expectations and primarily driven by our investment activity of acquiring net lease properties at valuations and yields generally consistent with our target investment parameters.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During the year ended December 31, 2022, the Company acquired 51 properties for total acquisition volume of $187.4 million. During the year ended December 31, 2022, the Company sold 16 properties for an aggregate sales price of $154.6 million, generating aggregate gains on sale of $33.8 million.</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we owned 148 properties with an aggregate gross leasable area of 3.7 million square feet, located in 34 states, with a weighted average remaining lease term of 7.6 years. Our portfolio was 99% leased as of December 31,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Historical Financial Information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 summarizes our selected historical financial information for each of the last three fiscal years (in thousands, except per share and dividend data). The selected financial information has been derived from our audited consolidated financial statements.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5"/>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6"/>
                <w:szCs w:val="16"/>
                <w:color w:val="auto"/>
              </w:rPr>
            </w:pPr>
          </w:p>
        </w:tc>
        <w:tc>
          <w:tcPr>
            <w:tcW w:w="11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6"/>
                <w:szCs w:val="16"/>
                <w:color w:val="auto"/>
              </w:rPr>
            </w:pPr>
          </w:p>
        </w:tc>
      </w:tr>
      <w:tr>
        <w:trPr>
          <w:trHeight w:val="234"/>
        </w:trPr>
        <w:tc>
          <w:tcPr>
            <w:tcW w:w="4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67"/>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43,494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20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0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Income Attributable to Alpine Income Property Trust,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47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Net Income Per Share Attributable to Alpine Income Property</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Inc.</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5"/>
              </w:rPr>
              <w:t>1.02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0.820</w:t>
            </w:r>
          </w:p>
        </w:tc>
        <w:tc>
          <w:tcPr>
            <w:tcW w:w="20" w:type="dxa"/>
            <w:vAlign w:val="bottom"/>
          </w:tcPr>
          <w:p>
            <w:pPr>
              <w:spacing w:after="0"/>
              <w:rPr>
                <w:sz w:val="18"/>
                <w:szCs w:val="18"/>
                <w:color w:val="auto"/>
              </w:rPr>
            </w:pPr>
          </w:p>
        </w:tc>
      </w:tr>
      <w:tr>
        <w:trPr>
          <w:trHeight w:val="446"/>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Balance Sheet Data (in thousands):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8"/>
          </w:tcPr>
          <w:p>
            <w:pPr>
              <w:ind w:left="16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4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444,408</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Real Estate—Net</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477,054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428,989</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60,432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58,821</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21,233</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6,369</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573,431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Rent and Deferred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Intangible Lease Liabilities—Net</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20" w:type="dxa"/>
            <w:vAlign w:val="bottom"/>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1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278,056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277,612</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227,902</w:t>
            </w:r>
          </w:p>
        </w:tc>
        <w:tc>
          <w:tcPr>
            <w:tcW w:w="20" w:type="dxa"/>
            <w:vAlign w:val="bottom"/>
          </w:tcPr>
          <w:p>
            <w:pPr>
              <w:spacing w:after="0"/>
              <w:rPr>
                <w:sz w:val="18"/>
                <w:szCs w:val="18"/>
                <w:color w:val="auto"/>
              </w:rPr>
            </w:pPr>
          </w:p>
        </w:tc>
      </w:tr>
      <w:tr>
        <w:trPr>
          <w:trHeight w:val="864"/>
        </w:trPr>
        <w:tc>
          <w:tcPr>
            <w:tcW w:w="4780" w:type="dxa"/>
            <w:vAlign w:val="bottom"/>
          </w:tcPr>
          <w:p>
            <w:pPr>
              <w:ind w:left="43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303" w:lineRule="auto"/>
        <w:rPr>
          <w:sz w:val="20"/>
          <w:szCs w:val="20"/>
          <w:color w:val="auto"/>
        </w:rPr>
      </w:pPr>
      <w:r>
        <w:rPr>
          <w:rFonts w:ascii="Arial" w:cs="Arial" w:eastAsia="Arial" w:hAnsi="Arial"/>
          <w:sz w:val="16"/>
          <w:szCs w:val="16"/>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40" w:lineRule="exact"/>
        <w:rPr>
          <w:sz w:val="20"/>
          <w:szCs w:val="20"/>
          <w:color w:val="auto"/>
        </w:rPr>
      </w:pPr>
    </w:p>
    <w:p>
      <w:pPr>
        <w:jc w:val="both"/>
        <w:ind w:left="60" w:right="59" w:firstLine="324"/>
        <w:spacing w:after="0" w:line="249" w:lineRule="auto"/>
        <w:rPr>
          <w:sz w:val="20"/>
          <w:szCs w:val="20"/>
          <w:color w:val="auto"/>
        </w:rPr>
      </w:pPr>
      <w:r>
        <w:rPr>
          <w:rFonts w:ascii="Arial" w:cs="Arial" w:eastAsia="Arial" w:hAnsi="Arial"/>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81" w:lineRule="exact"/>
        <w:rPr>
          <w:sz w:val="20"/>
          <w:szCs w:val="20"/>
          <w:color w:val="auto"/>
        </w:rPr>
      </w:pPr>
    </w:p>
    <w:p>
      <w:pPr>
        <w:jc w:val="both"/>
        <w:ind w:left="60" w:right="59" w:firstLine="324"/>
        <w:spacing w:after="0" w:line="276"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GAAP net income or loss adjusted to exclude extraordinary items (as defined by GAAP), net gain or loss from sales of depreciable real estate assets, impairment write-downs associated with depreciable real estate assets and real estate related depreciation and amortization, including the pro rata share of such adjustments of unconsolidated subsidiaries. To derive AFFO, we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6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Reconciliation of Non-GAAP Measures (in thousands, except share data):</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8"/>
              </w:rPr>
              <w:t>Year Ended</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9,949</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Disposition of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(33,801)</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(9,675)</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2"/>
        </w:trPr>
        <w:tc>
          <w:tcPr>
            <w:tcW w:w="43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Amortization of Intangible Assets and Liabilities to</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Income</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0"/>
                <w:szCs w:val="20"/>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Straight-Line Rent Adjustment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Rent Repayments (Deferrals)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r>
      <w:tr>
        <w:trPr>
          <w:trHeight w:val="202"/>
        </w:trPr>
        <w:tc>
          <w:tcPr>
            <w:tcW w:w="43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Amortization of Deferred Financing Costs to Interest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0"/>
                <w:szCs w:val="20"/>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Other Non-Cash Expense (Income)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Capital Expenditures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4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24,236</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17,904</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20" w:type="dxa"/>
            <w:vAlign w:val="bottom"/>
          </w:tcPr>
          <w:p>
            <w:pPr>
              <w:spacing w:after="0"/>
              <w:rPr>
                <w:sz w:val="21"/>
                <w:szCs w:val="21"/>
                <w:color w:val="auto"/>
              </w:rPr>
            </w:pPr>
          </w:p>
        </w:tc>
      </w:tr>
      <w:tr>
        <w:trPr>
          <w:trHeight w:val="197"/>
        </w:trPr>
        <w:tc>
          <w:tcPr>
            <w:tcW w:w="4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11,976,001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9,781,066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7,588,349</w:t>
            </w:r>
          </w:p>
        </w:tc>
        <w:tc>
          <w:tcPr>
            <w:tcW w:w="20" w:type="dxa"/>
            <w:vAlign w:val="bottom"/>
          </w:tcPr>
          <w:p>
            <w:pPr>
              <w:spacing w:after="0"/>
              <w:rPr>
                <w:sz w:val="18"/>
                <w:szCs w:val="18"/>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13,679,495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11,246,227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8,812,203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Other Data (in thousands, except per share data):</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FFO</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23,718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AFFO per Diluted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year ended December 31, 2022, as compared to the year ended December 31, 2021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58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20"/>
                <w:szCs w:val="20"/>
                <w:color w:val="auto"/>
              </w:rPr>
            </w:pPr>
          </w:p>
        </w:tc>
        <w:tc>
          <w:tcPr>
            <w:tcW w:w="6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7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Variance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15,075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45,203</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15,075</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45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10,144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24,126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(100.0)%</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28,330</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22,493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w w:val="98"/>
              </w:rPr>
              <w:t>Less: Net Income Attributable to Noncontrolling Interest</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(2,737)</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(182.7)%</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 Trust,</w:t>
            </w: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19,756</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 from our property operations during the years ended December 31, 2022 and 2021 totaled $45.2 million and $30.1 million, respectively. The increase in revenues is reflective of the Company’s volume of acquisitions, offset by dispositions. The direct costs of revenues for our property operations totaled $5.4 million and $3.7 million during the years ended December 31, 2022 and 2021, respectively. The increase in the direct cost of revenues is also attributable to the Company’s expanded property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represents the Company’s general and administrative expenses for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 as compared to the year ended December 31, 2021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Variance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3"/>
              </w:rPr>
              <w:t>Variance</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0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General and administrative expenses totaled $5.8 million and $5.0 million during the years ended December 31, 2022 and 2021, respectively. The $0.8 million increase is primarily attributable to growth in the Company’s equity base, which led to an increase in management fee expense of $0.6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Depreciation and amortization expense totaled $23.5 million and $15.9 million during the years ended December 31, 2022 and 2021, respectively. The $7.6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Interest expense totaled $9.5 million and $3.7 million during the years ended December 31, 2022 and 2021, respectively. The $5.8 million increase in interest expense is attributable to the higher average outstanding debt balance during the year ended December 31, 2022 as compared to the same period in 2021, as well as increasing rates on the Company’s variable rate Credit Facility indebtedness. The overall increase in the Company’s long-term debt was primarily utilized to fund the acquisition of properties during 2022 and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Net income totaled $34.0 million and $11.5 million during the years ended December 31, 2022 and 2021, respectively. The increase in net income is attributable to the factors described above in addition to the $24.1 million increase in gain on disposition of assets during the year ended December 31, 2022. The increased gain on disposition of assets is the result of more disposition activity during the year ended December 31, 2022, with proceeds from such dispositions being reinvested into income properties through the like-kind exchange structure. The increase in gain on disposition of assets was partially offset by the $0.7 million loss on extinguishment of debt incurred during the year ended December 31, 2022, incurred as a result of the write off of unamortized loan costs in connection with the CBMS Loan defeasance and the termination of the Prior Revolving Credit Facility, as hereinafter defined in Note 9,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year ended December 31, 2021, as compared to the year ended December 31,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Variance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10,880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10,880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Disposition of Assets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3271.1%</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Net Income From Operations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12,554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10,316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Less: Net Income Attributable to Noncontrolling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(830.4%)</w:t>
            </w:r>
          </w:p>
        </w:tc>
        <w:tc>
          <w:tcPr>
            <w:tcW w:w="0" w:type="dxa"/>
            <w:vAlign w:val="bottom"/>
          </w:tcPr>
          <w:p>
            <w:pPr>
              <w:spacing w:after="0"/>
              <w:rPr>
                <w:sz w:val="1"/>
                <w:szCs w:val="1"/>
                <w:color w:val="auto"/>
              </w:rPr>
            </w:pPr>
          </w:p>
        </w:tc>
      </w:tr>
      <w:tr>
        <w:trPr>
          <w:trHeight w:val="182"/>
        </w:trPr>
        <w:tc>
          <w:tcPr>
            <w:tcW w:w="4580" w:type="dxa"/>
            <w:vAlign w:val="bottom"/>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 Trust,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9,964</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22"/>
        </w:trPr>
        <w:tc>
          <w:tcPr>
            <w:tcW w:w="4580" w:type="dxa"/>
            <w:vAlign w:val="bottom"/>
          </w:tcPr>
          <w:p>
            <w:pPr>
              <w:ind w:left="20"/>
              <w:spacing w:after="0"/>
              <w:rPr>
                <w:sz w:val="20"/>
                <w:szCs w:val="20"/>
                <w:color w:val="auto"/>
              </w:rPr>
            </w:pPr>
            <w:r>
              <w:rPr>
                <w:rFonts w:ascii="Arial" w:cs="Arial" w:eastAsia="Arial" w:hAnsi="Arial"/>
                <w:sz w:val="18"/>
                <w:szCs w:val="18"/>
                <w:color w:val="auto"/>
              </w:rPr>
              <w:t>Inc.</w:t>
            </w:r>
          </w:p>
        </w:tc>
        <w:tc>
          <w:tcPr>
            <w:tcW w:w="10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and Direct Cost of Revenues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 from our property operations during the years ended December 31, 2021 and 2020 totaled $30.1 million and $19.2 million, respectively. The increase in revenues is reflective of the Company’s volume of acquisitions. The direct costs of revenues for our property operations totaled $3.7 million and $2.3 million during the years ended December 31, 2021 and 2020, respectively. The increase in the direct cost of revenues is also attributable to the Company’s expanded property portfolio.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represents the Company’s general and administrative expenses for the year ended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 as compared to the year ended December 31,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34"/>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Variance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5"/>
              </w:rPr>
              <w:t>Variance</w:t>
            </w: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Fee to Manager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Director Stock Compensation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 &amp; Officer Insurance Expense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Additional General and Administrative Expense</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09"/>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General and administrative expenses totaled $5.0 million and $4.7 million during the years ended December 31, 2021 and 2020, respectively. The $0.4 million increase is primarily attributable to growth in the Company’s equity base, which led to an increase in management fee expense of $0.6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Depreciation and amortization expense totaled $15.9 million and $9.9 million during the years ended December 31, 2021 and 2020, respectively. The $6.0 million increase in the depreciation and amortization expense is reflective of the Company’s expanded property portfolio.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Interest expense totaled $3.7 million and $1.5 million during the years ended December 31, 2021 and 2020, respectively. The $2.2 million increase in interest expense is attributable to the higher average outstanding debt balance during the year ended December 31, 2021 as compared to the same period in 2020. The overall increase in the Company’s long-term debt was primarily utilized to fund the acquisition of properties during 2021 and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income totaled $11.5 million and $1.1 million during the years ended December 31, 2021 and 2020, respectively. The increase in net income is attributable to the factors described above in addition to the $9.7 million gain on disposition of assets during the year ended December 31, 2021, an increase of $9.4 million from the comparable prior year period.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totaled $13.0 million at December 31, 2022, including restricted cash of $4.0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is being held in an escrow account to be reinvested through the like-kind exchange structure into other income properties.</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2022, the Company had $181.8 million available on the Credit Facility.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9, “Long-Term Debt” in the notes to the consolidated financial statements in Item 8 for the Company’s disclosure related to its long-term debt balance at December 31, 2022.</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51 properties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for an aggregate purchase price of $187.4 million, as further described in Note 3 “Property Portfolio” in the notes to the consolidated financial statements in Item 8.</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year ended December 31, 2022, the Company sold 16 properties for a total sales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$154.6 million, generating aggregate gains on sale of $33.8 million, as further described in Note 3 “Property Portfolio” in the notes to the consolidated financial statements in Item 8.</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As of December 31, 2022, the Company had no commitments related to capital expenditures.</w:t>
      </w:r>
    </w:p>
    <w:p>
      <w:pPr>
        <w:spacing w:after="0" w:line="26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is contractually obligated under its various long-term debt agreements. In the aggregate, the Company is obligated under such agreements to repay $268.3 million on long-term basis, to be repaid in excess of one year, with no payments due within one year.</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$181.8 million of available capacity on the existing $250.0 million Credit Facility, based on our current borrowing base of properties, as of December 31, 2022.</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from the Credit Facility to increase our portfolio of income-producing properties, providing stabilized cash flows with strong risk-adjusted returns primarily in larger metropolitan areas and growth markets.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i w:val="1"/>
          <w:iCs w:val="1"/>
          <w:color w:val="auto"/>
        </w:rPr>
        <w:t>Purchase Accounting for Acquisitions of Real Estate Subject to a Lease</w:t>
      </w:r>
      <w:r>
        <w:rPr>
          <w:rFonts w:ascii="Arial" w:cs="Arial" w:eastAsia="Arial" w:hAnsi="Arial"/>
          <w:sz w:val="16"/>
          <w:szCs w:val="16"/>
          <w:color w:val="auto"/>
        </w:rPr>
        <w:t>. As required by GAAP,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51 properties for a combined purchase price of $187.4 million for the year ended December 31, 2022 and 68 properties for a combined purchase price of $260.3 million for the year ended December 31, 2021.</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See Note 3, “Summary of Significant Accounting Policies”, for further discussion of the Company’s accounting estimates and policies.</w:t>
      </w:r>
    </w:p>
    <w:p>
      <w:pPr>
        <w:spacing w:after="0" w:line="166"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are a smaller reporting company as defined in Rule 12b-2 under the Securities Exchange Act of 1934. As a result, pursuant to Item 305(e) of Regulation S-K, we are not required to provide the information required by this Item.</w:t>
      </w:r>
    </w:p>
    <w:p>
      <w:pPr>
        <w:spacing w:after="0" w:line="14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Company’s Consolidated Financial Statements appear beginning on page F-1 of this report. See Item 15 of this report.</w:t>
      </w:r>
    </w:p>
    <w:p>
      <w:pPr>
        <w:spacing w:after="0" w:line="166"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have been no disagreements with our accountants on accounting and financial disclosures.</w:t>
      </w:r>
    </w:p>
    <w:p>
      <w:pPr>
        <w:spacing w:after="0" w:line="2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18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spacing w:after="0" w:line="18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information required to be set forth herein will be included in the Company’s definitive proxy statement for its 2023 annual stockholders’ meeting to be filed with the SEC within 120 days after the end of the registrant’s fiscal year ended December 31, 2022 (the “Proxy Statement”), which sections are incorporated herein by reference.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spacing w:after="0" w:line="180"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pacing w:after="0" w:line="16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2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sections are incorporated herein by reference.</w:t>
      </w:r>
    </w:p>
    <w:p>
      <w:pPr>
        <w:spacing w:after="0" w:line="166"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information required to be set forth herein will be included in the Proxy Statement, which section is incorporated herein by reference.</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80" w:type="dxa"/>
            <w:vAlign w:val="bottom"/>
            <w:gridSpan w:val="6"/>
          </w:tcPr>
          <w:p>
            <w:pPr>
              <w:ind w:left="940"/>
              <w:spacing w:after="0"/>
              <w:rPr>
                <w:sz w:val="20"/>
                <w:szCs w:val="20"/>
                <w:color w:val="auto"/>
              </w:rPr>
            </w:pPr>
            <w:r>
              <w:rPr>
                <w:rFonts w:ascii="Arial" w:cs="Arial" w:eastAsia="Arial" w:hAnsi="Arial"/>
                <w:sz w:val="18"/>
                <w:szCs w:val="18"/>
                <w:b w:val="1"/>
                <w:bCs w:val="1"/>
                <w:color w:val="auto"/>
              </w:rPr>
              <w:t>PART IV</w:t>
            </w:r>
          </w:p>
        </w:tc>
        <w:tc>
          <w:tcPr>
            <w:tcW w:w="108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686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 AND FINANCIAL STATEMENT SCHEDULES</w:t>
            </w:r>
          </w:p>
        </w:tc>
        <w:tc>
          <w:tcPr>
            <w:tcW w:w="1080" w:type="dxa"/>
            <w:vAlign w:val="bottom"/>
          </w:tcPr>
          <w:p>
            <w:pPr>
              <w:spacing w:after="0"/>
              <w:rPr>
                <w:sz w:val="24"/>
                <w:szCs w:val="24"/>
                <w:color w:val="auto"/>
              </w:rPr>
            </w:pPr>
          </w:p>
        </w:tc>
      </w:tr>
      <w:tr>
        <w:trPr>
          <w:trHeight w:val="432"/>
        </w:trPr>
        <w:tc>
          <w:tcPr>
            <w:tcW w:w="7820" w:type="dxa"/>
            <w:vAlign w:val="bottom"/>
            <w:gridSpan w:val="8"/>
          </w:tcPr>
          <w:p>
            <w:pPr>
              <w:spacing w:after="0"/>
              <w:rPr>
                <w:sz w:val="20"/>
                <w:szCs w:val="20"/>
                <w:color w:val="auto"/>
              </w:rPr>
            </w:pPr>
            <w:r>
              <w:rPr>
                <w:rFonts w:ascii="Arial" w:cs="Arial" w:eastAsia="Arial" w:hAnsi="Arial"/>
                <w:sz w:val="18"/>
                <w:szCs w:val="18"/>
                <w:b w:val="1"/>
                <w:bCs w:val="1"/>
                <w:color w:val="auto"/>
              </w:rPr>
              <w:t>1. FINANCIAL STATEMENTS</w:t>
            </w:r>
          </w:p>
        </w:tc>
        <w:tc>
          <w:tcPr>
            <w:tcW w:w="1080" w:type="dxa"/>
            <w:vAlign w:val="bottom"/>
          </w:tcPr>
          <w:p>
            <w:pPr>
              <w:spacing w:after="0"/>
              <w:rPr>
                <w:sz w:val="24"/>
                <w:szCs w:val="24"/>
                <w:color w:val="auto"/>
              </w:rPr>
            </w:pPr>
          </w:p>
        </w:tc>
      </w:tr>
      <w:tr>
        <w:trPr>
          <w:trHeight w:val="432"/>
        </w:trPr>
        <w:tc>
          <w:tcPr>
            <w:tcW w:w="7820" w:type="dxa"/>
            <w:vAlign w:val="bottom"/>
            <w:gridSpan w:val="8"/>
          </w:tcPr>
          <w:p>
            <w:pPr>
              <w:ind w:left="32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1080" w:type="dxa"/>
            <w:vAlign w:val="bottom"/>
          </w:tcPr>
          <w:p>
            <w:pPr>
              <w:spacing w:after="0"/>
              <w:rPr>
                <w:sz w:val="24"/>
                <w:szCs w:val="24"/>
                <w:color w:val="auto"/>
              </w:rPr>
            </w:pPr>
          </w:p>
        </w:tc>
      </w:tr>
      <w:tr>
        <w:trPr>
          <w:trHeight w:val="405"/>
        </w:trPr>
        <w:tc>
          <w:tcPr>
            <w:tcW w:w="782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248)</w:t>
            </w:r>
          </w:p>
        </w:tc>
        <w:tc>
          <w:tcPr>
            <w:tcW w:w="1080" w:type="dxa"/>
            <w:vAlign w:val="bottom"/>
          </w:tcPr>
          <w:p>
            <w:pPr>
              <w:ind w:left="820"/>
              <w:spacing w:after="0"/>
              <w:rPr>
                <w:sz w:val="20"/>
                <w:szCs w:val="20"/>
                <w:color w:val="auto"/>
              </w:rPr>
            </w:pPr>
            <w:r>
              <w:rPr>
                <w:rFonts w:ascii="Arial" w:cs="Arial" w:eastAsia="Arial" w:hAnsi="Arial"/>
                <w:sz w:val="18"/>
                <w:szCs w:val="18"/>
                <w:color w:val="auto"/>
                <w:w w:val="88"/>
              </w:rPr>
              <w:t>F-2</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782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Balance Sheets as of December 31, 2022 and 2021</w:t>
            </w:r>
          </w:p>
        </w:tc>
        <w:tc>
          <w:tcPr>
            <w:tcW w:w="1080" w:type="dxa"/>
            <w:vAlign w:val="bottom"/>
          </w:tcPr>
          <w:p>
            <w:pPr>
              <w:ind w:left="82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69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Consolidated Statements of Operations for the years ended December 31, 2022, 2021, and 2020</w:t>
            </w:r>
          </w:p>
        </w:tc>
        <w:tc>
          <w:tcPr>
            <w:tcW w:w="920" w:type="dxa"/>
            <w:vAlign w:val="bottom"/>
            <w:gridSpan w:val="3"/>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w w:val="88"/>
              </w:rPr>
              <w:t>F-4</w:t>
            </w:r>
          </w:p>
        </w:tc>
      </w:tr>
      <w:tr>
        <w:trPr>
          <w:trHeight w:val="196"/>
        </w:trPr>
        <w:tc>
          <w:tcPr>
            <w:tcW w:w="782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1080" w:type="dxa"/>
            <w:vAlign w:val="bottom"/>
          </w:tcPr>
          <w:p>
            <w:pPr>
              <w:ind w:left="82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7820" w:type="dxa"/>
            <w:vAlign w:val="bottom"/>
            <w:gridSpan w:val="8"/>
          </w:tcPr>
          <w:p>
            <w:pPr>
              <w:spacing w:after="0" w:line="196" w:lineRule="exact"/>
              <w:rPr>
                <w:sz w:val="20"/>
                <w:szCs w:val="20"/>
                <w:color w:val="auto"/>
              </w:rPr>
            </w:pPr>
            <w:r>
              <w:rPr>
                <w:rFonts w:ascii="Arial" w:cs="Arial" w:eastAsia="Arial" w:hAnsi="Arial"/>
                <w:sz w:val="18"/>
                <w:szCs w:val="18"/>
                <w:color w:val="0000EE"/>
                <w:w w:val="92"/>
              </w:rPr>
              <w:t>Consolidated Statements of Stockholders’ Equity for the years ended December 31, 2022, 2021, and 2020</w:t>
            </w:r>
          </w:p>
        </w:tc>
        <w:tc>
          <w:tcPr>
            <w:tcW w:w="1080" w:type="dxa"/>
            <w:vAlign w:val="bottom"/>
          </w:tcPr>
          <w:p>
            <w:pPr>
              <w:ind w:left="82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76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Consolidated Statements of Cash Flows for the years ended December 31, 2022, 2021, and 2020</w:t>
            </w:r>
          </w:p>
        </w:tc>
        <w:tc>
          <w:tcPr>
            <w:tcW w:w="200" w:type="dxa"/>
            <w:vAlign w:val="bottom"/>
          </w:tcPr>
          <w:p>
            <w:pPr>
              <w:spacing w:after="0"/>
              <w:rPr>
                <w:sz w:val="17"/>
                <w:szCs w:val="17"/>
                <w:color w:val="auto"/>
              </w:rPr>
            </w:pPr>
          </w:p>
        </w:tc>
        <w:tc>
          <w:tcPr>
            <w:tcW w:w="1080" w:type="dxa"/>
            <w:vAlign w:val="bottom"/>
          </w:tcPr>
          <w:p>
            <w:pPr>
              <w:ind w:left="82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69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880" w:type="dxa"/>
            <w:vAlign w:val="bottom"/>
            <w:gridSpan w:val="2"/>
          </w:tcPr>
          <w:p>
            <w:pPr>
              <w:spacing w:after="0"/>
              <w:rPr>
                <w:sz w:val="17"/>
                <w:szCs w:val="17"/>
                <w:color w:val="auto"/>
              </w:rPr>
            </w:pPr>
          </w:p>
        </w:tc>
        <w:tc>
          <w:tcPr>
            <w:tcW w:w="1080" w:type="dxa"/>
            <w:vAlign w:val="bottom"/>
          </w:tcPr>
          <w:p>
            <w:pPr>
              <w:ind w:left="820"/>
              <w:spacing w:after="0" w:line="196" w:lineRule="exact"/>
              <w:rPr>
                <w:sz w:val="20"/>
                <w:szCs w:val="20"/>
                <w:color w:val="auto"/>
              </w:rPr>
            </w:pPr>
            <w:r>
              <w:rPr>
                <w:rFonts w:ascii="Arial" w:cs="Arial" w:eastAsia="Arial" w:hAnsi="Arial"/>
                <w:sz w:val="18"/>
                <w:szCs w:val="18"/>
                <w:color w:val="auto"/>
                <w:w w:val="88"/>
              </w:rPr>
              <w:t>F-9</w:t>
            </w:r>
          </w:p>
        </w:tc>
      </w:tr>
      <w:tr>
        <w:trPr>
          <w:trHeight w:val="20"/>
        </w:trPr>
        <w:tc>
          <w:tcPr>
            <w:tcW w:w="9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FINANCIAL STATEMENT SCHEDULES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Schedules are omitted because of the absence of conditions under which they are required, materiality, or because the required information is given in the financial statements or notes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80" w:type="dxa"/>
            <w:vAlign w:val="bottom"/>
            <w:gridSpan w:val="11"/>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2"/>
                <w:szCs w:val="22"/>
                <w:color w:val="auto"/>
              </w:rPr>
            </w:pPr>
          </w:p>
        </w:tc>
        <w:tc>
          <w:tcPr>
            <w:tcW w:w="744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8"/>
              </w:rPr>
            </w:pPr>
            <w:hyperlink r:id="rId73">
              <w:r>
                <w:rPr>
                  <w:rFonts w:ascii="Arial" w:cs="Arial" w:eastAsia="Arial" w:hAnsi="Arial"/>
                  <w:sz w:val="18"/>
                  <w:szCs w:val="18"/>
                  <w:color w:val="0000EE"/>
                  <w:w w:val="98"/>
                </w:rPr>
                <w:t>Articles of Amendment and Restatement of Alpine Income Property Trust, Inc. (incorporated by</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w w:val="94"/>
              </w:rPr>
            </w:pPr>
            <w:hyperlink r:id="rId73">
              <w:r>
                <w:rPr>
                  <w:rFonts w:ascii="Arial" w:cs="Arial" w:eastAsia="Arial" w:hAnsi="Arial"/>
                  <w:sz w:val="18"/>
                  <w:szCs w:val="18"/>
                  <w:color w:val="0000EE"/>
                  <w:w w:val="94"/>
                </w:rPr>
                <w:t>reference to Exhibit 3.1 to the Company’s Current Report on Form 8-K filed on December 3,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7440" w:type="dxa"/>
            <w:vAlign w:val="bottom"/>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Third Amended and Restated Bylaws of Alpine Income Property Trust, Inc. (incorporated by reference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to Exhibit 3.1 to the Company’s Current Report on Form 8-K filed on February 1, 2023).</w:t>
              </w:r>
            </w:hyperlink>
          </w:p>
        </w:tc>
        <w:tc>
          <w:tcPr>
            <w:tcW w:w="9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3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Description of the Registrant’s Securities †</w:t>
            </w:r>
          </w:p>
        </w:tc>
        <w:tc>
          <w:tcPr>
            <w:tcW w:w="4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7440" w:type="dxa"/>
            <w:vAlign w:val="bottom"/>
            <w:gridSpan w:val="12"/>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Specimen Common Stock Certificate of Alpine Income Property Trust, Inc. (incorporated by reference</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to Exhibit 4.1 to the Registrant’s Registration Statement on Form S-11/A (File No. 333-234304) filed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with the Commission on October 29,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Stock Purchase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76">
              <w:r>
                <w:rPr>
                  <w:rFonts w:ascii="Arial" w:cs="Arial" w:eastAsia="Arial" w:hAnsi="Arial"/>
                  <w:sz w:val="18"/>
                  <w:szCs w:val="18"/>
                  <w:color w:val="0000EE"/>
                  <w:w w:val="96"/>
                </w:rPr>
                <w:t>and Consolidated-Tomoka Land Co. (incorporated by reference to Exhibit 10.1 to the Company’s</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Current Report on Form 8-K filed on December 3,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7440" w:type="dxa"/>
            <w:vAlign w:val="bottom"/>
            <w:gridSpan w:val="12"/>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Registration  Rights  Agreement,  dated  November  26,  2019,  between  Alpine  Income  Property</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77">
              <w:r>
                <w:rPr>
                  <w:rFonts w:ascii="Arial" w:cs="Arial" w:eastAsia="Arial" w:hAnsi="Arial"/>
                  <w:sz w:val="18"/>
                  <w:szCs w:val="18"/>
                  <w:color w:val="0000EE"/>
                  <w:w w:val="97"/>
                </w:rPr>
                <w:t>Trust, Inc. and Consolidated-Tomoka Land Co. (incorporated by reference to Exhibit 10.2 to the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Company’s Current Report on Form 8-K filed on December 3,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Amended and Restated Agreement of Limited Partnership, dated November 26, 2019, among Alpine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Income Property GP, LLC, Alpine Income Property Trust, Inc., Consolidated-Tomoka Land Co. and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78">
              <w:r>
                <w:rPr>
                  <w:rFonts w:ascii="Arial" w:cs="Arial" w:eastAsia="Arial" w:hAnsi="Arial"/>
                  <w:sz w:val="18"/>
                  <w:szCs w:val="18"/>
                  <w:color w:val="0000EE"/>
                  <w:w w:val="96"/>
                </w:rPr>
                <w:t>Indigo Group Ltd. (incorporated by reference to Exhibit 10.3 to the Company’s Current Report 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Form 8-K filed on December 3,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Tax Protection Agreement, dated November 26, 2019, among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Alpine Income Property OP, LP, Consolidated-Tomoka Land Co. and Indigo Group Ltd. (incorporated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79">
              <w:r>
                <w:rPr>
                  <w:rFonts w:ascii="Arial" w:cs="Arial" w:eastAsia="Arial" w:hAnsi="Arial"/>
                  <w:sz w:val="18"/>
                  <w:szCs w:val="18"/>
                  <w:color w:val="0000EE"/>
                  <w:w w:val="97"/>
                </w:rPr>
                <w:t>by reference to Exhibit 10.4 to the Company’s Current Report on Form 8-K filed on December 3,</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79">
              <w:r>
                <w:rPr>
                  <w:rFonts w:ascii="Arial" w:cs="Arial" w:eastAsia="Arial" w:hAnsi="Arial"/>
                  <w:sz w:val="18"/>
                  <w:szCs w:val="18"/>
                  <w:color w:val="0000EE"/>
                  <w:w w:val="86"/>
                </w:rPr>
                <w:t>2019).</w:t>
              </w:r>
            </w:hyperlink>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7"/>
              </w:rPr>
            </w:pPr>
            <w:hyperlink r:id="rId80">
              <w:r>
                <w:rPr>
                  <w:rFonts w:ascii="Arial" w:cs="Arial" w:eastAsia="Arial" w:hAnsi="Arial"/>
                  <w:sz w:val="18"/>
                  <w:szCs w:val="18"/>
                  <w:color w:val="0000EE"/>
                  <w:w w:val="97"/>
                </w:rPr>
                <w:t>Management Agreement, dated November 26, 2019, among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Alpine Income Property OP, LP and Alpine Income Property Manager, LLC (incorporated by</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reference to Exhibit 10.5 to the Company’s Current Report on Form 8-K filed on December 3, 2019).*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Exclusivity and Right of First Offer Agreement, dated November 26, 2019, between Consolidated-</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Tomoka Land Co. and Alpine Income Property Trust, Inc. (incorporated by reference to Exhibit 10.6 to</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the Company’s Current Report on Form 8-K filed on December 3, 2019).</w:t>
              </w:r>
            </w:hyperlink>
          </w:p>
        </w:tc>
        <w:tc>
          <w:tcPr>
            <w:tcW w:w="2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Indemnification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and John P. Albright (incorporated by reference to Exhibit 10.8 to the Company’s Current Report 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Form 8-K filed on December 3, 2019).*</w:t>
              </w:r>
            </w:hyperlink>
          </w:p>
        </w:tc>
        <w:tc>
          <w:tcPr>
            <w:tcW w:w="450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Indemnification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w w:val="96"/>
              </w:rPr>
            </w:pPr>
            <w:hyperlink r:id="rId83">
              <w:r>
                <w:rPr>
                  <w:rFonts w:ascii="Arial" w:cs="Arial" w:eastAsia="Arial" w:hAnsi="Arial"/>
                  <w:sz w:val="18"/>
                  <w:szCs w:val="18"/>
                  <w:color w:val="0000EE"/>
                  <w:w w:val="96"/>
                </w:rPr>
                <w:t>and Steven R. Greathouse (incorporated by reference to Exhibit 10.10 to the Company’s Current</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Report on Form 8-K filed on December 3, 2019).*</w:t>
              </w:r>
            </w:hyperlink>
          </w:p>
        </w:tc>
        <w:tc>
          <w:tcPr>
            <w:tcW w:w="374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Indemnification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and Daniel E. Smith (incorporated by reference to Exhibit 10.11 to the Company’s Current Report on</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Form 8-K filed on December 3, 2019).*</w:t>
              </w:r>
            </w:hyperlink>
          </w:p>
        </w:tc>
        <w:tc>
          <w:tcPr>
            <w:tcW w:w="4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7440" w:type="dxa"/>
            <w:vAlign w:val="bottom"/>
            <w:tcBorders>
              <w:bottom w:val="single" w:sz="8" w:color="0000EE"/>
            </w:tcBorders>
            <w:gridSpan w:val="12"/>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Indemnification Agreement, dated November 21, 2019, between Alpine Income Property Trust,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40" w:type="dxa"/>
            <w:vAlign w:val="bottom"/>
            <w:gridSpan w:val="12"/>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and Mark O. Decker, Jr. (incorporated by reference to Exhibit 10.12 to the Company’s Current Report</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on Form 8-K filed on December 3, 2019).*</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10.11</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and M. Carson Good (incorporated by reference to Exhibit 10.13 to the Company’s Current Report on</w:t>
              </w:r>
            </w:hyperlink>
          </w:p>
        </w:tc>
      </w:tr>
      <w:tr>
        <w:trPr>
          <w:trHeight w:val="196"/>
        </w:trPr>
        <w:tc>
          <w:tcPr>
            <w:tcW w:w="14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Form 8-K filed on December 3, 2019).*</w:t>
              </w:r>
            </w:hyperlink>
          </w:p>
        </w:tc>
        <w:tc>
          <w:tcPr>
            <w:tcW w:w="4560" w:type="dxa"/>
            <w:vAlign w:val="bottom"/>
            <w:gridSpan w:val="10"/>
          </w:tcPr>
          <w:p>
            <w:pPr>
              <w:spacing w:after="0"/>
              <w:rPr>
                <w:sz w:val="17"/>
                <w:szCs w:val="17"/>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and Andrew C. Richardson (incorporated by reference to Exhibit 10.14 to the Company’s Current</w:t>
              </w:r>
            </w:hyperlink>
          </w:p>
        </w:tc>
      </w:tr>
      <w:tr>
        <w:trPr>
          <w:trHeight w:val="196"/>
        </w:trPr>
        <w:tc>
          <w:tcPr>
            <w:tcW w:w="1440" w:type="dxa"/>
            <w:vAlign w:val="bottom"/>
          </w:tcPr>
          <w:p>
            <w:pPr>
              <w:spacing w:after="0"/>
              <w:rPr>
                <w:sz w:val="17"/>
                <w:szCs w:val="17"/>
                <w:color w:val="auto"/>
              </w:rPr>
            </w:pPr>
          </w:p>
        </w:tc>
        <w:tc>
          <w:tcPr>
            <w:tcW w:w="7460" w:type="dxa"/>
            <w:vAlign w:val="bottom"/>
            <w:gridSpan w:val="1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Report on Form 8-K filed on December 3, 2019).*</w:t>
              </w:r>
            </w:hyperlink>
          </w:p>
        </w:tc>
      </w:tr>
      <w:tr>
        <w:trPr>
          <w:trHeight w:val="20"/>
        </w:trPr>
        <w:tc>
          <w:tcPr>
            <w:tcW w:w="14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Indemnification Agreement, dated November 21, 2019, between Alpine Income Property Trust, Inc.</w:t>
              </w:r>
            </w:hyperlink>
          </w:p>
        </w:tc>
      </w:tr>
      <w:tr>
        <w:trPr>
          <w:trHeight w:val="196"/>
        </w:trPr>
        <w:tc>
          <w:tcPr>
            <w:tcW w:w="1440" w:type="dxa"/>
            <w:vAlign w:val="bottom"/>
          </w:tcPr>
          <w:p>
            <w:pPr>
              <w:spacing w:after="0"/>
              <w:rPr>
                <w:sz w:val="17"/>
                <w:szCs w:val="17"/>
                <w:color w:val="auto"/>
              </w:rPr>
            </w:pPr>
          </w:p>
        </w:tc>
        <w:tc>
          <w:tcPr>
            <w:tcW w:w="7460" w:type="dxa"/>
            <w:vAlign w:val="bottom"/>
            <w:gridSpan w:val="16"/>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and Jeffrey S. Yarckin (incorporated by reference to Exhibit 10.15 to the Company’s Current Report on</w:t>
              </w:r>
            </w:hyperlink>
          </w:p>
        </w:tc>
      </w:tr>
      <w:tr>
        <w:trPr>
          <w:trHeight w:val="196"/>
        </w:trPr>
        <w:tc>
          <w:tcPr>
            <w:tcW w:w="14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Form 8-K filed on December 3, 2019).*</w:t>
              </w:r>
            </w:hyperlink>
          </w:p>
        </w:tc>
        <w:tc>
          <w:tcPr>
            <w:tcW w:w="45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Indemnification Agreement, dated February 10, 2021, between Alpine Income Property Trust, Inc. and</w:t>
              </w:r>
            </w:hyperlink>
          </w:p>
        </w:tc>
      </w:tr>
      <w:tr>
        <w:trPr>
          <w:trHeight w:val="196"/>
        </w:trPr>
        <w:tc>
          <w:tcPr>
            <w:tcW w:w="1440" w:type="dxa"/>
            <w:vAlign w:val="bottom"/>
          </w:tcPr>
          <w:p>
            <w:pPr>
              <w:spacing w:after="0"/>
              <w:rPr>
                <w:sz w:val="17"/>
                <w:szCs w:val="17"/>
                <w:color w:val="auto"/>
              </w:rPr>
            </w:pPr>
          </w:p>
        </w:tc>
        <w:tc>
          <w:tcPr>
            <w:tcW w:w="7460" w:type="dxa"/>
            <w:vAlign w:val="bottom"/>
            <w:gridSpan w:val="16"/>
          </w:tcPr>
          <w:p>
            <w:pPr>
              <w:spacing w:after="0" w:line="196" w:lineRule="exact"/>
              <w:rPr>
                <w:rFonts w:ascii="Arial" w:cs="Arial" w:eastAsia="Arial" w:hAnsi="Arial"/>
                <w:sz w:val="18"/>
                <w:szCs w:val="18"/>
                <w:color w:val="0000EE"/>
                <w:w w:val="98"/>
              </w:rPr>
            </w:pPr>
            <w:hyperlink r:id="rId90">
              <w:r>
                <w:rPr>
                  <w:rFonts w:ascii="Arial" w:cs="Arial" w:eastAsia="Arial" w:hAnsi="Arial"/>
                  <w:sz w:val="18"/>
                  <w:szCs w:val="18"/>
                  <w:color w:val="0000EE"/>
                  <w:w w:val="98"/>
                </w:rPr>
                <w:t>Rachel E. Wein (incorporated by reference to Exhibit 10.1 to the Company’s Current Report on</w:t>
              </w:r>
            </w:hyperlink>
          </w:p>
        </w:tc>
      </w:tr>
      <w:tr>
        <w:trPr>
          <w:trHeight w:val="196"/>
        </w:trPr>
        <w:tc>
          <w:tcPr>
            <w:tcW w:w="1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Form 8-K filed on February 11, 2021).*</w:t>
              </w:r>
            </w:hyperlink>
          </w:p>
        </w:tc>
        <w:tc>
          <w:tcPr>
            <w:tcW w:w="45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10.15</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Alpine Income Property Trust, Inc. 2019 Individual Equity Incentive Plan (incorporated by reference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to Exhibit 10.1 to the Company’s Registration Statement on Form S-8 (File No. 333-235256) filed on</w:t>
              </w:r>
            </w:hyperlink>
          </w:p>
        </w:tc>
      </w:tr>
      <w:tr>
        <w:trPr>
          <w:trHeight w:val="196"/>
        </w:trPr>
        <w:tc>
          <w:tcPr>
            <w:tcW w:w="1440" w:type="dxa"/>
            <w:vAlign w:val="bottom"/>
          </w:tcPr>
          <w:p>
            <w:pPr>
              <w:spacing w:after="0"/>
              <w:rPr>
                <w:sz w:val="17"/>
                <w:szCs w:val="17"/>
                <w:color w:val="auto"/>
              </w:rPr>
            </w:pPr>
          </w:p>
        </w:tc>
        <w:tc>
          <w:tcPr>
            <w:tcW w:w="16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November 25, 2019).*</w:t>
              </w:r>
            </w:hyperlink>
          </w:p>
        </w:tc>
        <w:tc>
          <w:tcPr>
            <w:tcW w:w="5820" w:type="dxa"/>
            <w:vAlign w:val="bottom"/>
            <w:gridSpan w:val="15"/>
          </w:tcPr>
          <w:p>
            <w:pPr>
              <w:spacing w:after="0"/>
              <w:rPr>
                <w:sz w:val="17"/>
                <w:szCs w:val="17"/>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10.16</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Alpine Income Property Trust, Inc. 2019 Manager Equity Incentive Plan (incorporated by reference to</w:t>
              </w:r>
            </w:hyperlink>
          </w:p>
        </w:tc>
      </w:tr>
      <w:tr>
        <w:trPr>
          <w:trHeight w:val="196"/>
        </w:trPr>
        <w:tc>
          <w:tcPr>
            <w:tcW w:w="1440" w:type="dxa"/>
            <w:vAlign w:val="bottom"/>
          </w:tcPr>
          <w:p>
            <w:pPr>
              <w:spacing w:after="0"/>
              <w:rPr>
                <w:sz w:val="17"/>
                <w:szCs w:val="17"/>
                <w:color w:val="auto"/>
              </w:rPr>
            </w:pPr>
          </w:p>
        </w:tc>
        <w:tc>
          <w:tcPr>
            <w:tcW w:w="65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Exhibit 10.17 to the Company’s Current Report on Form 8-K filed on December 3, 2019).*</w:t>
              </w:r>
            </w:hyperlink>
          </w:p>
        </w:tc>
        <w:tc>
          <w:tcPr>
            <w:tcW w:w="880" w:type="dxa"/>
            <w:vAlign w:val="bottom"/>
            <w:gridSpan w:val="5"/>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10.17</w:t>
            </w:r>
          </w:p>
        </w:tc>
        <w:tc>
          <w:tcPr>
            <w:tcW w:w="7460" w:type="dxa"/>
            <w:vAlign w:val="bottom"/>
            <w:tcBorders>
              <w:bottom w:val="single" w:sz="8" w:color="0000EE"/>
            </w:tcBorders>
            <w:gridSpan w:val="16"/>
          </w:tcPr>
          <w:p>
            <w:pPr>
              <w:spacing w:after="0"/>
              <w:rPr>
                <w:rFonts w:ascii="Arial" w:cs="Arial" w:eastAsia="Arial" w:hAnsi="Arial"/>
                <w:sz w:val="18"/>
                <w:szCs w:val="18"/>
                <w:color w:val="0000EE"/>
              </w:rPr>
            </w:pPr>
            <w:hyperlink r:id="rId93">
              <w:r>
                <w:rPr>
                  <w:rFonts w:ascii="Arial" w:cs="Arial" w:eastAsia="Arial" w:hAnsi="Arial"/>
                  <w:sz w:val="18"/>
                  <w:szCs w:val="18"/>
                  <w:color w:val="0000EE"/>
                </w:rPr>
                <w:t>Form of Non-Employee Director Restricted Stock Award Agreement under the Alpine Income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Property Trust, Inc. 2019 Individual Equity Incentive Plan (incorporated by reference to Exhibit 10.11</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to the Registrant’s Registration Statement on Form S-11/A (File No. 333-234304) filed with the</w:t>
              </w:r>
            </w:hyperlink>
          </w:p>
        </w:tc>
      </w:tr>
      <w:tr>
        <w:trPr>
          <w:trHeight w:val="196"/>
        </w:trPr>
        <w:tc>
          <w:tcPr>
            <w:tcW w:w="1440" w:type="dxa"/>
            <w:vAlign w:val="bottom"/>
          </w:tcPr>
          <w:p>
            <w:pPr>
              <w:spacing w:after="0"/>
              <w:rPr>
                <w:sz w:val="17"/>
                <w:szCs w:val="17"/>
                <w:color w:val="auto"/>
              </w:rPr>
            </w:pPr>
          </w:p>
        </w:tc>
        <w:tc>
          <w:tcPr>
            <w:tcW w:w="7460" w:type="dxa"/>
            <w:vAlign w:val="bottom"/>
            <w:gridSpan w:val="16"/>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Commission on November 7, 2019).*</w:t>
              </w:r>
            </w:hyperlink>
          </w:p>
        </w:tc>
      </w:tr>
      <w:tr>
        <w:trPr>
          <w:trHeight w:val="20"/>
        </w:trPr>
        <w:tc>
          <w:tcPr>
            <w:tcW w:w="14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10.18</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Credit Agreement, dated as of May 21, 2021, among Alpine Income Property, OP, LP, Alpine Income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Property Trust, Inc., the other Guarantors from time to time parties thereto, Truist Bank, N.A., Bank of</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Montreal, Raymond James Bank, N.A. and Stifel Bank (incorporated by reference to Exhibit 10.2 to</w:t>
              </w:r>
            </w:hyperlink>
          </w:p>
        </w:tc>
      </w:tr>
      <w:tr>
        <w:trPr>
          <w:trHeight w:val="196"/>
        </w:trPr>
        <w:tc>
          <w:tcPr>
            <w:tcW w:w="144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the Company’s Current Report on Form 8-K filed on May 25, 2021)</w:t>
              </w:r>
            </w:hyperlink>
          </w:p>
        </w:tc>
        <w:tc>
          <w:tcPr>
            <w:tcW w:w="2540" w:type="dxa"/>
            <w:vAlign w:val="bottom"/>
            <w:gridSpan w:val="8"/>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10.19</w:t>
            </w:r>
          </w:p>
        </w:tc>
        <w:tc>
          <w:tcPr>
            <w:tcW w:w="7460" w:type="dxa"/>
            <w:vAlign w:val="bottom"/>
            <w:gridSpan w:val="16"/>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Real Estate Purchase and Sale Agreement dated January 28, 2022 (incorporated by reference to Exhibit</w:t>
              </w:r>
            </w:hyperlink>
          </w:p>
        </w:tc>
      </w:tr>
      <w:tr>
        <w:trPr>
          <w:trHeight w:val="196"/>
        </w:trPr>
        <w:tc>
          <w:tcPr>
            <w:tcW w:w="1440" w:type="dxa"/>
            <w:vAlign w:val="bottom"/>
          </w:tcPr>
          <w:p>
            <w:pPr>
              <w:spacing w:after="0"/>
              <w:rPr>
                <w:sz w:val="17"/>
                <w:szCs w:val="17"/>
                <w:color w:val="auto"/>
              </w:rPr>
            </w:pPr>
          </w:p>
        </w:tc>
        <w:tc>
          <w:tcPr>
            <w:tcW w:w="7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Quarterly Report on Form 10-Q filed on April 21, 2022).**</w:t>
              </w:r>
            </w:hyperlink>
          </w:p>
        </w:tc>
        <w:tc>
          <w:tcPr>
            <w:tcW w:w="2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10.20</w:t>
            </w:r>
          </w:p>
        </w:tc>
        <w:tc>
          <w:tcPr>
            <w:tcW w:w="7460" w:type="dxa"/>
            <w:vAlign w:val="bottom"/>
            <w:gridSpan w:val="16"/>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First Amendment to the Purchase and Sale Agreement dated March 1, 2022 (incorporated by reference</w:t>
              </w:r>
            </w:hyperlink>
          </w:p>
        </w:tc>
      </w:tr>
      <w:tr>
        <w:trPr>
          <w:trHeight w:val="196"/>
        </w:trPr>
        <w:tc>
          <w:tcPr>
            <w:tcW w:w="144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to Exhibit 10.2 to the Company’s Quarterly Report on Form 10-Q filed on April 21, 2022).** .</w:t>
              </w:r>
            </w:hyperlink>
          </w:p>
        </w:tc>
        <w:tc>
          <w:tcPr>
            <w:tcW w:w="6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10.21</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Second Amendment to the Purchase and Sale Agreement dated March 15, 2022 (incorporated by</w:t>
              </w:r>
            </w:hyperlink>
          </w:p>
        </w:tc>
      </w:tr>
      <w:tr>
        <w:trPr>
          <w:trHeight w:val="196"/>
        </w:trPr>
        <w:tc>
          <w:tcPr>
            <w:tcW w:w="1440" w:type="dxa"/>
            <w:vAlign w:val="bottom"/>
          </w:tcPr>
          <w:p>
            <w:pPr>
              <w:spacing w:after="0"/>
              <w:rPr>
                <w:sz w:val="17"/>
                <w:szCs w:val="17"/>
                <w:color w:val="auto"/>
              </w:rPr>
            </w:pPr>
          </w:p>
        </w:tc>
        <w:tc>
          <w:tcPr>
            <w:tcW w:w="74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reference to Exhibit 10.3 to the Company’s Quarterly Report on Form 10-Q filed on April 21, 2022).**</w:t>
              </w:r>
            </w:hyperlink>
          </w:p>
        </w:tc>
        <w:tc>
          <w:tcPr>
            <w:tcW w:w="20" w:type="dxa"/>
            <w:vAlign w:val="bottom"/>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10.22</w:t>
            </w:r>
          </w:p>
        </w:tc>
        <w:tc>
          <w:tcPr>
            <w:tcW w:w="7460" w:type="dxa"/>
            <w:vAlign w:val="bottom"/>
            <w:gridSpan w:val="16"/>
          </w:tcPr>
          <w:p>
            <w:pPr>
              <w:spacing w:after="0"/>
              <w:rPr>
                <w:rFonts w:ascii="Arial" w:cs="Arial" w:eastAsia="Arial" w:hAnsi="Arial"/>
                <w:sz w:val="18"/>
                <w:szCs w:val="18"/>
                <w:color w:val="0000EE"/>
                <w:w w:val="95"/>
              </w:rPr>
            </w:pPr>
            <w:hyperlink r:id="rId98">
              <w:r>
                <w:rPr>
                  <w:rFonts w:ascii="Arial" w:cs="Arial" w:eastAsia="Arial" w:hAnsi="Arial"/>
                  <w:sz w:val="18"/>
                  <w:szCs w:val="18"/>
                  <w:color w:val="0000EE"/>
                  <w:w w:val="95"/>
                </w:rPr>
                <w:t>Amendment, Increase and Joinder to Credit Agreement, dated as of April 14, 2022, among Alpine</w:t>
              </w:r>
            </w:hyperlink>
          </w:p>
        </w:tc>
      </w:tr>
      <w:tr>
        <w:trPr>
          <w:trHeight w:val="20"/>
        </w:trPr>
        <w:tc>
          <w:tcPr>
            <w:tcW w:w="14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8">
              <w:r>
                <w:rPr>
                  <w:rFonts w:ascii="Arial" w:cs="Arial" w:eastAsia="Arial" w:hAnsi="Arial"/>
                  <w:sz w:val="18"/>
                  <w:szCs w:val="18"/>
                  <w:color w:val="0000EE"/>
                  <w:w w:val="93"/>
                </w:rPr>
                <w:t>Income Property, OP, LP, Alpine Income Property Trust, Inc., the other Guarantors from time to time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parties thereto, Truist Bank, N.A., and certain other lenders named therein (incorporated by reference</w:t>
              </w:r>
            </w:hyperlink>
          </w:p>
        </w:tc>
      </w:tr>
      <w:tr>
        <w:trPr>
          <w:trHeight w:val="196"/>
        </w:trPr>
        <w:tc>
          <w:tcPr>
            <w:tcW w:w="144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to Exhibit 10.2 to the Company’s Current Report on Form 8-K filed on April 18, 2022).</w:t>
              </w:r>
            </w:hyperlink>
          </w:p>
        </w:tc>
        <w:tc>
          <w:tcPr>
            <w:tcW w:w="1140" w:type="dxa"/>
            <w:vAlign w:val="bottom"/>
            <w:gridSpan w:val="6"/>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10.23</w:t>
            </w:r>
          </w:p>
        </w:tc>
        <w:tc>
          <w:tcPr>
            <w:tcW w:w="7460" w:type="dxa"/>
            <w:vAlign w:val="bottom"/>
            <w:gridSpan w:val="16"/>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Amended and Restated Credit Agreement, dated as of September 30, 2022, among Alpine Income</w:t>
              </w:r>
            </w:hyperlink>
          </w:p>
        </w:tc>
      </w:tr>
      <w:tr>
        <w:trPr>
          <w:trHeight w:val="20"/>
        </w:trPr>
        <w:tc>
          <w:tcPr>
            <w:tcW w:w="144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920" w:type="dxa"/>
            <w:vAlign w:val="bottom"/>
            <w:gridSpan w:val="8"/>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Property, OP, LP, Alpine Income Property Trust, Inc., the other Guarantors from time to time parties</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thereto, KeyBank National Association, and certain other lenders named therein (incorporated by</w:t>
              </w:r>
            </w:hyperlink>
          </w:p>
        </w:tc>
      </w:tr>
      <w:tr>
        <w:trPr>
          <w:trHeight w:val="196"/>
        </w:trPr>
        <w:tc>
          <w:tcPr>
            <w:tcW w:w="1440" w:type="dxa"/>
            <w:vAlign w:val="bottom"/>
          </w:tcPr>
          <w:p>
            <w:pPr>
              <w:spacing w:after="0"/>
              <w:rPr>
                <w:sz w:val="17"/>
                <w:szCs w:val="17"/>
                <w:color w:val="auto"/>
              </w:rPr>
            </w:pPr>
          </w:p>
        </w:tc>
        <w:tc>
          <w:tcPr>
            <w:tcW w:w="71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reference to Exhibit 10.1 to the Company’s Current Report on Form 8-K filed on October 6, 2022).</w:t>
              </w:r>
            </w:hyperlink>
          </w:p>
        </w:tc>
        <w:tc>
          <w:tcPr>
            <w:tcW w:w="320" w:type="dxa"/>
            <w:vAlign w:val="bottom"/>
            <w:gridSpan w:val="2"/>
          </w:tcPr>
          <w:p>
            <w:pPr>
              <w:spacing w:after="0"/>
              <w:rPr>
                <w:sz w:val="17"/>
                <w:szCs w:val="17"/>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10.24</w:t>
            </w:r>
          </w:p>
        </w:tc>
        <w:tc>
          <w:tcPr>
            <w:tcW w:w="7460" w:type="dxa"/>
            <w:vAlign w:val="bottom"/>
            <w:tcBorders>
              <w:bottom w:val="single" w:sz="8" w:color="0000EE"/>
            </w:tcBorders>
            <w:gridSpan w:val="16"/>
          </w:tcPr>
          <w:p>
            <w:pPr>
              <w:spacing w:after="0"/>
              <w:rPr>
                <w:rFonts w:ascii="Arial" w:cs="Arial" w:eastAsia="Arial" w:hAnsi="Arial"/>
                <w:sz w:val="18"/>
                <w:szCs w:val="18"/>
                <w:color w:val="0000EE"/>
                <w:w w:val="93"/>
              </w:rPr>
            </w:pPr>
            <w:hyperlink r:id="rId100">
              <w:r>
                <w:rPr>
                  <w:rFonts w:ascii="Arial" w:cs="Arial" w:eastAsia="Arial" w:hAnsi="Arial"/>
                  <w:sz w:val="18"/>
                  <w:szCs w:val="18"/>
                  <w:color w:val="0000EE"/>
                  <w:w w:val="93"/>
                </w:rPr>
                <w:t>Second Amendment to the 2026 Term Loan Agreement, dated as of October 5, 2022, among Alpine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Income Property, OP, LP, Alpine Income Property Trust, Inc., the other Guarantors from time to time</w:t>
              </w:r>
            </w:hyperlink>
          </w:p>
        </w:tc>
      </w:tr>
      <w:tr>
        <w:trPr>
          <w:trHeight w:val="196"/>
        </w:trPr>
        <w:tc>
          <w:tcPr>
            <w:tcW w:w="144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parties thereto, Truist Bank, N.A., and certain other lenders named therein (incorporated by reference</w:t>
              </w:r>
            </w:hyperlink>
          </w:p>
        </w:tc>
      </w:tr>
      <w:tr>
        <w:trPr>
          <w:trHeight w:val="196"/>
        </w:trPr>
        <w:tc>
          <w:tcPr>
            <w:tcW w:w="1440" w:type="dxa"/>
            <w:vAlign w:val="bottom"/>
          </w:tcPr>
          <w:p>
            <w:pPr>
              <w:spacing w:after="0"/>
              <w:rPr>
                <w:sz w:val="17"/>
                <w:szCs w:val="17"/>
                <w:color w:val="auto"/>
              </w:rPr>
            </w:pPr>
          </w:p>
        </w:tc>
        <w:tc>
          <w:tcPr>
            <w:tcW w:w="7460" w:type="dxa"/>
            <w:vAlign w:val="bottom"/>
            <w:gridSpan w:val="1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to Exhibit 10.2 to the Company’s Quarterly Report on Form 10-Q filed on October 20, 2022).</w:t>
              </w:r>
            </w:hyperlink>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21.1</w:t>
            </w:r>
          </w:p>
        </w:tc>
        <w:tc>
          <w:tcPr>
            <w:tcW w:w="67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List of Subsidiaries of the Registrant. †</w:t>
            </w:r>
          </w:p>
        </w:tc>
        <w:tc>
          <w:tcPr>
            <w:tcW w:w="720" w:type="dxa"/>
            <w:vAlign w:val="bottom"/>
            <w:gridSpan w:val="4"/>
          </w:tcPr>
          <w:p>
            <w:pPr>
              <w:spacing w:after="0"/>
              <w:rPr>
                <w:sz w:val="24"/>
                <w:szCs w:val="24"/>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23.1</w:t>
            </w:r>
          </w:p>
        </w:tc>
        <w:tc>
          <w:tcPr>
            <w:tcW w:w="2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Consent of Grant Thornton LLP. †</w:t>
            </w:r>
          </w:p>
        </w:tc>
        <w:tc>
          <w:tcPr>
            <w:tcW w:w="4640" w:type="dxa"/>
            <w:vAlign w:val="bottom"/>
            <w:gridSpan w:val="12"/>
          </w:tcPr>
          <w:p>
            <w:pPr>
              <w:spacing w:after="0"/>
              <w:rPr>
                <w:sz w:val="24"/>
                <w:szCs w:val="24"/>
                <w:color w:val="auto"/>
              </w:rPr>
            </w:pPr>
          </w:p>
        </w:tc>
      </w:tr>
      <w:tr>
        <w:trPr>
          <w:trHeight w:val="20"/>
        </w:trPr>
        <w:tc>
          <w:tcPr>
            <w:tcW w:w="14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Certificate of John P. Albright, President and Chief Executive Officer, pursuant to Section 302 of the</w:t>
            </w:r>
          </w:p>
        </w:tc>
      </w:tr>
      <w:tr>
        <w:trPr>
          <w:trHeight w:val="196"/>
        </w:trPr>
        <w:tc>
          <w:tcPr>
            <w:tcW w:w="144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Sarbanes-Oxley Act of 2002. †</w:t>
            </w:r>
          </w:p>
        </w:tc>
        <w:tc>
          <w:tcPr>
            <w:tcW w:w="5220" w:type="dxa"/>
            <w:vAlign w:val="bottom"/>
            <w:gridSpan w:val="4"/>
          </w:tcPr>
          <w:p>
            <w:pPr>
              <w:spacing w:after="0"/>
              <w:rPr>
                <w:sz w:val="17"/>
                <w:szCs w:val="17"/>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Certificate of Matthew M. Partridge, Senior Vice President, Chief Financial Officer and Treasurer,</w:t>
            </w:r>
          </w:p>
        </w:tc>
      </w:tr>
      <w:tr>
        <w:trPr>
          <w:trHeight w:val="196"/>
        </w:trPr>
        <w:tc>
          <w:tcPr>
            <w:tcW w:w="1440" w:type="dxa"/>
            <w:vAlign w:val="bottom"/>
          </w:tcPr>
          <w:p>
            <w:pPr>
              <w:spacing w:after="0"/>
              <w:rPr>
                <w:sz w:val="17"/>
                <w:szCs w:val="17"/>
                <w:color w:val="auto"/>
              </w:rPr>
            </w:pPr>
          </w:p>
        </w:tc>
        <w:tc>
          <w:tcPr>
            <w:tcW w:w="7460" w:type="dxa"/>
            <w:vAlign w:val="bottom"/>
            <w:gridSpan w:val="6"/>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 †</w:t>
            </w:r>
          </w:p>
        </w:tc>
      </w:tr>
      <w:tr>
        <w:trPr>
          <w:trHeight w:val="20"/>
        </w:trPr>
        <w:tc>
          <w:tcPr>
            <w:tcW w:w="1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44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rPr>
              <w:t>Certificate of John P. Albright, President and Chief Executive Officer, pursuant to 18 U.S.C.</w:t>
            </w:r>
          </w:p>
        </w:tc>
      </w:tr>
      <w:tr>
        <w:trPr>
          <w:trHeight w:val="196"/>
        </w:trPr>
        <w:tc>
          <w:tcPr>
            <w:tcW w:w="1440" w:type="dxa"/>
            <w:vAlign w:val="bottom"/>
          </w:tcPr>
          <w:p>
            <w:pPr>
              <w:spacing w:after="0"/>
              <w:rPr>
                <w:sz w:val="17"/>
                <w:szCs w:val="17"/>
                <w:color w:val="auto"/>
              </w:rPr>
            </w:pPr>
          </w:p>
        </w:tc>
        <w:tc>
          <w:tcPr>
            <w:tcW w:w="7460" w:type="dxa"/>
            <w:vAlign w:val="bottom"/>
            <w:gridSpan w:val="6"/>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 ††</w:t>
            </w:r>
          </w:p>
        </w:tc>
      </w:tr>
      <w:tr>
        <w:trPr>
          <w:trHeight w:val="20"/>
        </w:trPr>
        <w:tc>
          <w:tcPr>
            <w:tcW w:w="1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74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440" w:type="dxa"/>
            <w:vAlign w:val="bottom"/>
          </w:tcPr>
          <w:p>
            <w:pPr>
              <w:spacing w:after="0"/>
              <w:rPr>
                <w:sz w:val="20"/>
                <w:szCs w:val="20"/>
                <w:color w:val="auto"/>
              </w:rPr>
            </w:pPr>
            <w:r>
              <w:rPr>
                <w:rFonts w:ascii="Arial" w:cs="Arial" w:eastAsia="Arial" w:hAnsi="Arial"/>
                <w:sz w:val="18"/>
                <w:szCs w:val="18"/>
                <w:color w:val="auto"/>
              </w:rPr>
              <w:t>32.2</w:t>
            </w:r>
          </w:p>
        </w:tc>
        <w:tc>
          <w:tcPr>
            <w:tcW w:w="74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Certificate of Matthew M. Partridge, Senior Vice President, Chief Financial Officer and Treasurer,</w:t>
            </w:r>
          </w:p>
        </w:tc>
      </w:tr>
      <w:tr>
        <w:trPr>
          <w:trHeight w:val="196"/>
        </w:trPr>
        <w:tc>
          <w:tcPr>
            <w:tcW w:w="1440" w:type="dxa"/>
            <w:vAlign w:val="bottom"/>
          </w:tcPr>
          <w:p>
            <w:pPr>
              <w:spacing w:after="0"/>
              <w:rPr>
                <w:sz w:val="17"/>
                <w:szCs w:val="17"/>
                <w:color w:val="auto"/>
              </w:rPr>
            </w:pPr>
          </w:p>
        </w:tc>
        <w:tc>
          <w:tcPr>
            <w:tcW w:w="7460" w:type="dxa"/>
            <w:vAlign w:val="bottom"/>
            <w:gridSpan w:val="6"/>
          </w:tcPr>
          <w:p>
            <w:pPr>
              <w:spacing w:after="0" w:line="196" w:lineRule="exact"/>
              <w:rPr>
                <w:sz w:val="20"/>
                <w:szCs w:val="20"/>
                <w:color w:val="auto"/>
              </w:rPr>
            </w:pPr>
            <w:r>
              <w:rPr>
                <w:rFonts w:ascii="Arial" w:cs="Arial" w:eastAsia="Arial" w:hAnsi="Arial"/>
                <w:sz w:val="18"/>
                <w:szCs w:val="18"/>
                <w:color w:val="0000EE"/>
                <w:w w:val="91"/>
              </w:rPr>
              <w:t>pursuant to 18 U.S.C. Section 1350, as adopted pursuant to Section 906 of the Sarbanes-Oxley Act of</w:t>
            </w:r>
          </w:p>
        </w:tc>
      </w:tr>
      <w:tr>
        <w:trPr>
          <w:trHeight w:val="196"/>
        </w:trPr>
        <w:tc>
          <w:tcPr>
            <w:tcW w:w="14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2002. ††</w:t>
            </w:r>
          </w:p>
        </w:tc>
        <w:tc>
          <w:tcPr>
            <w:tcW w:w="68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440" w:type="dxa"/>
            <w:vAlign w:val="bottom"/>
          </w:tcPr>
          <w:p>
            <w:pPr>
              <w:spacing w:after="0"/>
              <w:rPr>
                <w:sz w:val="20"/>
                <w:szCs w:val="20"/>
                <w:color w:val="auto"/>
              </w:rPr>
            </w:pPr>
            <w:r>
              <w:rPr>
                <w:rFonts w:ascii="Arial" w:cs="Arial" w:eastAsia="Arial" w:hAnsi="Arial"/>
                <w:sz w:val="18"/>
                <w:szCs w:val="18"/>
                <w:color w:val="auto"/>
              </w:rPr>
              <w:t>Exhibit 101.INS</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311"/>
        </w:trPr>
        <w:tc>
          <w:tcPr>
            <w:tcW w:w="1440" w:type="dxa"/>
            <w:vAlign w:val="bottom"/>
          </w:tcPr>
          <w:p>
            <w:pPr>
              <w:spacing w:after="0"/>
              <w:rPr>
                <w:sz w:val="20"/>
                <w:szCs w:val="20"/>
                <w:color w:val="auto"/>
              </w:rPr>
            </w:pPr>
            <w:r>
              <w:rPr>
                <w:rFonts w:ascii="Arial" w:cs="Arial" w:eastAsia="Arial" w:hAnsi="Arial"/>
                <w:sz w:val="18"/>
                <w:szCs w:val="18"/>
                <w:color w:val="auto"/>
              </w:rPr>
              <w:t>Exhibit 101.SCH</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Exhibit 101.CAL</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1"/>
        </w:trPr>
        <w:tc>
          <w:tcPr>
            <w:tcW w:w="1440" w:type="dxa"/>
            <w:vAlign w:val="bottom"/>
          </w:tcPr>
          <w:p>
            <w:pPr>
              <w:spacing w:after="0"/>
              <w:rPr>
                <w:sz w:val="20"/>
                <w:szCs w:val="20"/>
                <w:color w:val="auto"/>
              </w:rPr>
            </w:pPr>
            <w:r>
              <w:rPr>
                <w:rFonts w:ascii="Arial" w:cs="Arial" w:eastAsia="Arial" w:hAnsi="Arial"/>
                <w:sz w:val="18"/>
                <w:szCs w:val="18"/>
                <w:color w:val="auto"/>
              </w:rPr>
              <w:t>Exhibit 101.DEF</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Exhibit 101.LAB</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1"/>
        </w:trPr>
        <w:tc>
          <w:tcPr>
            <w:tcW w:w="1440" w:type="dxa"/>
            <w:vAlign w:val="bottom"/>
          </w:tcPr>
          <w:p>
            <w:pPr>
              <w:spacing w:after="0"/>
              <w:rPr>
                <w:sz w:val="20"/>
                <w:szCs w:val="20"/>
                <w:color w:val="auto"/>
              </w:rPr>
            </w:pPr>
            <w:r>
              <w:rPr>
                <w:rFonts w:ascii="Arial" w:cs="Arial" w:eastAsia="Arial" w:hAnsi="Arial"/>
                <w:sz w:val="18"/>
                <w:szCs w:val="18"/>
                <w:color w:val="auto"/>
              </w:rPr>
              <w:t>Exhibit 101.PRE</w:t>
            </w:r>
          </w:p>
        </w:tc>
        <w:tc>
          <w:tcPr>
            <w:tcW w:w="74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Exhibit 104</w:t>
            </w:r>
          </w:p>
        </w:tc>
        <w:tc>
          <w:tcPr>
            <w:tcW w:w="74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320" w:hanging="270"/>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jc w:val="both"/>
        <w:ind w:left="380" w:right="59" w:hanging="330"/>
        <w:spacing w:after="0" w:line="255" w:lineRule="auto"/>
        <w:tabs>
          <w:tab w:leader="none" w:pos="4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ALPINE INCOME PROPERTY TRUST, INC.</w:t>
      </w:r>
    </w:p>
    <w:p>
      <w:pPr>
        <w:spacing w:after="0" w:line="225" w:lineRule="exact"/>
        <w:rPr>
          <w:sz w:val="20"/>
          <w:szCs w:val="20"/>
          <w:color w:val="auto"/>
        </w:rPr>
      </w:pPr>
    </w:p>
    <w:p>
      <w:pPr>
        <w:ind w:left="60"/>
        <w:spacing w:after="0"/>
        <w:tabs>
          <w:tab w:leader="none" w:pos="4660" w:val="left"/>
          <w:tab w:leader="none" w:pos="596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457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President and Chief Executive Officer (Principal Executive</w:t>
            </w:r>
          </w:p>
        </w:tc>
        <w:tc>
          <w:tcPr>
            <w:tcW w:w="256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Officer), and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ALBRIGHT</w:t>
            </w:r>
          </w:p>
        </w:tc>
      </w:tr>
      <w:tr>
        <w:trPr>
          <w:trHeight w:val="411"/>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w w:val="97"/>
              </w:rPr>
              <w:t>Senior Vice President, Chief Financial Officer, and Treasurer</w:t>
            </w:r>
          </w:p>
        </w:tc>
        <w:tc>
          <w:tcPr>
            <w:tcW w:w="256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 PARTRIDGE</w:t>
            </w:r>
          </w:p>
        </w:tc>
      </w:tr>
      <w:tr>
        <w:trPr>
          <w:trHeight w:val="411"/>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Vice President and Chief Accounting Officer (Principal</w:t>
            </w:r>
          </w:p>
        </w:tc>
        <w:tc>
          <w:tcPr>
            <w:tcW w:w="256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Accounting Officer)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M. VORAKOUN</w:t>
            </w:r>
          </w:p>
        </w:tc>
      </w:tr>
      <w:tr>
        <w:trPr>
          <w:trHeight w:val="425"/>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Chairman of the Board, 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/S/ ANDREW C. RICHARDSON</w:t>
            </w:r>
          </w:p>
        </w:tc>
      </w:tr>
      <w:tr>
        <w:trPr>
          <w:trHeight w:val="425"/>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 DECKER, JR.</w:t>
            </w:r>
          </w:p>
        </w:tc>
      </w:tr>
      <w:tr>
        <w:trPr>
          <w:trHeight w:val="426"/>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CARSON GOOD</w:t>
            </w:r>
          </w:p>
        </w:tc>
      </w:tr>
      <w:tr>
        <w:trPr>
          <w:trHeight w:val="425"/>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YARCKIN</w:t>
            </w:r>
          </w:p>
        </w:tc>
      </w:tr>
      <w:tr>
        <w:trPr>
          <w:trHeight w:val="425"/>
        </w:trPr>
        <w:tc>
          <w:tcPr>
            <w:tcW w:w="1420" w:type="dxa"/>
            <w:vAlign w:val="bottom"/>
          </w:tcPr>
          <w:p>
            <w:pPr>
              <w:spacing w:after="0"/>
              <w:rPr>
                <w:sz w:val="20"/>
                <w:szCs w:val="20"/>
                <w:color w:val="auto"/>
              </w:rPr>
            </w:pPr>
            <w:r>
              <w:rPr>
                <w:rFonts w:ascii="Arial" w:cs="Arial" w:eastAsia="Arial" w:hAnsi="Arial"/>
                <w:sz w:val="18"/>
                <w:szCs w:val="18"/>
                <w:color w:val="auto"/>
              </w:rPr>
              <w:t>February 9, 2023</w:t>
            </w:r>
          </w:p>
        </w:tc>
        <w:tc>
          <w:tcPr>
            <w:tcW w:w="4920" w:type="dxa"/>
            <w:vAlign w:val="bottom"/>
          </w:tcPr>
          <w:p>
            <w:pPr>
              <w:ind w:left="200"/>
              <w:spacing w:after="0"/>
              <w:rPr>
                <w:sz w:val="20"/>
                <w:szCs w:val="20"/>
                <w:color w:val="auto"/>
              </w:rPr>
            </w:pPr>
            <w:r>
              <w:rPr>
                <w:rFonts w:ascii="Arial" w:cs="Arial" w:eastAsia="Arial" w:hAnsi="Arial"/>
                <w:sz w:val="18"/>
                <w:szCs w:val="18"/>
                <w:color w:val="auto"/>
              </w:rPr>
              <w:t>Director</w:t>
            </w: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RACHEL E. WEIN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20" w:type="dxa"/>
            <w:vAlign w:val="bottom"/>
            <w:gridSpan w:val="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660" w:type="dxa"/>
            <w:vAlign w:val="bottom"/>
          </w:tcPr>
          <w:p>
            <w:pPr>
              <w:ind w:left="420"/>
              <w:spacing w:after="0"/>
              <w:rPr>
                <w:sz w:val="20"/>
                <w:szCs w:val="20"/>
                <w:color w:val="auto"/>
              </w:rPr>
            </w:pPr>
            <w:r>
              <w:rPr>
                <w:rFonts w:ascii="Arial" w:cs="Arial" w:eastAsia="Arial" w:hAnsi="Arial"/>
                <w:sz w:val="18"/>
                <w:szCs w:val="18"/>
                <w:color w:val="auto"/>
                <w:w w:val="81"/>
              </w:rPr>
              <w:t>F-2</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Consolidated Balance Sheets as of December 31, 2022 and 2021</w:t>
            </w:r>
          </w:p>
        </w:tc>
        <w:tc>
          <w:tcPr>
            <w:tcW w:w="3580" w:type="dxa"/>
            <w:vAlign w:val="bottom"/>
            <w:gridSpan w:val="5"/>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Arial" w:cs="Arial" w:eastAsia="Arial" w:hAnsi="Arial"/>
                <w:sz w:val="18"/>
                <w:szCs w:val="18"/>
                <w:color w:val="auto"/>
                <w:w w:val="81"/>
              </w:rPr>
              <w:t>F-3</w:t>
            </w:r>
          </w:p>
        </w:tc>
      </w:tr>
      <w:tr>
        <w:trPr>
          <w:trHeight w:val="412"/>
        </w:trPr>
        <w:tc>
          <w:tcPr>
            <w:tcW w:w="8220" w:type="dxa"/>
            <w:vAlign w:val="bottom"/>
            <w:gridSpan w:val="8"/>
          </w:tcPr>
          <w:p>
            <w:pPr>
              <w:spacing w:after="0"/>
              <w:rPr>
                <w:sz w:val="20"/>
                <w:szCs w:val="20"/>
                <w:color w:val="auto"/>
              </w:rPr>
            </w:pPr>
            <w:r>
              <w:rPr>
                <w:rFonts w:ascii="Arial" w:cs="Arial" w:eastAsia="Arial" w:hAnsi="Arial"/>
                <w:sz w:val="18"/>
                <w:szCs w:val="18"/>
                <w:color w:val="0000EE"/>
              </w:rPr>
              <w:t>Consolidated Statements of Operations for the years ended December 31, 2022, 2021, and 2020</w:t>
            </w:r>
          </w:p>
        </w:tc>
        <w:tc>
          <w:tcPr>
            <w:tcW w:w="660" w:type="dxa"/>
            <w:vAlign w:val="bottom"/>
          </w:tcPr>
          <w:p>
            <w:pPr>
              <w:ind w:left="420"/>
              <w:spacing w:after="0"/>
              <w:rPr>
                <w:sz w:val="20"/>
                <w:szCs w:val="20"/>
                <w:color w:val="auto"/>
              </w:rPr>
            </w:pPr>
            <w:r>
              <w:rPr>
                <w:rFonts w:ascii="Arial" w:cs="Arial" w:eastAsia="Arial" w:hAnsi="Arial"/>
                <w:sz w:val="18"/>
                <w:szCs w:val="18"/>
                <w:color w:val="auto"/>
                <w:w w:val="81"/>
              </w:rPr>
              <w:t>F-4</w:t>
            </w:r>
          </w:p>
        </w:tc>
      </w:tr>
      <w:tr>
        <w:trPr>
          <w:trHeight w:val="20"/>
        </w:trPr>
        <w:tc>
          <w:tcPr>
            <w:tcW w:w="314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78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years ended December 31, 2022, 2021, and 2020</w:t>
            </w:r>
          </w:p>
        </w:tc>
        <w:tc>
          <w:tcPr>
            <w:tcW w:w="40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8220" w:type="dxa"/>
            <w:vAlign w:val="bottom"/>
            <w:gridSpan w:val="8"/>
          </w:tcPr>
          <w:p>
            <w:pPr>
              <w:spacing w:after="0" w:line="196" w:lineRule="exact"/>
              <w:rPr>
                <w:sz w:val="20"/>
                <w:szCs w:val="20"/>
                <w:color w:val="auto"/>
              </w:rPr>
            </w:pPr>
            <w:r>
              <w:rPr>
                <w:rFonts w:ascii="Arial" w:cs="Arial" w:eastAsia="Arial" w:hAnsi="Arial"/>
                <w:sz w:val="18"/>
                <w:szCs w:val="18"/>
                <w:color w:val="0000EE"/>
                <w:w w:val="96"/>
              </w:rPr>
              <w:t>Consolidated Statements of Stockholders’ Equity for the years ended December 31, 2022, 2021, and 2020</w:t>
            </w:r>
          </w:p>
        </w:tc>
        <w:tc>
          <w:tcPr>
            <w:tcW w:w="660" w:type="dxa"/>
            <w:vAlign w:val="bottom"/>
          </w:tcPr>
          <w:p>
            <w:pPr>
              <w:ind w:left="42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762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7"/>
              </w:rPr>
              <w:t>Consolidated Statements of Cash Flows for the years ended December 31, 2022, 2021, and 2020</w:t>
            </w:r>
          </w:p>
        </w:tc>
        <w:tc>
          <w:tcPr>
            <w:tcW w:w="600" w:type="dxa"/>
            <w:vAlign w:val="bottom"/>
            <w:gridSpan w:val="2"/>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31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3800" w:type="dxa"/>
            <w:vAlign w:val="bottom"/>
            <w:tcBorders>
              <w:top w:val="single" w:sz="8" w:color="0000EE"/>
            </w:tcBorders>
            <w:gridSpan w:val="4"/>
          </w:tcPr>
          <w:p>
            <w:pPr>
              <w:spacing w:after="0"/>
              <w:rPr>
                <w:sz w:val="17"/>
                <w:szCs w:val="17"/>
                <w:color w:val="auto"/>
              </w:rPr>
            </w:pPr>
          </w:p>
        </w:tc>
        <w:tc>
          <w:tcPr>
            <w:tcW w:w="1280" w:type="dxa"/>
            <w:vAlign w:val="bottom"/>
            <w:gridSpan w:val="3"/>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Arial" w:cs="Arial" w:eastAsia="Arial" w:hAnsi="Arial"/>
                <w:sz w:val="18"/>
                <w:szCs w:val="18"/>
                <w:color w:val="auto"/>
                <w:w w:val="81"/>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Stockholders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Alpine Income Property Trust, Inc.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31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audited the accompanying consolidated balance sheets of Alpine Income Property Trust, Inc. (a Maryland corporation) and subsidiaries (the “Company”) as of December 31, 2022 and 2021, the related consolidated statements of operations, comprehensive income, stockholders’ equity, and cash flows for each of the three the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each of the three years in the period ended December 31, 2022, in conformity with accounting principles generally accepted in the United States of America.</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Grant Thornton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1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(22,313)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Intangible Lease Assets—Net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4,411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Rent and Deferred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Intangible Lease Liabilities—Net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Contingencies—See Note 16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Preferred Stock, $0.01 par value per share, 100 million shares authorized, no shares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and outstanding as of December 31, 2022 and December 31, 2021</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120"/>
              <w:spacing w:after="0" w:line="201" w:lineRule="exact"/>
              <w:rPr>
                <w:sz w:val="20"/>
                <w:szCs w:val="20"/>
                <w:color w:val="auto"/>
              </w:rPr>
            </w:pPr>
            <w:r>
              <w:rPr>
                <w:rFonts w:ascii="Arial" w:cs="Arial" w:eastAsia="Arial" w:hAnsi="Arial"/>
                <w:sz w:val="18"/>
                <w:szCs w:val="18"/>
                <w:color w:val="auto"/>
              </w:rPr>
              <w:t>Common Stock, $0.01 par value per share, 500 million shares authorized,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w w:val="89"/>
              </w:rPr>
              <w:t>13,394,677 shares issued and outstanding as of December 31, 2022 and 11,454,815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shares issued and outstanding as of December 31, 2021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8"/>
                <w:szCs w:val="18"/>
                <w:color w:val="auto"/>
              </w:rPr>
              <w:t>Retained Earnings (Dividends in Excess of Net Income)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573,431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8"/>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20"/>
              <w:spacing w:after="0" w:line="178" w:lineRule="exact"/>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5"/>
                <w:szCs w:val="15"/>
                <w:color w:val="auto"/>
              </w:rPr>
            </w:pPr>
          </w:p>
        </w:tc>
        <w:tc>
          <w:tcPr>
            <w:tcW w:w="1340" w:type="dxa"/>
            <w:vAlign w:val="bottom"/>
            <w:gridSpan w:val="2"/>
          </w:tcPr>
          <w:p>
            <w:pPr>
              <w:jc w:val="center"/>
              <w:ind w:right="280"/>
              <w:spacing w:after="0" w:line="178" w:lineRule="exact"/>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5"/>
                <w:szCs w:val="15"/>
                <w:color w:val="auto"/>
              </w:rPr>
            </w:pPr>
          </w:p>
        </w:tc>
        <w:tc>
          <w:tcPr>
            <w:tcW w:w="1220" w:type="dxa"/>
            <w:vAlign w:val="bottom"/>
          </w:tcPr>
          <w:p>
            <w:pPr>
              <w:jc w:val="right"/>
              <w:ind w:right="95"/>
              <w:spacing w:after="0" w:line="178" w:lineRule="exact"/>
              <w:rPr>
                <w:sz w:val="20"/>
                <w:szCs w:val="20"/>
                <w:color w:val="auto"/>
              </w:rPr>
            </w:pPr>
            <w:r>
              <w:rPr>
                <w:rFonts w:ascii="Arial" w:cs="Arial" w:eastAsia="Arial" w:hAnsi="Arial"/>
                <w:sz w:val="17"/>
                <w:szCs w:val="17"/>
                <w:b w:val="1"/>
                <w:bCs w:val="1"/>
                <w:color w:val="auto"/>
                <w:w w:val="92"/>
              </w:rPr>
              <w:t>December 31,</w:t>
            </w:r>
          </w:p>
        </w:tc>
        <w:tc>
          <w:tcPr>
            <w:tcW w:w="20" w:type="dxa"/>
            <w:vAlign w:val="bottom"/>
          </w:tcPr>
          <w:p>
            <w:pPr>
              <w:spacing w:after="0"/>
              <w:rPr>
                <w:sz w:val="15"/>
                <w:szCs w:val="15"/>
                <w:color w:val="auto"/>
              </w:rPr>
            </w:pPr>
          </w:p>
        </w:tc>
      </w:tr>
      <w:tr>
        <w:trPr>
          <w:trHeight w:val="222"/>
        </w:trPr>
        <w:tc>
          <w:tcPr>
            <w:tcW w:w="4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2021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9"/>
                <w:szCs w:val="19"/>
                <w:color w:val="auto"/>
              </w:rPr>
            </w:pPr>
          </w:p>
        </w:tc>
      </w:tr>
      <w:tr>
        <w:trPr>
          <w:trHeight w:val="198"/>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Lease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45,203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30,128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19,248</w:t>
            </w:r>
          </w:p>
        </w:tc>
        <w:tc>
          <w:tcPr>
            <w:tcW w:w="20" w:type="dxa"/>
            <w:vAlign w:val="bottom"/>
          </w:tcPr>
          <w:p>
            <w:pPr>
              <w:spacing w:after="0"/>
              <w:rPr>
                <w:sz w:val="17"/>
                <w:szCs w:val="17"/>
                <w:color w:val="auto"/>
              </w:rPr>
            </w:pPr>
          </w:p>
        </w:tc>
      </w:tr>
      <w:tr>
        <w:trPr>
          <w:trHeight w:val="196"/>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45,203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19,248</w:t>
            </w:r>
          </w:p>
        </w:tc>
        <w:tc>
          <w:tcPr>
            <w:tcW w:w="20" w:type="dxa"/>
            <w:vAlign w:val="bottom"/>
          </w:tcPr>
          <w:p>
            <w:pPr>
              <w:spacing w:after="0"/>
              <w:rPr>
                <w:sz w:val="17"/>
                <w:szCs w:val="17"/>
                <w:color w:val="auto"/>
              </w:rPr>
            </w:pPr>
          </w:p>
        </w:tc>
      </w:tr>
      <w:tr>
        <w:trPr>
          <w:trHeight w:val="196"/>
        </w:trPr>
        <w:tc>
          <w:tcPr>
            <w:tcW w:w="47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Real Estate Expenses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2,316</w:t>
            </w:r>
          </w:p>
        </w:tc>
        <w:tc>
          <w:tcPr>
            <w:tcW w:w="20" w:type="dxa"/>
            <w:vAlign w:val="bottom"/>
          </w:tcPr>
          <w:p>
            <w:pPr>
              <w:spacing w:after="0"/>
              <w:rPr>
                <w:sz w:val="17"/>
                <w:szCs w:val="17"/>
                <w:color w:val="auto"/>
              </w:rPr>
            </w:pPr>
          </w:p>
        </w:tc>
      </w:tr>
      <w:tr>
        <w:trPr>
          <w:trHeight w:val="203"/>
        </w:trPr>
        <w:tc>
          <w:tcPr>
            <w:tcW w:w="4740" w:type="dxa"/>
            <w:vAlign w:val="bottom"/>
          </w:tcPr>
          <w:p>
            <w:pPr>
              <w:ind w:left="120"/>
              <w:spacing w:after="0"/>
              <w:rPr>
                <w:sz w:val="20"/>
                <w:szCs w:val="20"/>
                <w:color w:val="auto"/>
              </w:rPr>
            </w:pPr>
            <w:r>
              <w:rPr>
                <w:rFonts w:ascii="Arial" w:cs="Arial" w:eastAsia="Arial" w:hAnsi="Arial"/>
                <w:sz w:val="17"/>
                <w:szCs w:val="17"/>
                <w:color w:val="auto"/>
              </w:rPr>
              <w:t>General and Administrative Expenses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4,660</w:t>
            </w: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15,939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9,949</w:t>
            </w:r>
          </w:p>
        </w:tc>
        <w:tc>
          <w:tcPr>
            <w:tcW w:w="20" w:type="dxa"/>
            <w:vAlign w:val="bottom"/>
          </w:tcPr>
          <w:p>
            <w:pPr>
              <w:spacing w:after="0"/>
              <w:rPr>
                <w:sz w:val="17"/>
                <w:szCs w:val="17"/>
                <w:color w:val="auto"/>
              </w:rPr>
            </w:pPr>
          </w:p>
        </w:tc>
      </w:tr>
      <w:tr>
        <w:trPr>
          <w:trHeight w:val="196"/>
        </w:trPr>
        <w:tc>
          <w:tcPr>
            <w:tcW w:w="4740" w:type="dxa"/>
            <w:vAlign w:val="bottom"/>
          </w:tcPr>
          <w:p>
            <w:pPr>
              <w:ind w:left="220"/>
              <w:spacing w:after="0"/>
              <w:rPr>
                <w:sz w:val="20"/>
                <w:szCs w:val="20"/>
                <w:color w:val="auto"/>
              </w:rPr>
            </w:pPr>
            <w:r>
              <w:rPr>
                <w:rFonts w:ascii="Arial" w:cs="Arial" w:eastAsia="Arial" w:hAnsi="Arial"/>
                <w:sz w:val="17"/>
                <w:szCs w:val="17"/>
                <w:color w:val="auto"/>
              </w:rPr>
              <w:t>Total Operating Expenses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34,783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24,639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16,925</w:t>
            </w: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on Disposition of Assets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20" w:type="dxa"/>
            <w:vAlign w:val="bottom"/>
          </w:tcPr>
          <w:p>
            <w:pPr>
              <w:spacing w:after="0"/>
              <w:rPr>
                <w:sz w:val="17"/>
                <w:szCs w:val="17"/>
                <w:color w:val="auto"/>
              </w:rPr>
            </w:pPr>
          </w:p>
        </w:tc>
      </w:tr>
      <w:tr>
        <w:trPr>
          <w:trHeight w:val="203"/>
        </w:trPr>
        <w:tc>
          <w:tcPr>
            <w:tcW w:w="4740" w:type="dxa"/>
            <w:vAlign w:val="bottom"/>
          </w:tcPr>
          <w:p>
            <w:pPr>
              <w:ind w:left="120"/>
              <w:spacing w:after="0"/>
              <w:rPr>
                <w:sz w:val="20"/>
                <w:szCs w:val="20"/>
                <w:color w:val="auto"/>
              </w:rPr>
            </w:pPr>
            <w:r>
              <w:rPr>
                <w:rFonts w:ascii="Arial" w:cs="Arial" w:eastAsia="Arial" w:hAnsi="Arial"/>
                <w:sz w:val="17"/>
                <w:szCs w:val="17"/>
                <w:color w:val="auto"/>
              </w:rPr>
              <w:t>Loss on Extinguishment of Debt</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(727)</w:t>
            </w:r>
          </w:p>
        </w:tc>
        <w:tc>
          <w:tcPr>
            <w:tcW w:w="1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From Operations</w:t>
            </w: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43,494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2,610</w:t>
            </w:r>
          </w:p>
        </w:tc>
        <w:tc>
          <w:tcPr>
            <w:tcW w:w="20" w:type="dxa"/>
            <w:vAlign w:val="bottom"/>
          </w:tcPr>
          <w:p>
            <w:pPr>
              <w:spacing w:after="0"/>
              <w:rPr>
                <w:sz w:val="17"/>
                <w:szCs w:val="17"/>
                <w:color w:val="auto"/>
              </w:rPr>
            </w:pPr>
          </w:p>
        </w:tc>
      </w:tr>
      <w:tr>
        <w:trPr>
          <w:trHeight w:val="202"/>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w:t>
            </w:r>
          </w:p>
        </w:tc>
        <w:tc>
          <w:tcPr>
            <w:tcW w:w="20" w:type="dxa"/>
            <w:vAlign w:val="bottom"/>
          </w:tcPr>
          <w:p>
            <w:pPr>
              <w:spacing w:after="0"/>
              <w:rPr>
                <w:sz w:val="17"/>
                <w:szCs w:val="17"/>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20" w:type="dxa"/>
            <w:vAlign w:val="bottom"/>
          </w:tcPr>
          <w:p>
            <w:pPr>
              <w:spacing w:after="0"/>
              <w:rPr>
                <w:sz w:val="17"/>
                <w:szCs w:val="17"/>
                <w:color w:val="auto"/>
              </w:rPr>
            </w:pPr>
          </w:p>
        </w:tc>
      </w:tr>
      <w:tr>
        <w:trPr>
          <w:trHeight w:val="203"/>
        </w:trPr>
        <w:tc>
          <w:tcPr>
            <w:tcW w:w="4740" w:type="dxa"/>
            <w:vAlign w:val="bottom"/>
          </w:tcPr>
          <w:p>
            <w:pPr>
              <w:ind w:left="220"/>
              <w:spacing w:after="0"/>
              <w:rPr>
                <w:sz w:val="20"/>
                <w:szCs w:val="20"/>
                <w:color w:val="auto"/>
              </w:rPr>
            </w:pPr>
            <w:r>
              <w:rPr>
                <w:rFonts w:ascii="Arial" w:cs="Arial" w:eastAsia="Arial" w:hAnsi="Arial"/>
                <w:sz w:val="17"/>
                <w:szCs w:val="17"/>
                <w:color w:val="auto"/>
              </w:rPr>
              <w:t>Less: Net Income Attributable to Noncontrolling Interest</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(4,235)</w:t>
            </w:r>
          </w:p>
        </w:tc>
        <w:tc>
          <w:tcPr>
            <w:tcW w:w="1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(1,498)</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(161)</w:t>
            </w:r>
          </w:p>
        </w:tc>
        <w:tc>
          <w:tcPr>
            <w:tcW w:w="20" w:type="dxa"/>
            <w:vAlign w:val="bottom"/>
          </w:tcPr>
          <w:p>
            <w:pPr>
              <w:spacing w:after="0"/>
              <w:rPr>
                <w:sz w:val="17"/>
                <w:szCs w:val="17"/>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Alpine Income Property Trust,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2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 Common Share Data:</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7"/>
                <w:szCs w:val="17"/>
                <w:color w:val="auto"/>
              </w:rPr>
              <w:t>Net Income Attributable to Alpine Income Property Trust, Inc.</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20" w:type="dxa"/>
            <w:vAlign w:val="bottom"/>
          </w:tcPr>
          <w:p>
            <w:pPr>
              <w:spacing w:after="0"/>
              <w:rPr>
                <w:sz w:val="17"/>
                <w:szCs w:val="17"/>
                <w:color w:val="auto"/>
              </w:rPr>
            </w:pPr>
          </w:p>
        </w:tc>
      </w:tr>
      <w:tr>
        <w:trPr>
          <w:trHeight w:val="203"/>
        </w:trPr>
        <w:tc>
          <w:tcPr>
            <w:tcW w:w="4740" w:type="dxa"/>
            <w:vAlign w:val="bottom"/>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2.17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0.89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0.11</w:t>
            </w: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7"/>
                <w:szCs w:val="17"/>
                <w:color w:val="auto"/>
              </w:rPr>
              <w:t>Weighted Average Number of Common Shares: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11,976,001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9,781,066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7,588,349</w:t>
            </w:r>
          </w:p>
        </w:tc>
        <w:tc>
          <w:tcPr>
            <w:tcW w:w="20" w:type="dxa"/>
            <w:vAlign w:val="bottom"/>
          </w:tcPr>
          <w:p>
            <w:pPr>
              <w:spacing w:after="0"/>
              <w:rPr>
                <w:sz w:val="17"/>
                <w:szCs w:val="17"/>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13,679,495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11,246,227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8,812,203</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620"/>
        <w:spacing w:after="0" w:line="275" w:lineRule="auto"/>
        <w:rPr>
          <w:sz w:val="20"/>
          <w:szCs w:val="20"/>
          <w:color w:val="auto"/>
        </w:rPr>
      </w:pPr>
      <w:r>
        <w:rPr>
          <w:rFonts w:ascii="Arial" w:cs="Arial" w:eastAsia="Arial" w:hAnsi="Arial"/>
          <w:sz w:val="18"/>
          <w:szCs w:val="18"/>
          <w:b w:val="1"/>
          <w:bCs w:val="1"/>
          <w:color w:val="auto"/>
        </w:rPr>
        <w:t>ALPINE INCOME PROPERTY TRUST, INC. CONSOLIDATED A STATEMENTS OF COMPREHENSIVE INCOME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6"/>
                <w:szCs w:val="16"/>
                <w:color w:val="auto"/>
              </w:rPr>
            </w:pPr>
          </w:p>
        </w:tc>
        <w:tc>
          <w:tcPr>
            <w:tcW w:w="134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1200" w:type="dxa"/>
            <w:vAlign w:val="bottom"/>
          </w:tcPr>
          <w:p>
            <w:pPr>
              <w:jc w:val="right"/>
              <w:ind w:right="33"/>
              <w:spacing w:after="0" w:line="191" w:lineRule="exact"/>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6"/>
                <w:szCs w:val="16"/>
                <w:color w:val="auto"/>
              </w:rPr>
            </w:pPr>
          </w:p>
        </w:tc>
      </w:tr>
      <w:tr>
        <w:trPr>
          <w:trHeight w:val="234"/>
        </w:trPr>
        <w:tc>
          <w:tcPr>
            <w:tcW w:w="47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Net Income Attributable to Alpine Income Property Trust,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29,720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20" w:type="dxa"/>
            <w:vAlign w:val="bottom"/>
          </w:tcPr>
          <w:p>
            <w:pPr>
              <w:spacing w:after="0"/>
              <w:rPr>
                <w:sz w:val="17"/>
                <w:szCs w:val="17"/>
                <w:color w:val="auto"/>
              </w:rPr>
            </w:pPr>
          </w:p>
        </w:tc>
      </w:tr>
      <w:tr>
        <w:trPr>
          <w:trHeight w:val="196"/>
        </w:trPr>
        <w:tc>
          <w:tcPr>
            <w:tcW w:w="470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Flow Hedging Derivative - Interest Rate Swaps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20" w:type="dxa"/>
            <w:vAlign w:val="bottom"/>
          </w:tcPr>
          <w:p>
            <w:pPr>
              <w:spacing w:after="0"/>
              <w:rPr>
                <w:sz w:val="18"/>
                <w:szCs w:val="18"/>
                <w:color w:val="auto"/>
              </w:rPr>
            </w:pPr>
          </w:p>
        </w:tc>
      </w:tr>
      <w:tr>
        <w:trPr>
          <w:trHeight w:val="196"/>
        </w:trPr>
        <w:tc>
          <w:tcPr>
            <w:tcW w:w="47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Other Comprehensive Income (Loss)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20" w:type="dxa"/>
            <w:vAlign w:val="bottom"/>
          </w:tcPr>
          <w:p>
            <w:pPr>
              <w:spacing w:after="0"/>
              <w:rPr>
                <w:sz w:val="17"/>
                <w:szCs w:val="17"/>
                <w:color w:val="auto"/>
              </w:rPr>
            </w:pPr>
          </w:p>
        </w:tc>
      </w:tr>
      <w:tr>
        <w:trPr>
          <w:trHeight w:val="196"/>
        </w:trPr>
        <w:tc>
          <w:tcPr>
            <w:tcW w:w="4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42,399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12,367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2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66" w:lineRule="auto"/>
        <w:rPr>
          <w:sz w:val="20"/>
          <w:szCs w:val="20"/>
          <w:color w:val="auto"/>
        </w:rPr>
      </w:pPr>
      <w:r>
        <w:rPr>
          <w:rFonts w:ascii="Arial" w:cs="Arial" w:eastAsia="Arial" w:hAnsi="Arial"/>
          <w:sz w:val="18"/>
          <w:szCs w:val="18"/>
          <w:b w:val="1"/>
          <w:bCs w:val="1"/>
          <w:color w:val="auto"/>
        </w:rPr>
        <w:t>ALPINE INCOME PROPERTY TRUST, INC. CONSOLIDATED STATEMENTS OF STOCKHOLDERS’ EQUITY (In thousands, except per share data)</w:t>
      </w: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Dividends</w:t>
            </w: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 Excess</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2"/>
                <w:szCs w:val="12"/>
                <w:color w:val="auto"/>
              </w:rPr>
            </w:pP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 at</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 Net</w:t>
            </w: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137,948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137,529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160,705</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985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1,146</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(5,014)</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(5,014)</w:t>
            </w: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Payment of Shelf Registration and ATM</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Issuance to Directors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Cash Dividend ($0.820 per share)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(6,200)</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(6,200)</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(1,003)</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(481)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(481)</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2"/>
        </w:trPr>
        <w:tc>
          <w:tcPr>
            <w:tcW w:w="2500" w:type="dxa"/>
            <w:vAlign w:val="bottom"/>
          </w:tcPr>
          <w:p>
            <w:pPr>
              <w:ind w:left="20"/>
              <w:spacing w:after="0" w:line="142" w:lineRule="exact"/>
              <w:rPr>
                <w:sz w:val="20"/>
                <w:szCs w:val="20"/>
                <w:color w:val="auto"/>
              </w:rPr>
            </w:pPr>
            <w:r>
              <w:rPr>
                <w:rFonts w:ascii="Arial" w:cs="Arial" w:eastAsia="Arial" w:hAnsi="Arial"/>
                <w:sz w:val="14"/>
                <w:szCs w:val="14"/>
                <w:color w:val="auto"/>
              </w:rPr>
              <w:t>Balance December 31, 2020</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132,878</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(5,713)</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(481)</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126,759</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22,334</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149,093</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11,462</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Stock Issuance to Directors</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0"/>
        </w:trPr>
        <w:tc>
          <w:tcPr>
            <w:tcW w:w="2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Stock Issuance, Net of Equity Issuance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67,731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67,770</w:t>
            </w: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Operating Units Issued</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9,041</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 ($1.015 per share)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(10,670)</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(10,670)</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(1,494)</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(12,164)</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2021</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200,906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1,922</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196,523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31,379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227,902</w:t>
            </w: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29,720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29,720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33,955</w:t>
            </w:r>
          </w:p>
        </w:tc>
        <w:tc>
          <w:tcPr>
            <w:tcW w:w="0" w:type="dxa"/>
            <w:vAlign w:val="bottom"/>
          </w:tcPr>
          <w:p>
            <w:pPr>
              <w:spacing w:after="0"/>
              <w:rPr>
                <w:sz w:val="1"/>
                <w:szCs w:val="1"/>
                <w:color w:val="auto"/>
              </w:rPr>
            </w:pPr>
          </w:p>
        </w:tc>
      </w:tr>
      <w:tr>
        <w:trPr>
          <w:trHeight w:val="148"/>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Issuance to Directors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Stock Issuance, Net of Equity Issuance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
              <w:spacing w:after="0"/>
              <w:rPr>
                <w:sz w:val="20"/>
                <w:szCs w:val="20"/>
                <w:color w:val="auto"/>
              </w:rPr>
            </w:pPr>
            <w:r>
              <w:rPr>
                <w:rFonts w:ascii="Arial" w:cs="Arial" w:eastAsia="Arial" w:hAnsi="Arial"/>
                <w:sz w:val="14"/>
                <w:szCs w:val="14"/>
                <w:color w:val="auto"/>
              </w:rPr>
              <w:t>Costs</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35,625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35,645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35,645</w:t>
            </w:r>
          </w:p>
        </w:tc>
        <w:tc>
          <w:tcPr>
            <w:tcW w:w="0" w:type="dxa"/>
            <w:vAlign w:val="bottom"/>
          </w:tcPr>
          <w:p>
            <w:pPr>
              <w:spacing w:after="0"/>
              <w:rPr>
                <w:sz w:val="1"/>
                <w:szCs w:val="1"/>
                <w:color w:val="auto"/>
              </w:rPr>
            </w:pPr>
          </w:p>
        </w:tc>
      </w:tr>
      <w:tr>
        <w:trPr>
          <w:trHeight w:val="149"/>
        </w:trPr>
        <w:tc>
          <w:tcPr>
            <w:tcW w:w="2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 ($1.090 per share)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(13,259)</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(13,259)</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(1,857)</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(15,116)</w:t>
            </w:r>
          </w:p>
        </w:tc>
        <w:tc>
          <w:tcPr>
            <w:tcW w:w="0" w:type="dxa"/>
            <w:vAlign w:val="bottom"/>
          </w:tcPr>
          <w:p>
            <w:pPr>
              <w:spacing w:after="0"/>
              <w:rPr>
                <w:sz w:val="1"/>
                <w:szCs w:val="1"/>
                <w:color w:val="auto"/>
              </w:rPr>
            </w:pPr>
          </w:p>
        </w:tc>
      </w:tr>
      <w:tr>
        <w:trPr>
          <w:trHeight w:val="148"/>
        </w:trPr>
        <w:tc>
          <w:tcPr>
            <w:tcW w:w="2500" w:type="dxa"/>
            <w:vAlign w:val="bottom"/>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12,679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2"/>
        </w:trPr>
        <w:tc>
          <w:tcPr>
            <w:tcW w:w="250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236,841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261,618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33,757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295,375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2022</w:t>
            </w:r>
          </w:p>
        </w:tc>
        <w:tc>
          <w:tcPr>
            <w:tcW w:w="13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December 31, 2021</w:t>
            </w: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2"/>
                <w:szCs w:val="12"/>
                <w:color w:val="auto"/>
              </w:rPr>
            </w:pPr>
          </w:p>
        </w:tc>
      </w:tr>
      <w:tr>
        <w:trPr>
          <w:trHeight w:val="142"/>
        </w:trPr>
        <w:tc>
          <w:tcPr>
            <w:tcW w:w="504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3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w:t>
            </w:r>
          </w:p>
        </w:tc>
        <w:tc>
          <w:tcPr>
            <w:tcW w:w="3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33,955</w:t>
            </w:r>
          </w:p>
        </w:tc>
        <w:tc>
          <w:tcPr>
            <w:tcW w:w="1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11,462</w:t>
            </w:r>
          </w:p>
        </w:tc>
        <w:tc>
          <w:tcPr>
            <w:tcW w:w="140" w:type="dxa"/>
            <w:vAlign w:val="bottom"/>
          </w:tcPr>
          <w:p>
            <w:pPr>
              <w:spacing w:after="0"/>
              <w:rPr>
                <w:sz w:val="12"/>
                <w:szCs w:val="12"/>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1,146</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Adjustments to Reconcile Net Income to Net Cash Provided by Operating Activities:</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23,564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15,939</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9,949</w:t>
            </w:r>
          </w:p>
        </w:tc>
        <w:tc>
          <w:tcPr>
            <w:tcW w:w="20" w:type="dxa"/>
            <w:vAlign w:val="bottom"/>
          </w:tcPr>
          <w:p>
            <w:pPr>
              <w:spacing w:after="0"/>
              <w:rPr>
                <w:sz w:val="12"/>
                <w:szCs w:val="12"/>
                <w:color w:val="auto"/>
              </w:rPr>
            </w:pPr>
          </w:p>
        </w:tc>
      </w:tr>
      <w:tr>
        <w:trPr>
          <w:trHeight w:val="149"/>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Lease Assets and Liabilities to Lease Income</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(257)</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Portion of Extinguishment of Debt</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Assets</w:t>
            </w: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(33,801)</w:t>
            </w: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(9,675)</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0" w:type="dxa"/>
            <w:vAlign w:val="bottom"/>
          </w:tcPr>
          <w:p>
            <w:pPr>
              <w:spacing w:after="0"/>
              <w:rPr>
                <w:sz w:val="12"/>
                <w:szCs w:val="12"/>
                <w:color w:val="auto"/>
              </w:rPr>
            </w:pPr>
          </w:p>
        </w:tc>
      </w:tr>
      <w:tr>
        <w:trPr>
          <w:trHeight w:val="149"/>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Decrease (Increase) in Assets:</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Straight-Line Rent Adjustment</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(607)</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(1,524)</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COVID-19 Rent Repayments (Deferrals)</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(2,413)</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Increase (Decrease) in Liabilities:</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Accrued Expenses, and Other Liabilities</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r>
      <w:tr>
        <w:trPr>
          <w:trHeight w:val="149"/>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Prepaid Rent and Deferred Revenue</w:t>
            </w: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(253)</w:t>
            </w: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968</w:t>
            </w:r>
          </w:p>
        </w:tc>
        <w:tc>
          <w:tcPr>
            <w:tcW w:w="20" w:type="dxa"/>
            <w:vAlign w:val="bottom"/>
          </w:tcPr>
          <w:p>
            <w:pPr>
              <w:spacing w:after="0"/>
              <w:rPr>
                <w:sz w:val="12"/>
                <w:szCs w:val="12"/>
                <w:color w:val="auto"/>
              </w:rPr>
            </w:pPr>
          </w:p>
        </w:tc>
      </w:tr>
      <w:tr>
        <w:trPr>
          <w:trHeight w:val="142"/>
        </w:trPr>
        <w:tc>
          <w:tcPr>
            <w:tcW w:w="5040" w:type="dxa"/>
            <w:vAlign w:val="bottom"/>
            <w:tcBorders>
              <w:top w:val="single" w:sz="8" w:color="CCEEFF"/>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24,652</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17,200</w:t>
            </w: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9,394</w:t>
            </w:r>
          </w:p>
        </w:tc>
        <w:tc>
          <w:tcPr>
            <w:tcW w:w="20" w:type="dxa"/>
            <w:vAlign w:val="bottom"/>
          </w:tcPr>
          <w:p>
            <w:pPr>
              <w:spacing w:after="0"/>
              <w:rPr>
                <w:sz w:val="12"/>
                <w:szCs w:val="12"/>
                <w:color w:val="auto"/>
              </w:rPr>
            </w:pPr>
          </w:p>
        </w:tc>
      </w:tr>
      <w:tr>
        <w:trPr>
          <w:trHeight w:val="142"/>
        </w:trPr>
        <w:tc>
          <w:tcPr>
            <w:tcW w:w="50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Real Estate, Including Capitalized Expenditures</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(189,148)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(223,407)</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(118,808)</w:t>
            </w:r>
          </w:p>
        </w:tc>
        <w:tc>
          <w:tcPr>
            <w:tcW w:w="20" w:type="dxa"/>
            <w:vAlign w:val="bottom"/>
          </w:tcPr>
          <w:p>
            <w:pPr>
              <w:spacing w:after="0"/>
              <w:rPr>
                <w:sz w:val="12"/>
                <w:szCs w:val="12"/>
                <w:color w:val="auto"/>
              </w:rPr>
            </w:pPr>
          </w:p>
        </w:tc>
      </w:tr>
      <w:tr>
        <w:trPr>
          <w:trHeight w:val="148"/>
        </w:trPr>
        <w:tc>
          <w:tcPr>
            <w:tcW w:w="504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Proceeds from Disposition of Assets</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150,370</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27,415</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4,933</w:t>
            </w:r>
          </w:p>
        </w:tc>
        <w:tc>
          <w:tcPr>
            <w:tcW w:w="20" w:type="dxa"/>
            <w:vAlign w:val="bottom"/>
          </w:tcPr>
          <w:p>
            <w:pPr>
              <w:spacing w:after="0"/>
              <w:rPr>
                <w:sz w:val="12"/>
                <w:szCs w:val="12"/>
                <w:color w:val="auto"/>
              </w:rPr>
            </w:pPr>
          </w:p>
        </w:tc>
      </w:tr>
      <w:tr>
        <w:trPr>
          <w:trHeight w:val="142"/>
        </w:trPr>
        <w:tc>
          <w:tcPr>
            <w:tcW w:w="504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(38,778)</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(195,992)</w:t>
            </w:r>
          </w:p>
        </w:tc>
        <w:tc>
          <w:tcPr>
            <w:tcW w:w="1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(113,875)</w:t>
            </w:r>
          </w:p>
        </w:tc>
        <w:tc>
          <w:tcPr>
            <w:tcW w:w="20" w:type="dxa"/>
            <w:vAlign w:val="bottom"/>
          </w:tcPr>
          <w:p>
            <w:pPr>
              <w:spacing w:after="0"/>
              <w:rPr>
                <w:sz w:val="12"/>
                <w:szCs w:val="12"/>
                <w:color w:val="auto"/>
              </w:rPr>
            </w:pPr>
          </w:p>
        </w:tc>
      </w:tr>
      <w:tr>
        <w:trPr>
          <w:trHeight w:val="142"/>
        </w:trPr>
        <w:tc>
          <w:tcPr>
            <w:tcW w:w="50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277,000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294,622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36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(277,750)</w:t>
            </w: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(162,431)</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(8,691)</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(1,402)</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 w:type="dxa"/>
            <w:vAlign w:val="bottom"/>
          </w:tcPr>
          <w:p>
            <w:pPr>
              <w:spacing w:after="0"/>
              <w:rPr>
                <w:sz w:val="12"/>
                <w:szCs w:val="12"/>
                <w:color w:val="auto"/>
              </w:rPr>
            </w:pPr>
          </w:p>
        </w:tc>
      </w:tr>
      <w:tr>
        <w:trPr>
          <w:trHeight w:val="149"/>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(5,014)</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Shelf Registration and ATM Transaction Costs</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r>
      <w:tr>
        <w:trPr>
          <w:trHeight w:val="148"/>
        </w:trPr>
        <w:tc>
          <w:tcPr>
            <w:tcW w:w="50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Stock Issuance, Net</w:t>
            </w: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35,645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67,770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504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3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(15,116)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(12,164)</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20" w:type="dxa"/>
            <w:vAlign w:val="bottom"/>
          </w:tcPr>
          <w:p>
            <w:pPr>
              <w:spacing w:after="0"/>
              <w:rPr>
                <w:sz w:val="12"/>
                <w:szCs w:val="12"/>
                <w:color w:val="auto"/>
              </w:rPr>
            </w:pPr>
          </w:p>
        </w:tc>
      </w:tr>
      <w:tr>
        <w:trPr>
          <w:trHeight w:val="142"/>
        </w:trPr>
        <w:tc>
          <w:tcPr>
            <w:tcW w:w="504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17,673</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186,395</w:t>
            </w:r>
          </w:p>
        </w:tc>
        <w:tc>
          <w:tcPr>
            <w:tcW w:w="14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94,033</w:t>
            </w:r>
          </w:p>
        </w:tc>
        <w:tc>
          <w:tcPr>
            <w:tcW w:w="20" w:type="dxa"/>
            <w:vAlign w:val="bottom"/>
          </w:tcPr>
          <w:p>
            <w:pPr>
              <w:spacing w:after="0"/>
              <w:rPr>
                <w:sz w:val="12"/>
                <w:szCs w:val="12"/>
                <w:color w:val="auto"/>
              </w:rPr>
            </w:pPr>
          </w:p>
        </w:tc>
      </w:tr>
      <w:tr>
        <w:trPr>
          <w:trHeight w:val="142"/>
        </w:trPr>
        <w:tc>
          <w:tcPr>
            <w:tcW w:w="504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3,547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7,603</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(10,448)</w:t>
            </w:r>
          </w:p>
        </w:tc>
        <w:tc>
          <w:tcPr>
            <w:tcW w:w="20" w:type="dxa"/>
            <w:vAlign w:val="bottom"/>
          </w:tcPr>
          <w:p>
            <w:pPr>
              <w:spacing w:after="0"/>
              <w:rPr>
                <w:sz w:val="12"/>
                <w:szCs w:val="12"/>
                <w:color w:val="auto"/>
              </w:rPr>
            </w:pPr>
          </w:p>
        </w:tc>
      </w:tr>
      <w:tr>
        <w:trPr>
          <w:trHeight w:val="149"/>
        </w:trPr>
        <w:tc>
          <w:tcPr>
            <w:tcW w:w="50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and Cash Equivalents and Restricted Cash, Beginning of Period</w:t>
            </w: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9,497</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1,894</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12,342</w:t>
            </w:r>
          </w:p>
        </w:tc>
        <w:tc>
          <w:tcPr>
            <w:tcW w:w="20" w:type="dxa"/>
            <w:vAlign w:val="bottom"/>
          </w:tcPr>
          <w:p>
            <w:pPr>
              <w:spacing w:after="0"/>
              <w:rPr>
                <w:sz w:val="12"/>
                <w:szCs w:val="12"/>
                <w:color w:val="auto"/>
              </w:rPr>
            </w:pPr>
          </w:p>
        </w:tc>
      </w:tr>
      <w:tr>
        <w:trPr>
          <w:trHeight w:val="142"/>
        </w:trPr>
        <w:tc>
          <w:tcPr>
            <w:tcW w:w="504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and Restricted Cash, End of Period</w:t>
            </w:r>
          </w:p>
        </w:tc>
        <w:tc>
          <w:tcPr>
            <w:tcW w:w="3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13,044</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w:t>
            </w: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1,894</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04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Reconciliation of Cash to the Consolidated Balance Sheets:</w:t>
            </w: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0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3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9,018</w:t>
            </w:r>
          </w:p>
        </w:tc>
        <w:tc>
          <w:tcPr>
            <w:tcW w:w="12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8,851</w:t>
            </w:r>
          </w:p>
        </w:tc>
        <w:tc>
          <w:tcPr>
            <w:tcW w:w="140" w:type="dxa"/>
            <w:vAlign w:val="bottom"/>
          </w:tcPr>
          <w:p>
            <w:pPr>
              <w:spacing w:after="0"/>
              <w:rPr>
                <w:sz w:val="12"/>
                <w:szCs w:val="12"/>
                <w:color w:val="auto"/>
              </w:rPr>
            </w:pPr>
          </w:p>
        </w:tc>
        <w:tc>
          <w:tcPr>
            <w:tcW w:w="360" w:type="dxa"/>
            <w:vAlign w:val="bottom"/>
          </w:tcPr>
          <w:p>
            <w:pPr>
              <w:jc w:val="right"/>
              <w:ind w:right="244"/>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1,894</w:t>
            </w:r>
          </w:p>
        </w:tc>
        <w:tc>
          <w:tcPr>
            <w:tcW w:w="20" w:type="dxa"/>
            <w:vAlign w:val="bottom"/>
          </w:tcPr>
          <w:p>
            <w:pPr>
              <w:spacing w:after="0"/>
              <w:rPr>
                <w:sz w:val="12"/>
                <w:szCs w:val="12"/>
                <w:color w:val="auto"/>
              </w:rPr>
            </w:pPr>
          </w:p>
        </w:tc>
      </w:tr>
      <w:tr>
        <w:trPr>
          <w:trHeight w:val="148"/>
        </w:trPr>
        <w:tc>
          <w:tcPr>
            <w:tcW w:w="50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4,026</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1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50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13,044</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9,497</w:t>
            </w:r>
          </w:p>
        </w:tc>
        <w:tc>
          <w:tcPr>
            <w:tcW w:w="140" w:type="dxa"/>
            <w:vAlign w:val="bottom"/>
          </w:tcPr>
          <w:p>
            <w:pPr>
              <w:spacing w:after="0"/>
              <w:rPr>
                <w:sz w:val="12"/>
                <w:szCs w:val="12"/>
                <w:color w:val="auto"/>
              </w:rPr>
            </w:pPr>
          </w:p>
        </w:tc>
        <w:tc>
          <w:tcPr>
            <w:tcW w:w="360" w:type="dxa"/>
            <w:vAlign w:val="bottom"/>
            <w:tcBorders>
              <w:bottom w:val="single" w:sz="8" w:color="auto"/>
            </w:tcBorders>
          </w:tcPr>
          <w:p>
            <w:pPr>
              <w:jc w:val="right"/>
              <w:ind w:right="24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1,894</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00" w:right="1919" w:firstLine="959"/>
        <w:spacing w:after="0" w:line="276" w:lineRule="auto"/>
        <w:rPr>
          <w:sz w:val="20"/>
          <w:szCs w:val="20"/>
          <w:color w:val="auto"/>
        </w:rPr>
      </w:pPr>
      <w:r>
        <w:rPr>
          <w:rFonts w:ascii="Arial" w:cs="Arial" w:eastAsia="Arial" w:hAnsi="Arial"/>
          <w:sz w:val="17"/>
          <w:szCs w:val="17"/>
          <w:b w:val="1"/>
          <w:bCs w:val="1"/>
          <w:color w:val="auto"/>
        </w:rPr>
        <w:t>ALPINE INCOME PROPERTY TRUST, INC. CONSOLIDATED STATEMENTS OF CASH FLOWS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13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December 31, 2021</w:t>
            </w:r>
          </w:p>
        </w:tc>
        <w:tc>
          <w:tcPr>
            <w:tcW w:w="11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2020</w:t>
            </w:r>
          </w:p>
        </w:tc>
        <w:tc>
          <w:tcPr>
            <w:tcW w:w="20" w:type="dxa"/>
            <w:vAlign w:val="bottom"/>
          </w:tcPr>
          <w:p>
            <w:pPr>
              <w:spacing w:after="0"/>
              <w:rPr>
                <w:sz w:val="12"/>
                <w:szCs w:val="12"/>
                <w:color w:val="auto"/>
              </w:rPr>
            </w:pPr>
          </w:p>
        </w:tc>
      </w:tr>
      <w:tr>
        <w:trPr>
          <w:trHeight w:val="142"/>
        </w:trPr>
        <w:tc>
          <w:tcPr>
            <w:tcW w:w="51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4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100" w:type="dxa"/>
            <w:vAlign w:val="bottom"/>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7,753</w:t>
            </w:r>
          </w:p>
        </w:tc>
        <w:tc>
          <w:tcPr>
            <w:tcW w:w="1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3,131</w:t>
            </w:r>
          </w:p>
        </w:tc>
        <w:tc>
          <w:tcPr>
            <w:tcW w:w="140" w:type="dxa"/>
            <w:vAlign w:val="bottom"/>
          </w:tcPr>
          <w:p>
            <w:pPr>
              <w:spacing w:after="0"/>
              <w:rPr>
                <w:sz w:val="12"/>
                <w:szCs w:val="12"/>
                <w:color w:val="auto"/>
              </w:rPr>
            </w:pPr>
          </w:p>
        </w:tc>
        <w:tc>
          <w:tcPr>
            <w:tcW w:w="4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20" w:type="dxa"/>
            <w:vAlign w:val="bottom"/>
          </w:tcPr>
          <w:p>
            <w:pPr>
              <w:spacing w:after="0"/>
              <w:rPr>
                <w:sz w:val="12"/>
                <w:szCs w:val="12"/>
                <w:color w:val="auto"/>
              </w:rPr>
            </w:pPr>
          </w:p>
        </w:tc>
      </w:tr>
      <w:tr>
        <w:trPr>
          <w:trHeight w:val="148"/>
        </w:trPr>
        <w:tc>
          <w:tcPr>
            <w:tcW w:w="5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10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(Loss) on Cash Flow Hedge</w:t>
            </w: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2,403</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2"/>
                <w:szCs w:val="12"/>
                <w:color w:val="auto"/>
              </w:rPr>
            </w:pPr>
          </w:p>
        </w:tc>
      </w:tr>
      <w:tr>
        <w:trPr>
          <w:trHeight w:val="149"/>
        </w:trPr>
        <w:tc>
          <w:tcPr>
            <w:tcW w:w="5100" w:type="dxa"/>
            <w:vAlign w:val="bottom"/>
          </w:tcPr>
          <w:p>
            <w:pPr>
              <w:ind w:left="120"/>
              <w:spacing w:after="0" w:line="149" w:lineRule="exact"/>
              <w:rPr>
                <w:sz w:val="20"/>
                <w:szCs w:val="20"/>
                <w:color w:val="auto"/>
              </w:rPr>
            </w:pPr>
            <w:r>
              <w:rPr>
                <w:rFonts w:ascii="Arial" w:cs="Arial" w:eastAsia="Arial" w:hAnsi="Arial"/>
                <w:sz w:val="14"/>
                <w:szCs w:val="14"/>
                <w:color w:val="auto"/>
              </w:rPr>
              <w:t>Right-of-Use Assets and Operating Lease Liability</w:t>
            </w:r>
          </w:p>
        </w:tc>
        <w:tc>
          <w:tcPr>
            <w:tcW w:w="4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1,831</w:t>
            </w:r>
          </w:p>
        </w:tc>
        <w:tc>
          <w:tcPr>
            <w:tcW w:w="1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5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Units Issued in Exchange for Real Estate</w:t>
            </w:r>
          </w:p>
        </w:tc>
        <w:tc>
          <w:tcPr>
            <w:tcW w:w="44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9,041</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82"/>
        </w:trPr>
        <w:tc>
          <w:tcPr>
            <w:tcW w:w="5100" w:type="dxa"/>
            <w:vAlign w:val="bottom"/>
          </w:tcPr>
          <w:p>
            <w:pPr>
              <w:ind w:left="120"/>
              <w:spacing w:after="0"/>
              <w:rPr>
                <w:sz w:val="20"/>
                <w:szCs w:val="20"/>
                <w:color w:val="auto"/>
              </w:rPr>
            </w:pPr>
            <w:r>
              <w:rPr>
                <w:rFonts w:ascii="Arial" w:cs="Arial" w:eastAsia="Arial" w:hAnsi="Arial"/>
                <w:sz w:val="14"/>
                <w:szCs w:val="14"/>
                <w:color w:val="auto"/>
              </w:rPr>
              <w:t>Assumption of Mortgage Note Payable</w:t>
            </w:r>
          </w:p>
        </w:tc>
        <w:tc>
          <w:tcPr>
            <w:tcW w:w="4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30,000</w:t>
            </w:r>
          </w:p>
        </w:tc>
        <w:tc>
          <w:tcPr>
            <w:tcW w:w="140" w:type="dxa"/>
            <w:vAlign w:val="bottom"/>
          </w:tcPr>
          <w:p>
            <w:pPr>
              <w:spacing w:after="0"/>
              <w:rPr>
                <w:sz w:val="15"/>
                <w:szCs w:val="15"/>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 xml:space="preserve">ALPINE INCOME PROPERTY TRUST, INC. NOTES TO CONSOLIDATED FINANCIAL STATEMENTS </w:t>
      </w:r>
      <w:r>
        <w:rPr>
          <w:rFonts w:ascii="Arial" w:cs="Arial" w:eastAsia="Arial" w:hAnsi="Arial"/>
          <w:sz w:val="18"/>
          <w:szCs w:val="18"/>
          <w:color w:val="auto"/>
        </w:rPr>
        <w:t>December 31, 2022, 2021 and 2020</w:t>
      </w:r>
    </w:p>
    <w:p>
      <w:pPr>
        <w:spacing w:after="0" w:line="39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AND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BUSINESS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Alpine Income Property Trust, Inc. (the “Company” or “PINE”) is a real estate company that owns and operates a high-quality portfolio of commercial net lease properties. The terms “us,” “we,” “our,” and “the Company” as used in this report refer to Alpine Income Property Trust, Inc. together with our consolidated subsidiaries.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portfolio consists of 148 net leased properties located in 106 markets in 34 states. The properties in our portfolio are primarily subject to long-term, triple-net leases, which generally require the tenant to pay all of the property operating expenses such as real estate taxes, insurance, assessments and other governmental fees, utilities, repairs and maintenance and certain capital expenditures.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diversified real estate investment trust (“REIT”) and the sole member of our Manager (“CTO”).</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2022, we have a total ownership interest in the Operating Partnership of 88.7%, with CTO holding, directly and indirectly, an 8.1% ownership interest in the Operating Partnership. The remaining 3.2% ownership interest is held by an unrelated third party in connection with the issuance of units of the operating partnership (“OP Units”) issued as consideration for a portfolio of net lease properties acquired during the year ended December 31, 2021.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without regard to the dividends paid deduction or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 xml:space="preserve">Financial Accounting Standards Board (“FASB”)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establishes standards related to the manner in which enterprises report operating segment information. The Company is primarily in the business of acquiring and managing retail real estate which is considered to be one reporting segment. The Company has no other reportable segments. The Company’s chief executive officer, who is the chief operating decision maker, reviews financial information on an aggregate basis for purposes of allocating and evaluating financial performance.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real estate assets are primarily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years ended December 31, 2022, 2021, and 2020, was $14.8 million, $10.0 million, and $6.2 million,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The Company follows FASB ASC Topic 360-10,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in conducting its impairment analyses. The Company reviews the recoverability of long-lived assets, primarily real estate,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500"/>
        <w:spacing w:after="0" w:line="311" w:lineRule="auto"/>
        <w:rPr>
          <w:sz w:val="20"/>
          <w:szCs w:val="20"/>
          <w:color w:val="auto"/>
        </w:rPr>
      </w:pPr>
      <w:r>
        <w:rPr>
          <w:rFonts w:ascii="Arial" w:cs="Arial" w:eastAsia="Arial" w:hAnsi="Arial"/>
          <w:sz w:val="16"/>
          <w:szCs w:val="16"/>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78" w:lineRule="exact"/>
        <w:rPr>
          <w:sz w:val="20"/>
          <w:szCs w:val="20"/>
          <w:color w:val="auto"/>
        </w:rPr>
      </w:pPr>
    </w:p>
    <w:p>
      <w:pPr>
        <w:jc w:val="both"/>
        <w:ind w:left="60" w:right="59" w:firstLine="500"/>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both the Company and the Predecessor amortize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OF REAL ESTATE</w:t>
      </w:r>
    </w:p>
    <w:p>
      <w:pPr>
        <w:spacing w:after="0" w:line="225" w:lineRule="exact"/>
        <w:rPr>
          <w:sz w:val="20"/>
          <w:szCs w:val="20"/>
          <w:color w:val="auto"/>
        </w:rPr>
      </w:pPr>
    </w:p>
    <w:p>
      <w:pPr>
        <w:jc w:val="both"/>
        <w:ind w:left="60" w:right="59" w:firstLine="500"/>
        <w:spacing w:after="0" w:line="259" w:lineRule="auto"/>
        <w:rPr>
          <w:sz w:val="20"/>
          <w:szCs w:val="20"/>
          <w:color w:val="auto"/>
        </w:rPr>
      </w:pPr>
      <w:r>
        <w:rPr>
          <w:rFonts w:ascii="Arial" w:cs="Arial" w:eastAsia="Arial" w:hAnsi="Arial"/>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LEASE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6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2022 and 2021, the Company’s allowance for doubtful accounts totaled $0.4 million and $0.3 million,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TAX</w:t>
      </w:r>
    </w:p>
    <w:p>
      <w:pPr>
        <w:spacing w:after="0" w:line="225"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Sales tax collected on lease payments is recognized as a liability in the accompanying consolidated balance sheets when collected. The liability is reduced at the time payment is remitted to the applicable taxing authority.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Cash and cash equivalents include cash on hand, bank demand accounts, and money market accounts having original maturities of 90 days or less. The Company’s bank balances as of December 31, 2022 and 2021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Restricted cash totaled $4.0 million at December 31, 2022 which is being held in an escrow account to be reinvested through the like-kind exchange structure into other income properties.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The Company accounts for its cash flow hedging derivatives in accordance with FASB ASC Topic 815-20,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w:t>
      </w:r>
      <w:r>
        <w:rPr>
          <w:rFonts w:ascii="Arial" w:cs="Arial" w:eastAsia="Arial" w:hAnsi="Arial"/>
          <w:sz w:val="17"/>
          <w:szCs w:val="17"/>
          <w:color w:val="auto"/>
        </w:rPr>
        <w:t>. Depending upon the hedge’s value at each balance sheet date, the derivatives are included in either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or accounts payable, accrued expenses,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10, “Interest Rate Swaps”).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restricted cash, accounts receivable included in other assets, accounts payable, and accrued expenses and other liabilities at December 31, 2022 and December 31, 2021,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mortgage note payable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MEASUREMENTS</w:t>
      </w:r>
    </w:p>
    <w:p>
      <w:pPr>
        <w:spacing w:after="0" w:line="21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63"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4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0" w:lineRule="exact"/>
        <w:rPr>
          <w:rFonts w:ascii="Arial" w:cs="Arial" w:eastAsia="Arial" w:hAnsi="Arial"/>
          <w:sz w:val="18"/>
          <w:szCs w:val="18"/>
          <w:color w:val="auto"/>
        </w:rPr>
      </w:pPr>
    </w:p>
    <w:p>
      <w:pPr>
        <w:jc w:val="both"/>
        <w:ind w:left="720" w:right="79" w:hanging="319"/>
        <w:spacing w:after="0" w:line="243"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EARNINGS PER COMMON SHARE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Basic earnings per common share is computed by dividing net income attributable to the Company for the period by the weighted average number of shares outstanding for the period. Diluted earnings per common share is based on the assumption that the OP Units issued are exchanged for shares of our common stock on a one-for-one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adopted the Individual Equity Incentive Plan (the “Individual Plan”) and the Manager Equity Incentive Plan (the “Manager Plan”), which are collectively referred to herein as the Equity Incentive Plans. The purpose of the Equity Incentive Plans is to provide equity incentive opportunities to members of the Manager’s management team and employees who perform services for the Company, the Company’s independent directors, advisers, consultants and other personnel, either individually or via grants of incentive equity to the Manager.</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has issued restricted shares of common stock pursuant to the Equity Incentive Plans. The Company’s determination of the grant date fair value of the three-year vest restricted stock awards was calculated by multiplying the number of shares issued by the Company’s stock price at the grant date. Compensation cost is recognized on a straight-line basis over the vesting period and is included in general and administrative expenses in the Company’s consolidated statements of operations. Award forfeitures are accounted for in the period in which they occur.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Certain individual tenants in the Company’s portfolio of properties accounted for more than 10% of total revenues during the years ended December 31, 2021 and 2020. No individual tenant accounted for more than 10% of total revenues during the year ended December 31, 2022.</w:t>
      </w:r>
    </w:p>
    <w:p>
      <w:pPr>
        <w:spacing w:after="0" w:line="184"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For the year ended December 31, 2021, Wells Fargo represented 12% of total revenues. Wells Fargo and Hilton Grand Vacations represented 19% and 12% of total revenues, respectively, for the year ended December 31, 2020.</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2022 and 2021, 19% and 20%, respectively, of the Company’s real estate portfolio, based on square footage, was located in the state of Texas. Uncertainty of the duration of a prolonged real estate and economic downturn could have an adverse impact on the Company’s real estate values.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i w:val="1"/>
          <w:iCs w:val="1"/>
          <w:color w:val="auto"/>
        </w:rPr>
        <w:t>Cessation of LIBOR</w:t>
      </w:r>
      <w:r>
        <w:rPr>
          <w:rFonts w:ascii="Arial" w:cs="Arial" w:eastAsia="Arial" w:hAnsi="Arial"/>
          <w:sz w:val="16"/>
          <w:szCs w:val="16"/>
          <w:color w:val="auto"/>
        </w:rPr>
        <w:t>. In January 2021, the FASB issued ASU 2021-01 which is in response to concerns about structural</w:t>
      </w:r>
      <w:r>
        <w:rPr>
          <w:rFonts w:ascii="Arial" w:cs="Arial" w:eastAsia="Arial" w:hAnsi="Arial"/>
          <w:sz w:val="16"/>
          <w:szCs w:val="16"/>
          <w:i w:val="1"/>
          <w:iCs w:val="1"/>
          <w:color w:val="auto"/>
        </w:rPr>
        <w:t xml:space="preserve"> </w:t>
      </w:r>
      <w:r>
        <w:rPr>
          <w:rFonts w:ascii="Arial" w:cs="Arial" w:eastAsia="Arial" w:hAnsi="Arial"/>
          <w:sz w:val="16"/>
          <w:szCs w:val="16"/>
          <w:color w:val="auto"/>
        </w:rPr>
        <w:t>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it’s interest rate swaps meet the scope of Topic 848-10-15-3A and therefore, the Company has continued to apply a perfectly effective assessment method by electing the corresponding optional expedients.</w:t>
      </w:r>
    </w:p>
    <w:p>
      <w:pPr>
        <w:spacing w:after="0" w:line="165" w:lineRule="exact"/>
        <w:rPr>
          <w:sz w:val="20"/>
          <w:szCs w:val="20"/>
          <w:color w:val="auto"/>
        </w:rPr>
      </w:pPr>
    </w:p>
    <w:p>
      <w:pPr>
        <w:jc w:val="both"/>
        <w:ind w:left="60" w:right="59" w:firstLine="396"/>
        <w:spacing w:after="0" w:line="286" w:lineRule="auto"/>
        <w:rPr>
          <w:sz w:val="20"/>
          <w:szCs w:val="20"/>
          <w:color w:val="auto"/>
        </w:rPr>
      </w:pPr>
      <w:r>
        <w:rPr>
          <w:rFonts w:ascii="Arial" w:cs="Arial" w:eastAsia="Arial" w:hAnsi="Arial"/>
          <w:sz w:val="16"/>
          <w:szCs w:val="16"/>
          <w:i w:val="1"/>
          <w:iCs w:val="1"/>
          <w:color w:val="auto"/>
        </w:rPr>
        <w:t xml:space="preserve">Lease Modifications. </w:t>
      </w:r>
      <w:r>
        <w:rPr>
          <w:rFonts w:ascii="Arial" w:cs="Arial" w:eastAsia="Arial" w:hAnsi="Arial"/>
          <w:sz w:val="16"/>
          <w:szCs w:val="16"/>
          <w:color w:val="auto"/>
        </w:rPr>
        <w:t>In April 2020, the FASB issued interpretive guidance relating to the accounting for lease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concessions provided as a result of the COVID-19 Pandemic. In this guidance, entities can elect not to apply lease modification accounting with respect to such lease concessions and, instead, treat the concession as if it was a part of the existing contract. This guidance is only applicable to lease concessions related to the COVID-19 Pandemic that do not result in a substantial increase in the rights of the lessor or the obligations of the lessee. As of and for the year ended December 31, 2020, the Company elected to not apply lease modification accounting with respect to rent deferrals as the concessions were related to COVID-19 and there was not a substantial increase in the lessor’s rights under the lease agreement. Accordingly, for leases in which deferred rent agreements were reached, the Company has continued to account for the lease by recognizing the normal straight-line rental income and as the deferred rents are repaid by the tenant, the straight-line receivable will be reduced. The Company did not enter into any deferred rent agreements related to the COVID-19 Pandemic during the years ended December 31, 2022 or 2021. The portion of the straight-line adjustment related to COVID-19 concessions and subsequent repayments has been reflected separately in the Company’s statement of cash flows for the years ended December 31, 2022, 2021, and 2020. With respect to rent abatement agreements, lease modification accounting applies as an extended term was a part of such agreements, accordingly the Company re-calculated straight-line rental income for such leases to recognize over the new lease term.</w:t>
      </w:r>
    </w:p>
    <w:p>
      <w:pPr>
        <w:spacing w:after="0" w:line="17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3.</w:t>
        <w:tab/>
        <w:t>PROPERTY PORTFOLIO</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2022, the Company’s property portfolio consisted of 148 properties with total square footage of 3.7 million.</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Leasing revenue consists of long-term rental revenue from retail and office properties, which is recognized as earned, using the straight-line method over the life of each lease.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2021</w:t>
            </w:r>
          </w:p>
        </w:tc>
        <w:tc>
          <w:tcPr>
            <w:tcW w:w="16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r>
      <w:tr>
        <w:trPr>
          <w:trHeight w:val="196"/>
        </w:trPr>
        <w:tc>
          <w:tcPr>
            <w:tcW w:w="2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Lease Income</w:t>
            </w: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6"/>
        </w:trPr>
        <w:tc>
          <w:tcPr>
            <w:tcW w:w="288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40,190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27,138</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17,746</w:t>
            </w:r>
          </w:p>
        </w:tc>
      </w:tr>
      <w:tr>
        <w:trPr>
          <w:trHeight w:val="216"/>
        </w:trPr>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09"/>
        </w:trPr>
        <w:tc>
          <w:tcPr>
            <w:tcW w:w="2880" w:type="dxa"/>
            <w:vAlign w:val="bottom"/>
          </w:tcPr>
          <w:p>
            <w:pPr>
              <w:ind w:left="20"/>
              <w:spacing w:after="0"/>
              <w:rPr>
                <w:sz w:val="20"/>
                <w:szCs w:val="20"/>
                <w:color w:val="auto"/>
              </w:rPr>
            </w:pPr>
            <w:r>
              <w:rPr>
                <w:rFonts w:ascii="Arial" w:cs="Arial" w:eastAsia="Arial" w:hAnsi="Arial"/>
                <w:sz w:val="18"/>
                <w:szCs w:val="18"/>
                <w:color w:val="auto"/>
              </w:rPr>
              <w:t>Total Lease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Minimum Future Rental Receipts. </w:t>
      </w:r>
      <w:r>
        <w:rPr>
          <w:rFonts w:ascii="Arial" w:cs="Arial" w:eastAsia="Arial" w:hAnsi="Arial"/>
          <w:sz w:val="18"/>
          <w:szCs w:val="18"/>
          <w:color w:val="auto"/>
        </w:rPr>
        <w:t>Minimum future rental receipts under non-cancelable operating leases,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rent and other lease payments that are not fixed and determinable, having remaining terms in excess of one year subsequent to December 31, 2022, are summarized as follows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39,790</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38,772</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37,158</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36,493</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33,477</w:t>
            </w:r>
          </w:p>
        </w:tc>
      </w:tr>
      <w:tr>
        <w:trPr>
          <w:trHeight w:val="216"/>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and Thereafter (Cumulative)</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119,999</w:t>
            </w:r>
          </w:p>
        </w:tc>
      </w:tr>
      <w:tr>
        <w:trPr>
          <w:trHeight w:val="21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305,689</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2022 Activity. </w:t>
      </w:r>
      <w:r>
        <w:rPr>
          <w:rFonts w:ascii="Arial" w:cs="Arial" w:eastAsia="Arial" w:hAnsi="Arial"/>
          <w:sz w:val="16"/>
          <w:szCs w:val="16"/>
          <w:color w:val="auto"/>
        </w:rPr>
        <w:t>During the year ended December 31, 2022, the Company acquired 51 properties for a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$187.4 million, or a total cost of $189.0 million including capitalized acquisition costs. The properties are located in 21 states, leased to 18 different tenants, and had a weighted average remaining lease term of 8.7 years at the time of acquisition. Of the total acquisition cost, $44.5 million was allocated to land, $123.0 million was allocated to buildings and improvements, $23.7 million was allocated to intangible assets pertaining to the in-place lease value, leasing fees, and above market lease value, and $2.2 million was allocated to intangible liabilities for the below market lease value. The weighted average amortization period for the intangible assets and liabilities was 8.9 years at acquisition.</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year ended December 31, 2022, the Company sold 16 properties for an aggregate sales price of $154.6 million, generating aggregate gains on sale of $33.8 million.</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2021 Activity. </w:t>
      </w:r>
      <w:r>
        <w:rPr>
          <w:rFonts w:ascii="Arial" w:cs="Arial" w:eastAsia="Arial" w:hAnsi="Arial"/>
          <w:sz w:val="17"/>
          <w:szCs w:val="17"/>
          <w:color w:val="auto"/>
        </w:rPr>
        <w:t>During the year ended December 31, 2021, the Company acquired 68 properties for a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of $260.3 million, or a total cost of $262.4 million including capitalized acquisition costs. Of the total acquisition cost, $100.8 million was allocated to land, $132.6 million was allocated to buildings and improvements, $31.8 million was allocated to intangible assets pertaining to the in-place lease value, leasing fees, and above market lease value, and $2.8 million was allocated to intangible liabilities for the below market lease value. The weighted average amortization period for the intangible assets and liabilities was 8.6 years at acquisition.</w:t>
      </w:r>
    </w:p>
    <w:p>
      <w:pPr>
        <w:spacing w:after="0" w:line="17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During the year ended December 31, 2021, the Company sold three properties for an aggregate sales price of $28.3 million, generating aggregate gains on sale of $9.7 million.</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2020 Activity. </w:t>
      </w:r>
      <w:r>
        <w:rPr>
          <w:rFonts w:ascii="Arial" w:cs="Arial" w:eastAsia="Arial" w:hAnsi="Arial"/>
          <w:sz w:val="17"/>
          <w:szCs w:val="17"/>
          <w:color w:val="auto"/>
        </w:rPr>
        <w:t>During the year ended December 31, 2020, the Company acquired 29 properties for a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price of $116.6 million, or a total cost of $117.7 million including capitalized acquisition costs. Of the total acquisition cost, $30.3 million was allocated to land, $70.0 million was allocated to buildings and improvements, $19.1 million was allocated to intangible assets pertaining to the in-place lease value, leasing fees, and above market lease value, and $1.7 million was allocated to intangible liabilities for the below market lease value. The weighted average amortization period for the intangible assets and liabilities was 10.1 years at acquisition.</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year ended December 31, 2020, the Company sold one property for a sales price of $5.1 million, generating a gain on sale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4.</w:t>
        <w:tab/>
        <w:t>FAIR VALUE OF FINANCIAL INSTRUMENTS</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as of December 31, 2022 and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 2022</w:t>
            </w:r>
          </w:p>
        </w:tc>
        <w:tc>
          <w:tcPr>
            <w:tcW w:w="420" w:type="dxa"/>
            <w:vAlign w:val="bottom"/>
          </w:tcPr>
          <w:p>
            <w:pPr>
              <w:spacing w:after="0"/>
              <w:rPr>
                <w:sz w:val="20"/>
                <w:szCs w:val="20"/>
                <w:color w:val="auto"/>
              </w:rPr>
            </w:pPr>
          </w:p>
        </w:tc>
        <w:tc>
          <w:tcPr>
            <w:tcW w:w="2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3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Estimated</w:t>
            </w:r>
          </w:p>
        </w:tc>
      </w:tr>
      <w:tr>
        <w:trPr>
          <w:trHeight w:val="234"/>
        </w:trPr>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r>
      <w:tr>
        <w:trPr>
          <w:trHeight w:val="216"/>
        </w:trPr>
        <w:tc>
          <w:tcPr>
            <w:tcW w:w="312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4,026</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4,026</w:t>
            </w:r>
          </w:p>
        </w:tc>
        <w:tc>
          <w:tcPr>
            <w:tcW w:w="1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 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250,568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272,637</w:t>
            </w: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following tables present the fair value of assets (liabilities) measured on a recurring basis by Level as of December 31, 2022 and 2021(in thousands). See Note 10, “Interest Rate Swaps” for further disclosure related to the Company’s interest rate swaps.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b w:val="1"/>
                <w:bCs w:val="1"/>
                <w:color w:val="auto"/>
                <w:w w:val="91"/>
              </w:rPr>
              <w:t>Fair Value at Reporting Date Using</w:t>
            </w: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Quoted Prices in</w:t>
            </w:r>
          </w:p>
        </w:tc>
        <w:tc>
          <w:tcPr>
            <w:tcW w:w="140" w:type="dxa"/>
            <w:vAlign w:val="bottom"/>
          </w:tcPr>
          <w:p>
            <w:pPr>
              <w:spacing w:after="0"/>
              <w:rPr>
                <w:sz w:val="16"/>
                <w:szCs w:val="16"/>
                <w:color w:val="auto"/>
              </w:rPr>
            </w:pPr>
          </w:p>
        </w:tc>
        <w:tc>
          <w:tcPr>
            <w:tcW w:w="134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Assets (Level 1)</w:t>
            </w: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Inputs (Level 2)</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Inputs (Level 3)</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6,125</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6,125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2027 Term Loan Interest Rate Swap </w:t>
            </w:r>
            <w:r>
              <w:rPr>
                <w:rFonts w:ascii="Arial" w:cs="Arial" w:eastAsia="Arial" w:hAnsi="Arial"/>
                <w:sz w:val="25"/>
                <w:szCs w:val="25"/>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Arial" w:cs="Arial" w:eastAsia="Arial" w:hAnsi="Arial"/>
                <w:sz w:val="17"/>
                <w:szCs w:val="17"/>
                <w:color w:val="auto"/>
              </w:rPr>
              <w:t xml:space="preserve">2026 Term Loan Interest Rate Swap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353"/>
        </w:trPr>
        <w:tc>
          <w:tcPr>
            <w:tcW w:w="3380" w:type="dxa"/>
            <w:vAlign w:val="bottom"/>
          </w:tcPr>
          <w:p>
            <w:pPr>
              <w:ind w:left="340"/>
              <w:spacing w:after="0"/>
              <w:rPr>
                <w:sz w:val="20"/>
                <w:szCs w:val="20"/>
                <w:color w:val="auto"/>
              </w:rPr>
            </w:pPr>
            <w:r>
              <w:rPr>
                <w:rFonts w:ascii="Arial" w:cs="Arial" w:eastAsia="Arial" w:hAnsi="Arial"/>
                <w:sz w:val="18"/>
                <w:szCs w:val="18"/>
                <w:color w:val="auto"/>
                <w:w w:val="95"/>
              </w:rPr>
              <w:t xml:space="preserve">2027 Term Loan Interest Rate Swap </w:t>
            </w:r>
            <w:r>
              <w:rPr>
                <w:rFonts w:ascii="Arial" w:cs="Arial" w:eastAsia="Arial" w:hAnsi="Arial"/>
                <w:sz w:val="26"/>
                <w:szCs w:val="26"/>
                <w:color w:val="auto"/>
                <w:w w:val="95"/>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1" w:lineRule="exact"/>
        <w:rPr>
          <w:sz w:val="20"/>
          <w:szCs w:val="20"/>
          <w:color w:val="auto"/>
        </w:rPr>
      </w:pPr>
    </w:p>
    <w:p>
      <w:pPr>
        <w:jc w:val="both"/>
        <w:ind w:left="380" w:right="79" w:hanging="330"/>
        <w:spacing w:after="0" w:line="227" w:lineRule="auto"/>
        <w:tabs>
          <w:tab w:leader="none" w:pos="380" w:val="left"/>
        </w:tabs>
        <w:numPr>
          <w:ilvl w:val="0"/>
          <w:numId w:val="32"/>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79" w:hanging="330"/>
        <w:spacing w:after="0" w:line="232" w:lineRule="auto"/>
        <w:tabs>
          <w:tab w:leader="none" w:pos="380" w:val="left"/>
        </w:tabs>
        <w:numPr>
          <w:ilvl w:val="0"/>
          <w:numId w:val="32"/>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5.</w:t>
        <w:tab/>
        <w:t>INTANGIBLE ASSETS AND LIABILITIES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Intangible assets and liabilities consist of the value of above market and below market leases, the value of in-place leases, and the value of leasing costs, based in each case on their fair values. Intangible assets and liabilities consisted of the following as of December 31, 2022 and 2021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18"/>
                <w:szCs w:val="18"/>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 2021</w:t>
            </w:r>
          </w:p>
        </w:tc>
        <w:tc>
          <w:tcPr>
            <w:tcW w:w="20" w:type="dxa"/>
            <w:vAlign w:val="bottom"/>
          </w:tcPr>
          <w:p>
            <w:pPr>
              <w:spacing w:after="0"/>
              <w:rPr>
                <w:sz w:val="18"/>
                <w:szCs w:val="18"/>
                <w:color w:val="auto"/>
              </w:rPr>
            </w:pPr>
          </w:p>
        </w:tc>
      </w:tr>
      <w:tr>
        <w:trPr>
          <w:trHeight w:val="20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1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49,974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45,301</w:t>
            </w:r>
          </w:p>
        </w:tc>
        <w:tc>
          <w:tcPr>
            <w:tcW w:w="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18"/>
                <w:szCs w:val="18"/>
                <w:color w:val="auto"/>
              </w:rPr>
            </w:pPr>
          </w:p>
        </w:tc>
      </w:tr>
      <w:tr>
        <w:trPr>
          <w:trHeight w:val="216"/>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19,066</w:t>
            </w:r>
          </w:p>
        </w:tc>
        <w:tc>
          <w:tcPr>
            <w:tcW w:w="20" w:type="dxa"/>
            <w:vAlign w:val="bottom"/>
          </w:tcPr>
          <w:p>
            <w:pPr>
              <w:spacing w:after="0"/>
              <w:rPr>
                <w:sz w:val="18"/>
                <w:szCs w:val="18"/>
                <w:color w:val="auto"/>
              </w:rPr>
            </w:pP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67,990</w:t>
            </w:r>
          </w:p>
        </w:tc>
        <w:tc>
          <w:tcPr>
            <w:tcW w:w="20" w:type="dxa"/>
            <w:vAlign w:val="bottom"/>
          </w:tcPr>
          <w:p>
            <w:pPr>
              <w:spacing w:after="0"/>
              <w:rPr>
                <w:sz w:val="18"/>
                <w:szCs w:val="18"/>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(14,018)</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(9,169)</w:t>
            </w:r>
          </w:p>
        </w:tc>
        <w:tc>
          <w:tcPr>
            <w:tcW w:w="20" w:type="dxa"/>
            <w:vAlign w:val="bottom"/>
          </w:tcPr>
          <w:p>
            <w:pPr>
              <w:spacing w:after="0"/>
              <w:rPr>
                <w:sz w:val="18"/>
                <w:szCs w:val="18"/>
                <w:color w:val="auto"/>
              </w:rPr>
            </w:pPr>
          </w:p>
        </w:tc>
      </w:tr>
      <w:tr>
        <w:trPr>
          <w:trHeight w:val="210"/>
        </w:trPr>
        <w:tc>
          <w:tcPr>
            <w:tcW w:w="5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58,821</w:t>
            </w:r>
          </w:p>
        </w:tc>
        <w:tc>
          <w:tcPr>
            <w:tcW w:w="20" w:type="dxa"/>
            <w:vAlign w:val="bottom"/>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Intangible Lease Liabilities:</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(6,130)</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 w:type="dxa"/>
            <w:vAlign w:val="bottom"/>
          </w:tcPr>
          <w:p>
            <w:pPr>
              <w:spacing w:after="0"/>
              <w:rPr>
                <w:sz w:val="18"/>
                <w:szCs w:val="18"/>
                <w:color w:val="auto"/>
              </w:rPr>
            </w:pPr>
          </w:p>
        </w:tc>
      </w:tr>
      <w:tr>
        <w:trPr>
          <w:trHeight w:val="210"/>
        </w:trPr>
        <w:tc>
          <w:tcPr>
            <w:tcW w:w="520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20" w:type="dxa"/>
            <w:vAlign w:val="bottom"/>
          </w:tcPr>
          <w:p>
            <w:pPr>
              <w:spacing w:after="0"/>
              <w:rPr>
                <w:sz w:val="18"/>
                <w:szCs w:val="18"/>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r>
      <w:tr>
        <w:trPr>
          <w:trHeight w:val="20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Pr>
          <w:p>
            <w:pPr>
              <w:spacing w:after="0"/>
              <w:rPr>
                <w:sz w:val="18"/>
                <w:szCs w:val="18"/>
                <w:color w:val="auto"/>
              </w:rPr>
            </w:pPr>
          </w:p>
        </w:tc>
      </w:tr>
      <w:tr>
        <w:trPr>
          <w:trHeight w:val="21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2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58" w:lineRule="auto"/>
        <w:rPr>
          <w:sz w:val="20"/>
          <w:szCs w:val="20"/>
          <w:color w:val="auto"/>
        </w:rPr>
      </w:pPr>
      <w:r>
        <w:rPr>
          <w:rFonts w:ascii="Arial" w:cs="Arial" w:eastAsia="Arial" w:hAnsi="Arial"/>
          <w:sz w:val="18"/>
          <w:szCs w:val="18"/>
          <w:color w:val="auto"/>
        </w:rPr>
        <w:t>The following table reflects the net amortization of intangible assets and liabilities during the years ended December 31, 2022, 2021, and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2022</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2021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Accretion to Properties Revenue</w:t>
            </w:r>
          </w:p>
        </w:tc>
        <w:tc>
          <w:tcPr>
            <w:tcW w:w="6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8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Amortization of Intangible Assets and</w:t>
            </w:r>
          </w:p>
        </w:tc>
        <w:tc>
          <w:tcPr>
            <w:tcW w:w="620" w:type="dxa"/>
            <w:vAlign w:val="bottom"/>
            <w:tcBorders>
              <w:top w:val="single" w:sz="8" w:color="auto"/>
            </w:tcBorders>
            <w:vMerge w:val="restart"/>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Future Amortization</w:t>
            </w:r>
          </w:p>
        </w:tc>
        <w:tc>
          <w:tcPr>
            <w:tcW w:w="12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Future Accretion to</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Intangible Assets and</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Property Revenue</w:t>
            </w:r>
          </w:p>
        </w:tc>
        <w:tc>
          <w:tcPr>
            <w:tcW w:w="18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Liabilities</w:t>
            </w:r>
          </w:p>
        </w:tc>
      </w:tr>
      <w:tr>
        <w:trPr>
          <w:trHeight w:val="210"/>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8,209</w:t>
            </w: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7,036</w:t>
            </w: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2028 and Thereafter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18,287</w:t>
            </w:r>
          </w:p>
        </w:tc>
      </w:tr>
      <w:tr>
        <w:trPr>
          <w:trHeight w:val="209"/>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55,382</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December 31, 2022, the weighted average amortization period of both the total intangible assets and liabilities was 9.1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 6.   OTHER ASSETS</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Other assets consisted of the following (in thousands):</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5"/>
        </w:trPr>
        <w:tc>
          <w:tcPr>
            <w:tcW w:w="2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8"/>
              </w:rPr>
              <w:t>December 31, 2022</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2021</w:t>
            </w:r>
          </w:p>
        </w:tc>
      </w:tr>
      <w:tr>
        <w:trPr>
          <w:trHeight w:val="209"/>
        </w:trPr>
        <w:tc>
          <w:tcPr>
            <w:tcW w:w="582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Tenant Receivables—Net of Allowance for Doubtful Accounts </w:t>
            </w:r>
            <w:r>
              <w:rPr>
                <w:rFonts w:ascii="Arial" w:cs="Arial" w:eastAsia="Arial" w:hAnsi="Arial"/>
                <w:sz w:val="24"/>
                <w:szCs w:val="24"/>
                <w:color w:val="auto"/>
                <w:vertAlign w:val="superscript"/>
              </w:rPr>
              <w:t>(1)</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Prepaid Insurance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Deposits on Acquisitions</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Prepaid Expenses, Deposits, and Other</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Financing Costs—Net</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16"/>
        </w:trPr>
        <w:tc>
          <w:tcPr>
            <w:tcW w:w="58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Operating Leases - Right-of-Use Asset </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Total Other Assets</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w:t>
            </w:r>
          </w:p>
        </w:tc>
      </w:tr>
      <w:tr>
        <w:trPr>
          <w:trHeight w:val="20"/>
        </w:trPr>
        <w:tc>
          <w:tcPr>
            <w:tcW w:w="2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$0.4 million and $0.3 million allowance for doubtful accounts as of December 31, 2022 and 2021, respectively.</w:t>
      </w:r>
    </w:p>
    <w:p>
      <w:pPr>
        <w:ind w:left="380" w:hanging="330"/>
        <w:spacing w:after="0"/>
        <w:tabs>
          <w:tab w:leader="none" w:pos="3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See Note 7, “Operating Land Leases” for further disclosure related to the Company’s right-of-use asset balance as of December 31,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OPERATING LAND LEASES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is the lessee under operating land leases for certain of its properties. FASB ASC Topic 842, Leases, requires a lessee to recognize right-of-use assets and lease liabilities that arise from leases, whether qualifying as an operating or finance lease. As of December 31, 2022, the Company’s right-of-use assets totaled $1.6 million and the corresponding lease liabilities totaled $1.7 million,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78"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$0.1 million during the year ended December 31, 2022, with no such expense recognized during the years ended December 31, 2021 or 2020.</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reflects a summary of operating land leases, under which the Company is the lessee, for the years ended December 31, 2022, 2021, and 2020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Year Ended</w:t>
            </w:r>
          </w:p>
        </w:tc>
        <w:tc>
          <w:tcPr>
            <w:tcW w:w="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6"/>
                <w:szCs w:val="16"/>
                <w:color w:val="auto"/>
              </w:rPr>
            </w:pPr>
          </w:p>
        </w:tc>
        <w:tc>
          <w:tcPr>
            <w:tcW w:w="146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4"/>
        </w:trPr>
        <w:tc>
          <w:tcPr>
            <w:tcW w:w="4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December 31, 2020</w:t>
            </w: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Minimum future lease payments under non-cancelable operating land leases, having remaining terms in excess of one year subsequent to December 31, 2022, are summarized as follows (in thousands):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9"/>
        </w:trPr>
        <w:tc>
          <w:tcPr>
            <w:tcW w:w="6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61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and Thereafter</w:t>
            </w: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r>
      <w:tr>
        <w:trPr>
          <w:trHeight w:val="21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16"/>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Imputed Interest</w:t>
            </w: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09"/>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 – Liability</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accrued expenses and other liabilities consisted of the following (in thousands):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40" w:type="dxa"/>
            <w:vAlign w:val="bottom"/>
            <w:tcBorders>
              <w:bottom w:val="single" w:sz="8" w:color="auto"/>
            </w:tcBorders>
          </w:tcPr>
          <w:p>
            <w:pPr>
              <w:spacing w:after="0"/>
              <w:rPr>
                <w:sz w:val="19"/>
                <w:szCs w:val="19"/>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 2021</w:t>
            </w:r>
          </w:p>
        </w:tc>
      </w:tr>
      <w:tr>
        <w:trPr>
          <w:trHeight w:val="209"/>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Tenant Security Deposits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Due to CTO</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16"/>
        </w:trPr>
        <w:tc>
          <w:tcPr>
            <w:tcW w:w="51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7"/>
                <w:szCs w:val="17"/>
                <w:color w:val="auto"/>
              </w:rPr>
              <w:t xml:space="preserve">Operating Leases - Liability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Total Accounts Payable, Accrued Expenses, and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tcPr>
          <w:p>
            <w:pPr>
              <w:spacing w:after="0"/>
              <w:rPr>
                <w:sz w:val="8"/>
                <w:szCs w:val="8"/>
                <w:color w:val="auto"/>
              </w:rPr>
            </w:pPr>
          </w:p>
        </w:tc>
      </w:tr>
    </w:tbl>
    <w:p>
      <w:pPr>
        <w:spacing w:after="0" w:line="62"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0"/>
          <w:szCs w:val="10"/>
          <w:color w:val="auto"/>
        </w:rPr>
      </w:pPr>
      <w:r>
        <w:rPr>
          <w:rFonts w:ascii="Arial" w:cs="Arial" w:eastAsia="Arial" w:hAnsi="Arial"/>
          <w:sz w:val="13"/>
          <w:szCs w:val="13"/>
          <w:color w:val="auto"/>
        </w:rPr>
        <w:t>See Note 7, “Operating Land Leases” for further disclosure related to the Company’s operating land lease liability balance as of December 31, 2022.</w:t>
      </w:r>
    </w:p>
    <w:p>
      <w:pPr>
        <w:spacing w:after="0" w:line="17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NOTE 9.</w:t>
        <w:tab/>
        <w:t>LONG-TERM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December 31, 2022, the Company’s outstanding indebtedness, at face value, was as follows (in thousands):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 Debt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Stated Interest Rate</w:t>
            </w: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0" w:type="dxa"/>
            <w:vAlign w:val="bottom"/>
          </w:tcPr>
          <w:p>
            <w:pPr>
              <w:spacing w:after="0"/>
              <w:rPr>
                <w:sz w:val="1"/>
                <w:szCs w:val="1"/>
                <w:color w:val="auto"/>
              </w:rPr>
            </w:pPr>
          </w:p>
        </w:tc>
      </w:tr>
      <w:tr>
        <w:trPr>
          <w:trHeight w:val="195"/>
        </w:trPr>
        <w:tc>
          <w:tcPr>
            <w:tcW w:w="22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30-Day SOFR + 0.10% +</w:t>
            </w: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60" w:type="dxa"/>
            <w:vAlign w:val="bottom"/>
            <w:shd w:val="clear" w:color="auto" w:fill="CCEEFF"/>
          </w:tcPr>
          <w:p>
            <w:pPr>
              <w:spacing w:after="0"/>
              <w:rPr>
                <w:sz w:val="20"/>
                <w:szCs w:val="20"/>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[1.25% - 2.20%]</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02"/>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2026 Term Loan </w:t>
            </w:r>
            <w:r>
              <w:rPr>
                <w:rFonts w:ascii="Arial" w:cs="Arial" w:eastAsia="Arial" w:hAnsi="Arial"/>
                <w:sz w:val="26"/>
                <w:szCs w:val="26"/>
                <w:color w:val="auto"/>
                <w:vertAlign w:val="superscript"/>
              </w:rPr>
              <w:t>(1)</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center"/>
              <w:spacing w:after="0" w:line="201" w:lineRule="exact"/>
              <w:rPr>
                <w:sz w:val="20"/>
                <w:szCs w:val="20"/>
                <w:color w:val="auto"/>
              </w:rPr>
            </w:pPr>
            <w:r>
              <w:rPr>
                <w:rFonts w:ascii="Arial" w:cs="Arial" w:eastAsia="Arial" w:hAnsi="Arial"/>
                <w:sz w:val="18"/>
                <w:szCs w:val="18"/>
                <w:color w:val="auto"/>
                <w:w w:val="91"/>
              </w:rPr>
              <w:t>30-Day SOFR + 0.10% +</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[1.35% - 1.95%]</w:t>
            </w: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2026</w:t>
            </w:r>
          </w:p>
        </w:tc>
        <w:tc>
          <w:tcPr>
            <w:tcW w:w="0" w:type="dxa"/>
            <w:vAlign w:val="bottom"/>
          </w:tcPr>
          <w:p>
            <w:pPr>
              <w:spacing w:after="0"/>
              <w:rPr>
                <w:sz w:val="1"/>
                <w:szCs w:val="1"/>
                <w:color w:val="auto"/>
              </w:rPr>
            </w:pPr>
          </w:p>
        </w:tc>
      </w:tr>
      <w:tr>
        <w:trPr>
          <w:trHeight w:val="202"/>
        </w:trPr>
        <w:tc>
          <w:tcPr>
            <w:tcW w:w="36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2027 Term Loan </w:t>
            </w:r>
            <w:r>
              <w:rPr>
                <w:rFonts w:ascii="Arial" w:cs="Arial" w:eastAsia="Arial" w:hAnsi="Arial"/>
                <w:sz w:val="26"/>
                <w:szCs w:val="26"/>
                <w:color w:val="auto"/>
                <w:vertAlign w:val="superscript"/>
              </w:rPr>
              <w:t>(2)</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30-Day SOFR + 0.10% +</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[1.25% - 1.90%]</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2027</w:t>
            </w:r>
          </w:p>
        </w:tc>
        <w:tc>
          <w:tcPr>
            <w:tcW w:w="0" w:type="dxa"/>
            <w:vAlign w:val="bottom"/>
          </w:tcPr>
          <w:p>
            <w:pPr>
              <w:spacing w:after="0"/>
              <w:rPr>
                <w:sz w:val="1"/>
                <w:szCs w:val="1"/>
                <w:color w:val="auto"/>
              </w:rPr>
            </w:pP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Total Debt/Weighted-Average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268,250</w:t>
            </w:r>
          </w:p>
        </w:tc>
        <w:tc>
          <w:tcPr>
            <w:tcW w:w="16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3.98%</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380" w:right="79" w:hanging="330"/>
        <w:spacing w:after="0" w:line="227" w:lineRule="auto"/>
        <w:tabs>
          <w:tab w:leader="none" w:pos="3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2.05% plus 0.10% and the applicable spread on the $100 million 2026 Term Loan (hereinafter defined) balance. See Note 10, “Interest Rate Swaps” for further disclosure related to the Company’s interest rate swaps.</w:t>
      </w:r>
    </w:p>
    <w:p>
      <w:pPr>
        <w:jc w:val="both"/>
        <w:ind w:left="380" w:right="79" w:hanging="330"/>
        <w:spacing w:after="0" w:line="232" w:lineRule="auto"/>
        <w:tabs>
          <w:tab w:leader="none" w:pos="380" w:val="left"/>
        </w:tabs>
        <w:numPr>
          <w:ilvl w:val="0"/>
          <w:numId w:val="35"/>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1.18% plus 0.10% and the applicable spread on the $100 million 2027 Term Loan (hereinafter defined) balance. See Note 10, “Interest Rate Swaps” for further disclosure related to the Company’s interest rate swaps.</w:t>
      </w:r>
    </w:p>
    <w:p>
      <w:pPr>
        <w:spacing w:after="0" w:line="187"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On September 30, 2022, the Company and the Operating Partnership entered into a credit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“2022 Amended and Restated Credit Agreement”) with KeyBank National Association, as administrative agent,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certain other lenders named therein, which amended and restated the 2027 Term Loan Credit Agreement (hereinafter defined) to include, among other things:</w:t>
      </w:r>
    </w:p>
    <w:p>
      <w:pPr>
        <w:spacing w:after="0" w:line="170" w:lineRule="exact"/>
        <w:rPr>
          <w:sz w:val="20"/>
          <w:szCs w:val="20"/>
          <w:color w:val="auto"/>
        </w:rPr>
      </w:pPr>
    </w:p>
    <w:p>
      <w:pPr>
        <w:ind w:left="1040" w:right="159" w:hanging="315"/>
        <w:spacing w:after="0" w:line="258"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origination of a new senior unsecured revolving credit facility in the amount of $250 million (the “Credit Facility”) which matures on January 31, 2027, with the option to extend for one year;</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amendment of certain financial covenants; and</w:t>
      </w:r>
    </w:p>
    <w:p>
      <w:pPr>
        <w:spacing w:after="0" w:line="9" w:lineRule="exact"/>
        <w:rPr>
          <w:rFonts w:ascii="Arial" w:cs="Arial" w:eastAsia="Arial" w:hAnsi="Arial"/>
          <w:sz w:val="18"/>
          <w:szCs w:val="18"/>
          <w:color w:val="auto"/>
        </w:rPr>
      </w:pPr>
    </w:p>
    <w:p>
      <w:pPr>
        <w:ind w:left="1040" w:right="79" w:hanging="315"/>
        <w:spacing w:after="0" w:line="290"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addition of a sustainability-linked pricing component pursuant to which the Company will receive interest rate reductions up to 0.025% based on performance against sustainability performance targets.</w:t>
      </w:r>
    </w:p>
    <w:p>
      <w:pPr>
        <w:spacing w:after="0" w:line="14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Pursuant to the 2022 Amended and Restated Credit Agreement, the indebtedness outstanding under the Credit Facility accrues at a rate ranging from SOFR plus 0.10% plus a range of 125 basis points to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64" w:lineRule="exact"/>
        <w:rPr>
          <w:sz w:val="20"/>
          <w:szCs w:val="20"/>
          <w:color w:val="auto"/>
        </w:rPr>
      </w:pPr>
    </w:p>
    <w:p>
      <w:pPr>
        <w:jc w:val="both"/>
        <w:ind w:left="60" w:right="59" w:firstLine="369"/>
        <w:spacing w:after="0" w:line="273" w:lineRule="auto"/>
        <w:rPr>
          <w:sz w:val="20"/>
          <w:szCs w:val="20"/>
          <w:color w:val="auto"/>
        </w:rPr>
      </w:pPr>
      <w:r>
        <w:rPr>
          <w:rFonts w:ascii="Arial" w:cs="Arial" w:eastAsia="Arial" w:hAnsi="Arial"/>
          <w:sz w:val="17"/>
          <w:szCs w:val="17"/>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2022, the current commitment level under the Credit Facility was $250.0 million and the Company had an outstanding balance of $68.3 million.</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Prior Credit Facility. </w:t>
      </w:r>
      <w:r>
        <w:rPr>
          <w:rFonts w:ascii="Arial" w:cs="Arial" w:eastAsia="Arial" w:hAnsi="Arial"/>
          <w:sz w:val="16"/>
          <w:szCs w:val="16"/>
          <w:color w:val="auto"/>
        </w:rPr>
        <w:t>On September 30, 2022, in connection with the Company’s entry into the 2022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Credit Agreement, the Company repaid all obligations outstanding under the Credit Agreement, dated as of November 26, 2019, as amended, among the Company, the Bank of Montreal, as administrative agent, and certain other lenders party thereto (the “Prior Revolving Credit Facility”), and the Prior Revolving Credit Facility was terminated and the obligations thereunder discharged. As a result of the termination of the Prior Revolving Credit Facility, $0.3 million of unamortized deferred financing costs were written off during the three months ended September 30, 2022 and are included in the consolidated statements of operations as Loss on Extinguishment of Debt.</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i w:val="1"/>
          <w:iCs w:val="1"/>
          <w:color w:val="auto"/>
        </w:rPr>
        <w:t xml:space="preserve">2026 Term Loan. </w:t>
      </w:r>
      <w:r>
        <w:rPr>
          <w:rFonts w:ascii="Arial" w:cs="Arial" w:eastAsia="Arial" w:hAnsi="Arial"/>
          <w:sz w:val="16"/>
          <w:szCs w:val="16"/>
          <w:color w:val="auto"/>
        </w:rPr>
        <w:t>On May 21, 2021, the Operating Partnership, the Company and certain subsidiaries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spacing w:after="0" w:line="13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2027 Term Loan. </w:t>
      </w:r>
      <w:r>
        <w:rPr>
          <w:rFonts w:ascii="Arial" w:cs="Arial" w:eastAsia="Arial" w:hAnsi="Arial"/>
          <w:sz w:val="16"/>
          <w:szCs w:val="16"/>
          <w:color w:val="auto"/>
        </w:rPr>
        <w:t>On September 30, 2021, the Operating Partnership, the Company and certain subsidiaries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Amendment”), which increased the Term Commitment by $20 million to an aggregate of $100 million. The 2027 Term Loan Amendment also effectuated the transition of the underlying variable interest rate from LIBOR to SOFR.</w:t>
      </w:r>
    </w:p>
    <w:p>
      <w:pPr>
        <w:spacing w:after="0" w:line="14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Mortgage Notes Payable. </w:t>
      </w:r>
      <w:r>
        <w:rPr>
          <w:rFonts w:ascii="Arial" w:cs="Arial" w:eastAsia="Arial" w:hAnsi="Arial"/>
          <w:sz w:val="18"/>
          <w:szCs w:val="18"/>
          <w:color w:val="auto"/>
        </w:rPr>
        <w:t>On June 30, 2021, in connection with the acquisition of six net lease properties from CTO</w:t>
      </w:r>
      <w:r>
        <w:rPr>
          <w:rFonts w:ascii="Arial" w:cs="Arial" w:eastAsia="Arial" w:hAnsi="Arial"/>
          <w:sz w:val="18"/>
          <w:szCs w:val="18"/>
          <w:i w:val="1"/>
          <w:iCs w:val="1"/>
          <w:color w:val="auto"/>
        </w:rPr>
        <w:t xml:space="preserve"> </w:t>
      </w:r>
      <w:r>
        <w:rPr>
          <w:rFonts w:ascii="Arial" w:cs="Arial" w:eastAsia="Arial" w:hAnsi="Arial"/>
          <w:sz w:val="18"/>
          <w:szCs w:val="18"/>
          <w:color w:val="auto"/>
        </w:rPr>
        <w:t>(the “CMBS Portfolio”), the Company assumed an existing $30.0 million secured mortgage, which bears interest at a fixed rate of 4.33% (the “CMBS Loan”). On December 1, 2022, the Company completed the defeasance of the CMBS Loan, unencumbering the CBMS Portfolio. The Company sold four of the six properties subsequent to the defeasance, during the year ended December 31, 2022. Additionally, on June 30, 2021, in connection with the acquisition of two net lease properties from an unrelated third party, the Company assumed mortgage notes totaling an aggregate of $1.6 million, which balance was repaid on July 1, 2021.</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as of December 31, 2022 and 2021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December 31, 2021</w:t>
            </w:r>
          </w:p>
        </w:tc>
      </w:tr>
      <w:tr>
        <w:trPr>
          <w:trHeight w:val="191"/>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Due</w:t>
            </w:r>
          </w:p>
        </w:tc>
      </w:tr>
      <w:tr>
        <w:trPr>
          <w:trHeight w:val="216"/>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Due Within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Within</w:t>
            </w:r>
          </w:p>
        </w:tc>
      </w:tr>
      <w:tr>
        <w:trPr>
          <w:trHeight w:val="234"/>
        </w:trPr>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One Year</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One Year</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Term Loan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Mortgage Note Payable - CMBS Portfolio</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02"/>
        </w:trPr>
        <w:tc>
          <w:tcPr>
            <w:tcW w:w="3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Financing Costs, net of Accumulated</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w:t>
            </w:r>
          </w:p>
        </w:tc>
        <w:tc>
          <w:tcPr>
            <w:tcW w:w="1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267,116</w:t>
            </w:r>
          </w:p>
        </w:tc>
        <w:tc>
          <w:tcPr>
            <w:tcW w:w="1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267,740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Payments applicable to reduction of principal amounts as of December 31, 2022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4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168,250</w:t>
            </w:r>
          </w:p>
        </w:tc>
      </w:tr>
      <w:tr>
        <w:trPr>
          <w:trHeight w:val="216"/>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2028 and Thereafter</w:t>
            </w: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268,250</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value of long-term debt as of December 31, 2022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Total</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268,250</w:t>
            </w:r>
          </w:p>
        </w:tc>
      </w:tr>
      <w:tr>
        <w:trPr>
          <w:trHeight w:val="21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5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267,116</w:t>
            </w:r>
          </w:p>
        </w:tc>
      </w:tr>
      <w:tr>
        <w:trPr>
          <w:trHeight w:val="20"/>
        </w:trPr>
        <w:tc>
          <w:tcPr>
            <w:tcW w:w="6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$1.1 million of financing costs, net of accumulated amortization included in the table above, as of December 31, 2022, the Company also had financing costs, net of accumulated amortization related to the Credit Facility of $1.5 million which is included in other assets on the consolidated balance sheets. These costs are amortized on a straight-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0"/>
        <w:spacing w:after="0" w:line="277" w:lineRule="auto"/>
        <w:rPr>
          <w:sz w:val="20"/>
          <w:szCs w:val="20"/>
          <w:color w:val="auto"/>
        </w:rPr>
      </w:pPr>
      <w:r>
        <w:rPr>
          <w:rFonts w:ascii="Arial" w:cs="Arial" w:eastAsia="Arial" w:hAnsi="Arial"/>
          <w:sz w:val="18"/>
          <w:szCs w:val="18"/>
          <w:color w:val="auto"/>
        </w:rPr>
        <w:t>line basis over the term of the Credit Facility and are included in interest expense in the Company’s accompanying consolidated statements of operations.</w:t>
      </w:r>
    </w:p>
    <w:p>
      <w:pPr>
        <w:spacing w:after="0" w:line="170" w:lineRule="exact"/>
        <w:rPr>
          <w:sz w:val="20"/>
          <w:szCs w:val="20"/>
          <w:color w:val="auto"/>
        </w:rPr>
      </w:pPr>
    </w:p>
    <w:p>
      <w:pPr>
        <w:jc w:val="both"/>
        <w:ind w:left="60" w:right="80" w:firstLine="324"/>
        <w:spacing w:after="0" w:line="277" w:lineRule="auto"/>
        <w:rPr>
          <w:sz w:val="20"/>
          <w:szCs w:val="20"/>
          <w:color w:val="auto"/>
        </w:rPr>
      </w:pPr>
      <w:r>
        <w:rPr>
          <w:rFonts w:ascii="Arial" w:cs="Arial" w:eastAsia="Arial" w:hAnsi="Arial"/>
          <w:sz w:val="18"/>
          <w:szCs w:val="18"/>
          <w:color w:val="auto"/>
        </w:rPr>
        <w:t>The following table reflects a summary of interest expense incurred and paid during the years ended December 31, 2022,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9"/>
        </w:trPr>
        <w:tc>
          <w:tcPr>
            <w:tcW w:w="396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2022</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2021</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2020</w:t>
            </w: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00" w:type="dxa"/>
            <w:vAlign w:val="bottom"/>
            <w:tcBorders>
              <w:top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02"/>
        </w:trPr>
        <w:tc>
          <w:tcPr>
            <w:tcW w:w="3960" w:type="dxa"/>
            <w:vAlign w:val="bottom"/>
          </w:tcPr>
          <w:p>
            <w:pPr>
              <w:ind w:left="20"/>
              <w:spacing w:after="0" w:line="201" w:lineRule="exact"/>
              <w:rPr>
                <w:sz w:val="20"/>
                <w:szCs w:val="20"/>
                <w:color w:val="auto"/>
              </w:rPr>
            </w:pPr>
            <w:r>
              <w:rPr>
                <w:rFonts w:ascii="Arial" w:cs="Arial" w:eastAsia="Arial" w:hAnsi="Arial"/>
                <w:sz w:val="18"/>
                <w:szCs w:val="18"/>
                <w:color w:val="auto"/>
                <w:w w:val="94"/>
              </w:rPr>
              <w:t>Amortization of Deferred Financing Costs to Interest</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0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60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0"/>
        </w:trPr>
        <w:tc>
          <w:tcPr>
            <w:tcW w:w="3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3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Paid</w:t>
            </w:r>
          </w:p>
        </w:tc>
        <w:tc>
          <w:tcPr>
            <w:tcW w:w="600" w:type="dxa"/>
            <w:vAlign w:val="bottom"/>
            <w:tcBorders>
              <w:bottom w:val="single" w:sz="8" w:color="auto"/>
            </w:tcBorders>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0"/>
        </w:trPr>
        <w:tc>
          <w:tcPr>
            <w:tcW w:w="3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of its debt covenants as of December 31, 2022.</w:t>
      </w:r>
    </w:p>
    <w:p>
      <w:pPr>
        <w:spacing w:after="0" w:line="329"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INTEREST RATE SWAPS</w:t>
      </w:r>
    </w:p>
    <w:p>
      <w:pPr>
        <w:spacing w:after="0" w:line="229" w:lineRule="exact"/>
        <w:rPr>
          <w:sz w:val="20"/>
          <w:szCs w:val="20"/>
          <w:color w:val="auto"/>
        </w:rPr>
      </w:pPr>
    </w:p>
    <w:p>
      <w:pPr>
        <w:jc w:val="both"/>
        <w:ind w:left="60" w:right="60" w:firstLine="324"/>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years ended December 31, 2022, 2021, and 2020.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120"/>
              <w:spacing w:after="0"/>
              <w:rPr>
                <w:sz w:val="20"/>
                <w:szCs w:val="20"/>
                <w:color w:val="auto"/>
              </w:rPr>
            </w:pPr>
            <w:r>
              <w:rPr>
                <w:rFonts w:ascii="Arial" w:cs="Arial" w:eastAsia="Arial" w:hAnsi="Arial"/>
                <w:sz w:val="16"/>
                <w:szCs w:val="16"/>
                <w:b w:val="1"/>
                <w:bCs w:val="1"/>
                <w:color w:val="auto"/>
              </w:rPr>
              <w:t>Effective</w:t>
            </w:r>
          </w:p>
        </w:tc>
        <w:tc>
          <w:tcPr>
            <w:tcW w:w="10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Maturity</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Fair Value as of</w:t>
            </w:r>
          </w:p>
        </w:tc>
        <w:tc>
          <w:tcPr>
            <w:tcW w:w="0" w:type="dxa"/>
            <w:vAlign w:val="bottom"/>
          </w:tcPr>
          <w:p>
            <w:pPr>
              <w:spacing w:after="0"/>
              <w:rPr>
                <w:sz w:val="1"/>
                <w:szCs w:val="1"/>
                <w:color w:val="auto"/>
              </w:rPr>
            </w:pPr>
          </w:p>
        </w:tc>
      </w:tr>
      <w:tr>
        <w:trPr>
          <w:trHeight w:val="213"/>
        </w:trPr>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Hedged Item</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Date</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Date</w:t>
            </w:r>
          </w:p>
        </w:tc>
        <w:tc>
          <w:tcPr>
            <w:tcW w:w="16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December 31, 2022</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(1)</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2.05% + 0.10% +</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144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5/21/2021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5/21/2026</w:t>
            </w:r>
          </w:p>
        </w:tc>
        <w:tc>
          <w:tcPr>
            <w:tcW w:w="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(2)</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2"/>
              </w:rPr>
              <w:t>1.18%+ 0.10% +</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tcPr>
          <w:p>
            <w:pPr>
              <w:ind w:left="20"/>
              <w:spacing w:after="0"/>
              <w:rPr>
                <w:sz w:val="20"/>
                <w:szCs w:val="20"/>
                <w:color w:val="auto"/>
              </w:rPr>
            </w:pPr>
            <w:r>
              <w:rPr>
                <w:rFonts w:ascii="Arial" w:cs="Arial" w:eastAsia="Arial" w:hAnsi="Arial"/>
                <w:sz w:val="16"/>
                <w:szCs w:val="16"/>
                <w:color w:val="auto"/>
                <w:w w:val="89"/>
              </w:rPr>
              <w:t>2027</w:t>
            </w:r>
          </w:p>
        </w:tc>
        <w:tc>
          <w:tcPr>
            <w:tcW w:w="1440" w:type="dxa"/>
            <w:vAlign w:val="bottom"/>
            <w:gridSpan w:val="2"/>
            <w:vMerge w:val="continue"/>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9/30/2021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11/26/2024</w:t>
            </w:r>
          </w:p>
        </w:tc>
        <w:tc>
          <w:tcPr>
            <w:tcW w:w="160" w:type="dxa"/>
            <w:vAlign w:val="bottom"/>
          </w:tcPr>
          <w:p>
            <w:pPr>
              <w:spacing w:after="0"/>
              <w:rPr>
                <w:sz w:val="18"/>
                <w:szCs w:val="18"/>
                <w:color w:val="auto"/>
              </w:rPr>
            </w:pPr>
          </w:p>
        </w:tc>
        <w:tc>
          <w:tcPr>
            <w:tcW w:w="24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applicable spread</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193"/>
        </w:trPr>
        <w:tc>
          <w:tcPr>
            <w:tcW w:w="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Term Loan </w:t>
            </w:r>
            <w:r>
              <w:rPr>
                <w:rFonts w:ascii="Arial" w:cs="Arial" w:eastAsia="Arial" w:hAnsi="Arial"/>
                <w:sz w:val="24"/>
                <w:szCs w:val="24"/>
                <w:color w:val="auto"/>
                <w:vertAlign w:val="superscript"/>
              </w:rPr>
              <w:t>(3)</w:t>
            </w: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1.60%+ 0.10% +</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2027</w:t>
            </w:r>
          </w:p>
        </w:tc>
        <w:tc>
          <w:tcPr>
            <w:tcW w:w="1440" w:type="dxa"/>
            <w:vAlign w:val="bottom"/>
            <w:gridSpan w:val="2"/>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11/26/2024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1/31/2027</w:t>
            </w:r>
          </w:p>
        </w:tc>
        <w:tc>
          <w:tcPr>
            <w:tcW w:w="1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9"/>
              </w:rPr>
              <w:t>applicable spread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20" w:hanging="330"/>
        <w:spacing w:after="0" w:line="224"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2.05% plus 0.10% and the applicable spread on the $100 million 2026 Term Loan balance. The weighted average fixed interest rate of 2.05%, is comprised of: (i)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spacing w:after="0" w:line="3" w:lineRule="exact"/>
        <w:rPr>
          <w:rFonts w:ascii="Arial" w:cs="Arial" w:eastAsia="Arial" w:hAnsi="Arial"/>
          <w:sz w:val="11"/>
          <w:szCs w:val="11"/>
          <w:color w:val="auto"/>
        </w:rPr>
      </w:pPr>
    </w:p>
    <w:p>
      <w:pPr>
        <w:jc w:val="both"/>
        <w:ind w:left="380" w:right="80" w:hanging="330"/>
        <w:spacing w:after="0" w:line="221" w:lineRule="auto"/>
        <w:tabs>
          <w:tab w:leader="none" w:pos="3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As of December 31, 2022, the Company has utilized interest rate swaps to fix SOFR and achieve a weighted average fixed interest rate of 1.18% plus 0.10% and the applicable spread on the $100 million 2027 Term Loan balance. The weighted average fixed interest rate of 1.18%, is comprised of: (i) rate swaps on $80.0 million of the 2027 Term Loan balance effective September 30, 2021, as amended on April 14, 2022 in connection with the 2027 Term Loan Amendment, to fix SOFR, (prior to April 14, 2022, the swap was to fix LIBOR), and (ii) a rate swap on $20.0 million of the 2027 Term Loan balance effective September 30, 2022, to fix SOFR.</w:t>
      </w:r>
    </w:p>
    <w:p>
      <w:pPr>
        <w:spacing w:after="0" w:line="1" w:lineRule="exact"/>
        <w:rPr>
          <w:rFonts w:ascii="Arial" w:cs="Arial" w:eastAsia="Arial" w:hAnsi="Arial"/>
          <w:sz w:val="11"/>
          <w:szCs w:val="11"/>
          <w:color w:val="auto"/>
        </w:rPr>
      </w:pPr>
    </w:p>
    <w:p>
      <w:pPr>
        <w:ind w:left="380" w:right="80" w:hanging="330"/>
        <w:spacing w:after="0" w:line="271" w:lineRule="auto"/>
        <w:tabs>
          <w:tab w:leader="none" w:pos="380" w:val="left"/>
        </w:tabs>
        <w:numPr>
          <w:ilvl w:val="0"/>
          <w:numId w:val="37"/>
        </w:numPr>
        <w:rPr>
          <w:rFonts w:ascii="Arial" w:cs="Arial" w:eastAsia="Arial" w:hAnsi="Arial"/>
          <w:sz w:val="10"/>
          <w:szCs w:val="10"/>
          <w:color w:val="auto"/>
        </w:rPr>
      </w:pPr>
      <w:r>
        <w:rPr>
          <w:rFonts w:ascii="Arial" w:cs="Arial" w:eastAsia="Arial" w:hAnsi="Arial"/>
          <w:sz w:val="13"/>
          <w:szCs w:val="13"/>
          <w:color w:val="auto"/>
        </w:rPr>
        <w:t>The interest rate swap agreement hedges $80.0 million of the $100.0 million 2027 Term Loan balance under different terms and commences concurrent to the interest rate agreements maturing on November 26, 2024 to extend the fixed interest rate through maturity on January 31, 2027.</w:t>
      </w:r>
    </w:p>
    <w:p>
      <w:pPr>
        <w:spacing w:after="0" w:line="16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11.</w:t>
        <w:tab/>
        <w:t>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60" w:right="60" w:firstLine="324"/>
        <w:spacing w:after="0" w:line="259" w:lineRule="auto"/>
        <w:rPr>
          <w:sz w:val="20"/>
          <w:szCs w:val="20"/>
          <w:color w:val="auto"/>
        </w:rPr>
      </w:pPr>
      <w:r>
        <w:rPr>
          <w:rFonts w:ascii="Arial" w:cs="Arial" w:eastAsia="Arial" w:hAnsi="Arial"/>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Securities and Exchange Commission declared the Form S-3 effective on December 11, 2020.</w:t>
      </w: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FOLLOW-ON PUBLIC OFFERING</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 ACTIVITY</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October 21, 2022, the Company implemented a $150.0 million “at-the-market” equity offering program (the “2022 ATM Program”) pursuant to which the Company may sell, from time to time, shares of the Company’s common stock.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88"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As of December 31, 2022, CTO holds, directly and indirectly, an 8.1% noncontrolling ownership interest in the Operating Partnership as a result of 1,223,854 OP Units issued to CTO at the time of the Company’s IPO. An additional 3.2% noncontrolling ownership interest is held by an unrelated third party in connection with the issuance of 479,640 OP Units as consideration for a portfolio of net lease properties acquired during the year ended December 31,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years ended December 31, 2022, 2021, and 2020, the Company declared and paid cash dividends on its common stock and OP Units of $1.090 per share, $1.015 per share, and $0.820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COMMON STOCK AND EARNINGS PER SHARE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conversion of OP Units on a one-for-one basis using the treasury stock method at average market prices for the periods.</w:t>
      </w:r>
    </w:p>
    <w:p>
      <w:pPr>
        <w:spacing w:after="0" w:line="187"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following is a reconciliation of basic and diluted earnings per common share (in thousands, except share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2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Net Income Attributable to Alpine Income Property Trust,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Weighted Average Number of Common Shares Outstanding</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11,976,001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9,781,066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7,588,349</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line="192" w:lineRule="exact"/>
              <w:rPr>
                <w:sz w:val="20"/>
                <w:szCs w:val="20"/>
                <w:color w:val="auto"/>
              </w:rPr>
            </w:pPr>
            <w:r>
              <w:rPr>
                <w:rFonts w:ascii="Arial" w:cs="Arial" w:eastAsia="Arial" w:hAnsi="Arial"/>
                <w:sz w:val="18"/>
                <w:szCs w:val="18"/>
                <w:color w:val="auto"/>
                <w:w w:val="93"/>
              </w:rPr>
              <w:t>Weighted Average Number of Common Shares Applicable to</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00" w:type="dxa"/>
            <w:vAlign w:val="bottom"/>
            <w:tcBorders>
              <w:bottom w:val="single" w:sz="8" w:color="CCEEFF"/>
            </w:tcBorders>
          </w:tcPr>
          <w:p>
            <w:pPr>
              <w:ind w:left="20"/>
              <w:spacing w:after="0" w:line="240" w:lineRule="exact"/>
              <w:rPr>
                <w:sz w:val="20"/>
                <w:szCs w:val="20"/>
                <w:color w:val="auto"/>
              </w:rPr>
            </w:pPr>
            <w:r>
              <w:rPr>
                <w:rFonts w:ascii="Arial" w:cs="Arial" w:eastAsia="Arial" w:hAnsi="Arial"/>
                <w:sz w:val="18"/>
                <w:szCs w:val="18"/>
                <w:color w:val="auto"/>
              </w:rPr>
              <w:t xml:space="preserve">OP Units using Treasury Stock Method </w:t>
            </w:r>
            <w:r>
              <w:rPr>
                <w:rFonts w:ascii="Arial" w:cs="Arial" w:eastAsia="Arial" w:hAnsi="Arial"/>
                <w:sz w:val="26"/>
                <w:szCs w:val="26"/>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1,703,494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1,465,161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1,223,854</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13,679,495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11,246,227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8,812,203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tcPr>
          <w:p>
            <w:pPr>
              <w:ind w:left="20"/>
              <w:spacing w:after="0" w:line="201" w:lineRule="exact"/>
              <w:rPr>
                <w:sz w:val="20"/>
                <w:szCs w:val="20"/>
                <w:color w:val="auto"/>
              </w:rPr>
            </w:pPr>
            <w:r>
              <w:rPr>
                <w:rFonts w:ascii="Arial" w:cs="Arial" w:eastAsia="Arial" w:hAnsi="Arial"/>
                <w:sz w:val="18"/>
                <w:szCs w:val="18"/>
                <w:color w:val="auto"/>
              </w:rPr>
              <w:t>Net Income Attributable to Alpine Income Property Trust,</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Inc.</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jc w:val="both"/>
        <w:ind w:left="380" w:right="79" w:hanging="330"/>
        <w:spacing w:after="0" w:line="238" w:lineRule="auto"/>
        <w:tabs>
          <w:tab w:leader="none" w:pos="3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Represents shares underlying OP units including (i) 1,223,854 shares underlying OP Units issued to CTO in connection with our IPO and (ii) 479,640 shares underlying OP Units issued to an unrelated third party in connection with the acquisition of a portfolio of properties during the year ended December 31, 2021 (see Note 11, “Equity”).</w:t>
      </w:r>
    </w:p>
    <w:p>
      <w:pPr>
        <w:spacing w:after="0" w:line="26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SHARE REPURCHASES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March 2020, the Board approved a $5.0 million stock repurchase program (the “$5.0 Million Repurchase Program”). During the year ended December 31, 2020, the Company repurchased 456,237 shares of its common stock on the open market for a total cost of $5.0 million, or an average price per share of $11.02, which completed the $5.0 Million Repurchase Program. There were no repurchases of the Company’s common stock during the years ended December 31, 2022 or 2021.</w:t>
      </w:r>
    </w:p>
    <w:p>
      <w:pPr>
        <w:spacing w:after="0" w:line="18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In connection with the closing of the IPO, on November 26, 2019, the Company granted restricted shares of common stock to each of the non-employee directors under the Individual Plan. Each of the non-employee directors received an award of 2,000 restricted shares of common stock on November 26, 2019. The restricted shares vested in substantially equal installments on each of the first, second, and third anniversaries of the grant date. As of December 31, 2022, all increments of this award had vested. In addition, the restricted shares are subject to a holding period beginning on the grant date and ending on the date that the grantee ceases to serve as a member of the Board (the “Holding Period”). During the Holding Period, the restricted shares may not be sold, pledged or otherwise transferred by the grantee. Except for the grant of these 8,000 restricted shares of common stock, the Company has not made any grants under the Equity Incentive Plans. Any future grants under the Equity Incentive Plans will be approved by the compensation committee of the Board. The 2019 non-employee director share awards had an aggregate grant date fair value of $0.15 million. The Company’s determination of the grant date fair value of the three-year vest restricted stock awards was calculated by multiplying the number of shares issued by the Company’s stock price at the grant date. Compensation cost was recognized on a straight-line basis over the vesting period and is included in general and administrative expenses in the Company’s consolidated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statements of operations. The Company recognized stock compensation expense totaling $0.05 million during each of the years ended December 31, 2022, 2021, and 2020.</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 summary of activity for these awards during the years ended December 31, 2022, 2021 and 2020 is presented below:</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Non-Vested Restricted Shares</w:t>
            </w:r>
          </w:p>
        </w:tc>
        <w:tc>
          <w:tcPr>
            <w:tcW w:w="18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Wtd. Avg. Fair Value</w:t>
            </w:r>
          </w:p>
        </w:tc>
      </w:tr>
      <w:tr>
        <w:trPr>
          <w:trHeight w:val="209"/>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2020</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Non-Vested at December 31, 2020</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(2,668)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Non-Vested at December 31, 2022</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2022, there was no unrecognized compensation cost related to the three-year vest restricted shares.</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Each member of the Board has the option to receive his or her annual retainer in shares of Company common stock rather than cash. The number of shares awarded to the directors making such election is calculated quarterly by dividing the amount of the quarterly retainer payment due to such director by the trailing 20-day average price of the Company’s common stock as of the last business day of the calendar quarter, rounded down to the nearest whole number of shares. During the year ended December 31, 2022, the expense recognized for the value of the Company’s common stock received by non-employee directors totaled $0.3 million, or 14,485 shares, of which 3,514 shares were issued on April 1, 2022, 3,689 shares were issued on July 1, 2022, 3,774 shares were issued on October 1, 2022, and 3,508 shares were issued on January 1, 2023. During the year ended December 31, 2021, the expense recognized for the value of the Company’s common stock received by non-employee directors totaled $0.3 million, or 14,049 shares, of which 3,453 shares were issued on April 1, 2021, 3,525 shares were issued on July 1, 2021, 3,594 shares were issued on October 1, 2021, and 3,477 shares were issued on January 3, 2022. During the year ended December 31, 2020, the expense recognized for the value of the Company’s common stock received by non-employee directors totaled $0.2 million, or 14,572 shares, of which 4,098 shares were issued on April 1, 2020, 3,414 shares were issued on July 1, 2020, 3,474 shares were issued on October 1, 2020, and 3,586 shares were issued on January 1, 2021.</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Stock compensation expense for the years ended December 31, 2022, 2021, and 2020 is summarized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Year Ended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9"/>
        </w:trPr>
        <w:tc>
          <w:tcPr>
            <w:tcW w:w="2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2021</w:t>
            </w:r>
          </w:p>
        </w:tc>
        <w:tc>
          <w:tcPr>
            <w:tcW w:w="10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b w:val="1"/>
                <w:bCs w:val="1"/>
                <w:color w:val="auto"/>
                <w:w w:val="91"/>
              </w:rPr>
              <w:t>December 31, 2020</w:t>
            </w:r>
          </w:p>
        </w:tc>
      </w:tr>
      <w:tr>
        <w:trPr>
          <w:trHeight w:val="196"/>
        </w:trPr>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7"/>
              </w:rPr>
              <w:t>Stock Compensation Expense – Director Restricted Stock</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193"/>
        </w:trPr>
        <w:tc>
          <w:tcPr>
            <w:tcW w:w="4040" w:type="dxa"/>
            <w:vAlign w:val="bottom"/>
            <w:gridSpan w:val="2"/>
          </w:tcPr>
          <w:p>
            <w:pPr>
              <w:ind w:left="20"/>
              <w:spacing w:after="0"/>
              <w:rPr>
                <w:sz w:val="20"/>
                <w:szCs w:val="20"/>
                <w:color w:val="auto"/>
              </w:rPr>
            </w:pPr>
            <w:r>
              <w:rPr>
                <w:rFonts w:ascii="Arial" w:cs="Arial" w:eastAsia="Arial" w:hAnsi="Arial"/>
                <w:sz w:val="16"/>
                <w:szCs w:val="16"/>
                <w:color w:val="auto"/>
                <w:w w:val="96"/>
              </w:rPr>
              <w:t>Stock Compensation Expense – Director Retainers Paid in</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Stock</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199"/>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62" w:lineRule="exact"/>
        <w:rPr>
          <w:sz w:val="20"/>
          <w:szCs w:val="20"/>
          <w:color w:val="auto"/>
        </w:rPr>
      </w:pPr>
    </w:p>
    <w:p>
      <w:pPr>
        <w:jc w:val="both"/>
        <w:ind w:left="380" w:right="79" w:hanging="330"/>
        <w:spacing w:after="0" w:line="238" w:lineRule="auto"/>
        <w:tabs>
          <w:tab w:leader="none" w:pos="3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Director retainers are issued through additional paid in capital in arrears. Therefore, the change in additional paid in capital during the years ended December 31, 2022, 2021, and 2020 reported on the consolidated statements of stockholders’ equity does not agree to the total non-cash compensation reported on the consolidated statements of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15.</w:t>
        <w:tab/>
        <w:t>RELATED PARTY MANAGEMENT COMPANY</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are externally managed by the Manager, a wholly owned subsidiary of CTO. During the year ended December 31, 2022, CTO purchased 155,665 shares of PINE common stock in the open market for $2.7 million, or an average price per share of $17.57. During the year ended December 31, 2021, CTO purchased 8,088 shares of PINE common stock in the open market for $0.1 million, or an average price per share of $17.65. As of December 31, 2022, CTO owns, in the aggregate, 1,223,854 OP Units and 979,543 shares of PINE common stock, inclusive of (i) 815,790 shares of common stock totaling $15.6 million issued in connection with the IPO and (ii) 163,753 shares of common stock totaling $3.1 million purchased by CTO subsequent to the IPO. The aggregate 1,223,854 OP Units and 979,543 shares of PINE common stock held by CTO represent an investment totaling $42.0 million, or 14.6% of PINE’s outstanding equity, as of December 31, 2022.</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Agreement</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2022, 2021 or 2020.</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incurred management fee expenses totaling $3.8 million, $3.2 million, and $2.6 million during the years ended December 31, 2022, 2021, and 2020, respectively. The Company also paid dividends on the common stock and OP Units owned by affiliates of the Manager in the amount of $2.3 million, $2.1 million, and $1.7 million, for the years ended December 31, 2022,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represents amounts due from the Company to CTO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Management Fee due to CTO</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4"/>
                <w:szCs w:val="24"/>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Included in accrued expenses, see Note 8, “Accounts Payable, Accrued Expenses, and Other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ROFO Agreement</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5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term of the ROFO Agreement will continue for so long as the Management Agreement with our Manager is in effect.</w:t>
      </w:r>
    </w:p>
    <w:p>
      <w:pPr>
        <w:spacing w:after="0" w:line="170" w:lineRule="exact"/>
        <w:rPr>
          <w:sz w:val="20"/>
          <w:szCs w:val="20"/>
          <w:color w:val="auto"/>
        </w:rPr>
      </w:pPr>
    </w:p>
    <w:p>
      <w:pPr>
        <w:jc w:val="both"/>
        <w:ind w:left="60" w:right="79" w:firstLine="324"/>
        <w:spacing w:after="0" w:line="248" w:lineRule="auto"/>
        <w:rPr>
          <w:sz w:val="20"/>
          <w:szCs w:val="20"/>
          <w:color w:val="auto"/>
        </w:rPr>
      </w:pPr>
      <w:r>
        <w:rPr>
          <w:rFonts w:ascii="Arial" w:cs="Arial" w:eastAsia="Arial" w:hAnsi="Arial"/>
          <w:sz w:val="18"/>
          <w:szCs w:val="18"/>
          <w:color w:val="auto"/>
        </w:rPr>
        <w:t>On April 6, 2021, the Company entered into a purchase and sale agreement with a certain subsidiary of CTO for the purchase of one net lease property (the “Single Property”) for $11.5 million. The acquisition of the Single Property was completed on April 23, 2021.</w:t>
      </w:r>
    </w:p>
    <w:p>
      <w:pPr>
        <w:spacing w:after="0" w:line="182"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On April 2, 2021, the Company entered into a separate purchase and sale agreement with certain subsidiaries of CTO for the purchase of the CMBS Portfolio. The terms of the purchase and sale agreement, as amended on April 20, 2021, provided a total purchase price of $44.5 million for the CMBS Portfolio. The acquisition of the CMBS Portfolio was completed on June 30, 2021.</w:t>
      </w:r>
    </w:p>
    <w:p>
      <w:pPr>
        <w:spacing w:after="0" w:line="174" w:lineRule="exact"/>
        <w:rPr>
          <w:sz w:val="20"/>
          <w:szCs w:val="20"/>
          <w:color w:val="auto"/>
        </w:rPr>
      </w:pPr>
    </w:p>
    <w:p>
      <w:pPr>
        <w:jc w:val="both"/>
        <w:ind w:left="60" w:right="79" w:firstLine="324"/>
        <w:spacing w:after="0" w:line="248" w:lineRule="auto"/>
        <w:rPr>
          <w:sz w:val="20"/>
          <w:szCs w:val="20"/>
          <w:color w:val="auto"/>
        </w:rPr>
      </w:pPr>
      <w:r>
        <w:rPr>
          <w:rFonts w:ascii="Arial" w:cs="Arial" w:eastAsia="Arial" w:hAnsi="Arial"/>
          <w:sz w:val="18"/>
          <w:szCs w:val="18"/>
          <w:color w:val="auto"/>
        </w:rPr>
        <w:t>On January 5, 2022, the Company entered into a purchase and sale agreement with a certain subsidiary of CTO for the purchase of one net lease property. The terms of the purchase and sale agreement provided a total purchase price of $6.9 million, which acquisition was completed on January 7, 2022.</w:t>
      </w:r>
    </w:p>
    <w:p>
      <w:pPr>
        <w:spacing w:after="0" w:line="168" w:lineRule="exact"/>
        <w:rPr>
          <w:sz w:val="20"/>
          <w:szCs w:val="20"/>
          <w:color w:val="auto"/>
        </w:rPr>
      </w:pPr>
    </w:p>
    <w:p>
      <w:pPr>
        <w:jc w:val="both"/>
        <w:ind w:left="60" w:right="79" w:firstLine="324"/>
        <w:spacing w:after="0" w:line="261" w:lineRule="auto"/>
        <w:rPr>
          <w:sz w:val="20"/>
          <w:szCs w:val="20"/>
          <w:color w:val="auto"/>
        </w:rPr>
      </w:pPr>
      <w:r>
        <w:rPr>
          <w:rFonts w:ascii="Arial" w:cs="Arial" w:eastAsia="Arial" w:hAnsi="Arial"/>
          <w:sz w:val="18"/>
          <w:szCs w:val="18"/>
          <w:color w:val="auto"/>
        </w:rPr>
        <w:t>The entry into the purchase and sale agreements, and subsequent completion of acquisitions, are a result of the Company exercising its right to purchase the aforementioned properties under the ROFO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do not generally expect to enter into joint ventures with CTO, but if we do so, the terms and conditions of our joint venture investment will be subject to the approval of a majority of disinterested directors of the Board.</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65" w:lineRule="exact"/>
        <w:rPr>
          <w:sz w:val="20"/>
          <w:szCs w:val="20"/>
          <w:color w:val="auto"/>
        </w:rPr>
      </w:pPr>
    </w:p>
    <w:p>
      <w:pPr>
        <w:jc w:val="both"/>
        <w:ind w:left="60" w:right="59" w:firstLine="383"/>
        <w:spacing w:after="0" w:line="286"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16.</w:t>
        <w:tab/>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43" w:lineRule="exact"/>
        <w:rPr>
          <w:sz w:val="20"/>
          <w:szCs w:val="20"/>
          <w:color w:val="auto"/>
        </w:rPr>
      </w:pPr>
    </w:p>
    <w:p>
      <w:pPr>
        <w:jc w:val="both"/>
        <w:ind w:left="60" w:right="59" w:firstLine="324"/>
        <w:spacing w:after="0" w:line="248" w:lineRule="auto"/>
        <w:rPr>
          <w:sz w:val="20"/>
          <w:szCs w:val="20"/>
          <w:color w:val="auto"/>
        </w:rPr>
      </w:pPr>
      <w:r>
        <w:rPr>
          <w:rFonts w:ascii="Arial" w:cs="Arial" w:eastAsia="Arial" w:hAnsi="Arial"/>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COMMITMENTS – EXPENDITURES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2022, the Company had no commitments related to capital expenditures.</w:t>
      </w:r>
    </w:p>
    <w:p>
      <w:pPr>
        <w:spacing w:after="0" w:line="235"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SUBSEQUENT EVENTS</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Subsequent events and transactions were evaluated through February 9, 2023, the date the consolidated financial statements were issued. There were no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is a summary of the material terms of our securities registered under Section 12 of the Securities Exchange Act of 1934, as amended (the “Exchange Act”) and provisions of our charter and bylaws. The summary is subject to and qualified in its entirety by reference to the charter and bylaws, each of which is incorporated by reference as an exhibit to the Annual Report on Form 10-K of which this exhibit is a part. The following also summarizes certain provisions of the Maryland General Corporation Law (the “MGCL”) and is subject to and qualified in its entirety by reference to the MGCL.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our charter, we are currently authorized to designate and issue up to 500,000,000 shares of common stock, $0.01 par value per share (our “common stock”), and 100,000,000 shares of preferred stock, $0.01 par value per share (our “preferred stock”). A majority of our entire board of directors has the power, without stockholder approval, to amend our charter to increase or decrease the aggregate number of shares of stock or the number of shares of stock of any class or series that we are authorized to issue.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charter provides that we have authority to issue up to 500,000,000 shares of common stock. Under Maryland law, stockholders generally are not liable for a corporation’s debts or obligations solely as a result of their status as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Liquidation and Other Rights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Stockholders are entitled to receive distributions when authorized by our board of directors and declared by us out of assets legally available for the payment of dividends. Stockholders are also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including any shares of preferred stock we may issue, and to the provisions of our charter regarding restrictions on ownership and transfer of our stock. See “Restrictions on Ownership and Transfer.”</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common stockholders have no preference, conversion, exchange, sinking fund or redemption rights and have no preemptive rights to subscribe for any of our capital stock. Our charter provides that our stockholders generally have no appraisal rights unless our board of directors determines that appraisal rights will apply to one or more transactions in which our common stockholders would otherwise be entitled to exercise such rights. Subject to our charter restrictions on ownership and transfer of our stock, holders of shares of our common stock have equal dividend, liquidation and other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Subject to our charter restrictions on ownership and transfer of our stock and the terms of any other class or series of our stock, each outstanding share of our common stock entitles the holder thereof to one vote on all matters submitted to a vote of stockholders, including the election of directors. Cumulative voting in the election of directors is not permitted. Directors will be elected by a plurality of the votes cast at the meeting in which directors are being elected and at which a quorum is present. This means that the holders of a majority of the outstanding shares of our common stock can effectively elect all of the directors then standing for election, and the holders of the remaining shares will not be able to elect any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Power to Classify and Reclassify Unissued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authorizes our board of directors to reclassify any unissued shares of our common stock into other classes or series of stock, including classes or series of preferred stock, and to establish the designation and number of shares of each such class or series and to set, subject to the provisions of our charter regarding the restrictions on ownership and transfer of our stock, the preferences, conversion or other rights, voting powers, restrictions, limitations as to dividends or other distributions, qualifications and terms and conditions of redemption of each such class or series. Thus, our board of directors could authorize the issuance of shares of common stock or preferred stock with terms and conditions which could have the effect of delaying, deferring or preventing a transaction or a change in control that might involve a premium price for our common stock or that our common stockholders otherwise believe to be in their best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New York Stock Exchange under the trading symbol “PINE.”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of Our Charter and Bylaws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our charter and bylaws, the number of directors of our company may be established, increased or decreased only by a majority of our entire board of directors but may not be fewer than the minimum number required under the MGCL (which is one) nor, unless our bylaws are amended, more than 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to elect or remove one or more directors, a director may be removed only for cause (as defined in our charter) and only by the affirmative vote of at least two-thirds of the votes entitled to be cast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Under the MGCL, certain “business combinations” (including a merger, consolidation, statutory share exchange or, in certain circumstances specified under the statute,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w:t>
      </w:r>
    </w:p>
    <w:p>
      <w:pPr>
        <w:spacing w:after="0" w:line="157"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outstanding voting stock;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then-outstanding voting stock of the corporation.</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person is not an interested stockholder under the MGCL if the board of directors approved in advance the transaction by which the person otherwise would have become an interested stockholder. In approving a transaction, the board of directors may provide that its approval is subject to compliance, at or after the time of the approval, with any terms and conditions determined by it.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3" w:name="page94"/>
    <w:bookmarkEnd w:id="93"/>
    <w:p>
      <w:pPr>
        <w:ind w:firstLine="324"/>
        <w:spacing w:after="0" w:line="277" w:lineRule="auto"/>
        <w:rPr>
          <w:sz w:val="20"/>
          <w:szCs w:val="20"/>
          <w:color w:val="auto"/>
        </w:rPr>
      </w:pPr>
      <w:r>
        <w:rPr>
          <w:rFonts w:ascii="Arial" w:cs="Arial" w:eastAsia="Arial" w:hAnsi="Arial"/>
          <w:sz w:val="18"/>
          <w:szCs w:val="18"/>
          <w:color w:val="auto"/>
        </w:rPr>
        <w:t>After such five-year period, any such business combination must be recommended by the board of directors of the corporation and approved by the affirmative vote of at least:</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provisions of the MGCL do not apply, however, to business combinations that are approved or exempted by a corporation’s board of directors prior to the time that the interested stockholder becomes an interested stockholder. As permitted by the MGCL, our board of directors has adopted a resolution exempting any business combination between us and any other person from the provisions of this statute. Consequently, the five-year prohibition and the supermajority vote requirements will not apply to business combinations involving us. As a result, any person will be able to enter into business combinations with us that may not be in the best interests of our stockholders, without compliance with the supermajority vote requirements and other provisions of the statute. However, our board of directors may repeal or modify this resolution at any time in the future, in which case the applicable provisions of the MGCL will become applicable to business combinations between us and interested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MGCL provides that a holder of “control shares” of a Maryland corporation acquired in a “control share acquisition” has no voting rights with respect to those shares except to the extent approved by the affirmative vote of at least two-thirds of the votes entitled to be cast by stockholders entitled to exercise or direct the exercise of the voting power in the election of directors generally but excluding: (1) the person who has made or proposes to make the control share acquisition; (2) any officer of the corporation; or (3) any employee of the corporation who is also a director of the corporation. “Control shares” are voting shares of stock that,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w:t>
      </w:r>
    </w:p>
    <w:p>
      <w:pPr>
        <w:spacing w:after="0" w:line="19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Control shares do not include shares that the acquiring person is then entitled to vote as a result of having previously obtained stockholder approval. A “control share acquisition” means the acquisition, directly or indirectly, of ownership of, or the power to direct the exercise of voting power with respect to, issued and outstanding control shares, subject to certain exceptions.</w:t>
      </w:r>
    </w:p>
    <w:p>
      <w:pPr>
        <w:spacing w:after="0" w:line="16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person who has made or proposes to make a control share acquisition, upon satisfaction of certain conditions (including an undertaking to pay expenses and making an “acquiring person statement” as described in the MGCL), may compel the board of directors of the company to call a special meeting of stockholders to be held within 50 days of demand to consider the voting rights of the control shares. If no request for a special meeting is made, the corporation may itself present the question at any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4" w:name="page95"/>
    <w:bookmarkEnd w:id="94"/>
    <w:p>
      <w:pPr>
        <w:jc w:val="both"/>
        <w:ind w:firstLine="324"/>
        <w:spacing w:after="0" w:line="271" w:lineRule="auto"/>
        <w:rPr>
          <w:sz w:val="20"/>
          <w:szCs w:val="20"/>
          <w:color w:val="auto"/>
        </w:rPr>
      </w:pPr>
      <w:r>
        <w:rPr>
          <w:rFonts w:ascii="Arial" w:cs="Arial" w:eastAsia="Arial" w:hAnsi="Arial"/>
          <w:sz w:val="17"/>
          <w:szCs w:val="17"/>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if a meeting of stockholders at which the voting rights of such shares are considered and not approved is held, as of the date of such meeting.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contain a provision exempting from the control share acquisition statute any and all control share acquisitions by any person of shares of our stock. There can be no assurance that such provision will not be amended or eliminated at any time in the future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the following five provisions:</w:t>
      </w:r>
    </w:p>
    <w:p>
      <w:pPr>
        <w:spacing w:after="0" w:line="16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a vote of the remaining directors (whether or not they constitute a quorum) and for the remainder of the full term of the class of directors in which the vacancy occurred and until a successor is elected and qualifies;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effective at such time as we are able to make a Subtitle 8 election, vacancies on our board of directors may be filled only by the remaining directors (whether or not they constitute a quorum) and that a director elected by the board of directors to fill a vacancy will serve for the remainder of the full term of the directorship. We have not elected to be subject to any of the other provisions of Subtitle 8, including the provisions that would permit us to classify our board of directors without stockholder approval. Moreover, our charter provides that, without the affirmative vote of a majority of the votes cast on the matter by stockholders entitled to vote generally in the election of directors, we may not elect to be subject to any of these additional provisions of Subtitle 8. Through provisions in our charter and bylaws unrelated to Subtitle 8, we (1) vest in our board of directors the exclusive power to fix the number of directors, (2) require, unless called by our chairman, our chief executive officer, our president or our board of directors, the request of stockholders entitled to cast not less than a majority of all the votes entitled to be cast at the meeting to call a special meeting of stockholders and (3) provide that a director may be removed only for cause and by the affirmative vote of two-thirds of the votes entitled to be cast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Amendments to Our Charter and Bylaws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herein and as provided in the MGCL, amendments to our charter must be advised by our board of directors and approved by the affirmative vote of our stockholders entitled to cast a majority of all of the votes entitled to be cast on the matter. Our board of directors has the power to amend or repeal any provision of our bylaws and to adopt new bylaws. In addition, our stockholders may amend or repeal any provision of our bylaws and adopt new bylaw provisions if any such amendment, repeal or adoption is approved by the affirmative vote of a majority of the votes entitled to be cast on the matter.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Under our bylaws and pursuant to Maryland law, annual meetings of stockholders will be held each year at a date and at the time and place determined by our board of directors. Special meetings of stockholders may be called by our board of directors, the chairman of our board of directors, our president or our chief executive officer. Additionally, subject to the provisions of our bylaws, special meetings of the stockholders to act on any matter must be called by our secretary upon the written request of stockholders entitled to cast a majority of all the votes entitled to be cast on such matter at such meeting who have requested the special meeting in accordance with the procedures set forth in, and provided the information and certifications required by, our bylaws. Only matters set forth in the notice of the special meeting may be considered and acted upon at such a meeting. Our secretary will inform the requesting stockholders of the reasonably estimated cost of preparing and delivering the notice of meeting (including our proxy materials), and the requesting stockholder must pay such estimated cost before our secretary may prepare and deliver the notice of the special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Opportunities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charter provides that, to the maximum extent permitted by Maryland law, each of CTO Realty Growth, Inc., a Maryland corporation (“CTO”), its affiliates, each of their representatives, and each of our directors or officers who is also an officer, employee, agent, affiliate or designee of CTO or any of CTO’s affiliates has the right to, and has no duty not to, (x) directly or indirectly engage in the same or similar business activities or lines of business as us, including those deemed to be competing with us, or (y) directly or indirectly do business with any of our clients, customers or suppliers. In the event that CTO or any of its affiliates or employees, or any of their representatives or designees, acquires knowledge of a potential transaction or matter that may be a corporate opportunity for us, CTO, its affiliates and employees and any of their representatives or designees shall have no duty to communicate or present such corporate opportunity to us or any of our affiliates and shall not be liable to us or any of our affiliates, subsidiaries, stockholders or other equity holders for breach of any duty by reason of the fact that CTO or any of its affiliates or employees, or any of their representatives or designees, directly or indirectly, pursues or acquires such opportunity for themselves, directs such opportunity to another person, or does not present such opportunity to us or any of our affiliates; provided, however, that such corporate opportunity is not presented to such person in his or her capacity as a director or officer of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Amendments and Extraordinary Transactions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sell all or substantially all of its assets, convert into another form of entity, engage in a statutory share exchange or engage in similar transactions unless such transaction is declared advisable by the board of directors and approved by the affirmative vote of stockholders entitled to cast at least two-thirds of all of the votes entitled to be cast on the matter unless a lesser percentage (but not less than a majority of the votes entitled to be cast on the matter) is set forth in the corporation’s charter. Our charter provides for approval of these matters by the affirmative vote of stockholders entitled to cast a majority of the votes entitled to be cast on such matter, except that the affirmative vote of stockholders holding at least two-thirds of the shares entitled to vote on such matter is required to amend the provisions of our charter relating to the removal of directors or the vote required to amend the removal provisions. Maryland law also permits a corporation to transfer all or substantially all of its assets without the approval of its stockholders to an entity all of the equity interests of which are owned, directly or indirectly, by the corporation. Because our operating assets may be held by our operating partnership subsidiary or its wholly-owned subsidiaries, these subsidiaries may be able to merge or transfer all or substantially all of their assets without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Advance Notice of Director Nominations and New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bylaws provide that:</w:t>
      </w:r>
    </w:p>
    <w:p>
      <w:pPr>
        <w:spacing w:after="0" w:line="225"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an annual meeting of stockholders, nominations of individuals for election to our board of directors and the proposal of business to be considered by stockholders at the annual meeting may be made only: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our notice of the meeting;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record date set by the board of directors for the meeting, at the time of giving of the notice of the meeting and at the time of the annual meeting (and any postponement or adjustment thereof), who is entitled to vote at the meeting in the election of each individual so nominated or on such other business and who has complied with the advance notice procedures set forth in, and provided the information and certifications required by, our bylaws; and</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special meetings of stockholders, only the business specified in our company’s notice of meeting may be brought before the special meeting of stockholders, and nominations of individuals for election to our board of directors may be made only: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or at the direction of our board of directors;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provided that the special meeting has been called in accordance with our bylaws for the purpose of electing directors, by any stockholder who is a stockholder of record at the record date set by the board of directors for the special meeting, at the time of giving of the notice required by our bylaws and at the time of the meeting (and any postponement or adjustment thereof), who is entitled to vote at the meeting in the election of each individual so nominated and who has complied with the advance notice provisions set forth in, and provided the information and certifications required by, our bylaws.</w:t>
      </w:r>
    </w:p>
    <w:p>
      <w:pPr>
        <w:spacing w:after="0" w:line="1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purpose of requiring stockholders to give advance notice of nominations and other proposals is to afford our board of directors and our stockholders the opportunity to consider the qualifications of the proposed nominees or the advisability of the other proposals and, to the extent considered necessary by our board of directors, to inform stockholders and make recommendations regarding the nominations or other proposals. Although our bylaws do not give our board of directors the power to disapprove timely stockholder nominations and proposals, our bylaws may have the effect of precluding a contest for the election of directors or proposals for other action if the proper procedures are not followed, and of discouraging or deterring a third party from conducting a solicitation of proxies to elect its own slate of directors to our board of directors or to approve its own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Effect of Certain Provisions of Maryland Law and of Our Charter and Bylaws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restrictions on ownership and transfer of our stock discussed below, the supermajority vote required to remove directors, our election to be subject to the provision of Subtitle 8 vesting in our board of directors the exclusive power to fill vacancies on our board of directors, and the advance notice provisions of our bylaws could delay, defer or prevent a transaction or a change of control of our company. Likewise, if our board of directors were to elect to be subject to the business combination provisions of the MGCL or if the provision in our bylaws opting out of the control share acquisition provisions of the MGCL were amended or rescinded, these provisions of the MGCL could have similar anti-takeover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7" w:name="page98"/>
    <w:bookmarkEnd w:id="97"/>
    <w:p>
      <w:pPr>
        <w:jc w:val="both"/>
        <w:ind w:firstLine="324"/>
        <w:spacing w:after="0" w:line="287" w:lineRule="auto"/>
        <w:rPr>
          <w:sz w:val="20"/>
          <w:szCs w:val="20"/>
          <w:color w:val="auto"/>
        </w:rPr>
      </w:pPr>
      <w:r>
        <w:rPr>
          <w:rFonts w:ascii="Arial" w:cs="Arial" w:eastAsia="Arial" w:hAnsi="Arial"/>
          <w:sz w:val="16"/>
          <w:szCs w:val="16"/>
          <w:color w:val="auto"/>
        </w:rPr>
        <w:t>Further, a majority of our entire board of directors has the power to increase or decrease the aggregate number of authorized shares of stock or the number of shares of any class or series of stock that we are authorized to issue, to classify and reclassify any unissued shares of our stock into other classes or series of stock and to authorize us to issue the newly classified shares, as discussed under the captions “Description of Capital Stock—General” and “Description of Capital Stock—Description of Common Stock—Power to Classify and Reclassify Unissued Stock,” and could authorize the issuance of shares of common stock or another class or series of stock, including a class or series of preferred stock, that could have the effect of delaying, deferring or preventing a change in control of us. These actions may be taken without stockholder approval unless such approval is required by applicable law, the terms of any other class or series of our stock or the rules of any stock exchange or automated quotation system on which any of our stock is listed or traded. We believe that the power of our board of directors to increase or decrease the number of authorized shares of stock and to classify or reclassify unissued shares of our common stock or preferred stock and thereafter to cause us to issue such shares of stock will provide us with increased flexibility in structuring possible future financings and acquisitions and in meeting other needs which might arise.</w:t>
      </w:r>
    </w:p>
    <w:p>
      <w:pPr>
        <w:spacing w:after="0" w:line="1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“—Meetings of Stockholders” and “—Advance Notice of Director Nominations and New Business” require stockholders seeking to call a special meeting, nominate an individual for election as a director or propose other business at an annual or special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the MGCL, (b) any derivative action or proceeding brought on our behalf other than actions arising under the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action asserting a claim against us or any of our directors, officers or other employees that is governed by the internal affairs doctrine.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of Liability and Indemnification of Directors and Officers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8" w:name="page99"/>
    <w:bookmarkEnd w:id="98"/>
    <w:p>
      <w:pPr>
        <w:ind w:left="980" w:right="1740" w:hanging="648"/>
        <w:spacing w:after="0" w:line="482" w:lineRule="auto"/>
        <w:tabs>
          <w:tab w:leader="none" w:pos="656"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act or omission of the director or officer was material to the matter giving rise to the proceeding and: </w:t>
      </w:r>
      <w:r>
        <w:rPr>
          <w:rFonts w:ascii="Courier New" w:cs="Courier New" w:eastAsia="Courier New" w:hAnsi="Courier New"/>
          <w:sz w:val="18"/>
          <w:szCs w:val="18"/>
          <w:color w:val="auto"/>
        </w:rPr>
        <w:t xml:space="preserve">o </w:t>
      </w:r>
      <w:r>
        <w:rPr>
          <w:rFonts w:ascii="Arial" w:cs="Arial" w:eastAsia="Arial" w:hAnsi="Arial"/>
          <w:sz w:val="18"/>
          <w:szCs w:val="18"/>
          <w:color w:val="auto"/>
        </w:rPr>
        <w:t>was committed in bad faith; or</w:t>
      </w:r>
    </w:p>
    <w:p>
      <w:pPr>
        <w:ind w:left="98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was the result of active and deliberate dishonesty;</w:t>
      </w:r>
    </w:p>
    <w:p>
      <w:pPr>
        <w:spacing w:after="0" w:line="20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However, under the MGCL, a Maryland corporation may not indemnify a director or officer for an adverse judgment in a suit by or on behalf of the corporation or if the director or officer was adjudged liable on the basis that personal benefit was improperly received, unless, in either case, a court orders indemnification and then only for expenses.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MGCL permits a Maryland corporation to advance reasonable expenses to a director or officer upon the corporation’s receipt of:</w:t>
      </w:r>
    </w:p>
    <w:p>
      <w:pPr>
        <w:spacing w:after="0" w:line="170"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director or officer or on the director’s or officer’s behalf to repay the amount paid if it shall ultimately be determined that the standard of conduct has not been met.</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obligates us, to the maximum extent permitted by Maryland law in effect from time to time, to indemnify and to pay or reimburse reasonable expenses in advance of final disposition of a proceeding without requiring a preliminary determination of the director’s or officer’s ultimate entitlement to indemnification to:</w:t>
      </w:r>
    </w:p>
    <w:p>
      <w:pPr>
        <w:spacing w:after="0" w:line="184" w:lineRule="exact"/>
        <w:rPr>
          <w:sz w:val="20"/>
          <w:szCs w:val="20"/>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the proceeding by reason of his or her service in that capacity; or</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individual who, while a director or officer of our company and at our request, serves or has served as a director, officer, partner, member, manager, trustee, employee or agent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also permits us, with the approval of our board of directors, to indemnify and advance expenses to any person who served a predecessor of ours in any of the capacities described above and to any employee or agent of our company or a predecessor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that obligate us to indemnify them to the maximum extent permitted by Maryland law as discussed above under “Certain Provisions of Maryland Law and of Our Charter and Bylaws— Limitation of Liability and Indemnification of Directors and Officers.” The indemnification agreements provide that, if a director or executive officer is a party to, or witness in, or is threatened to be made a party to, or witness in, any proceeding by reason of his or her service as a director, officer, employee or agent of our company or as a director, officer, partner, member, manager, fiduciary, employee, agent or trustee of any other foreign or domestic corporation, real estate investment trust, partnership, limited liability company, joint venture, trust, employee benefit plan or other enterprise that he or she is or was serving in such capacity at our request, or the request of our external manager, we must indemnify the director or executive officer for all expenses and liabilities actually and reasonably incurred by him or her, or on his or her behalf, to the maximum extent permitted under Maryland law, including in any proceeding brought by the director or executive officer to enforce his or her rights under the indemnification agreement, to the extent provided by the agreement. The indemnification agreements also require us to advance reasonable expenses incurred by the indemnitee within ten days of the receipt by us of a statement from the indemnitee requesting the advance, provided the statement evidences the expenses and is accompanied or preceded by: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99" w:name="page100"/>
    <w:bookmarkEnd w:id="99"/>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written affirmation of the indemnitee’s good faith belief that he or she has met the standard of conduct necessary for indemnification;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written undertaking, which may be unsecured, by the indemnitee or on his or her behalf to repay the amount paid if it shall ultimately be established that the standard of conduct has not been met.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indemnification agreements also provide for procedures for the determination of entitlement to indemnification, including requiring such determination be made by independent counsel after a change of control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provides that our board of directors may revoke or otherwise terminate our election to be taxed as a real estate investment trust (“REIT”) for U.S. federal income tax purposes, without approval of our stockholders, if it determines that it is no longer in our best interest to continue to qualify as a REIT.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us to qualify and maintain our qualification as a REIT for each taxable year commencing with our taxable year ending December 31, 2020, our shares of stock must be beneficially owned by 100 or more persons during at least 335 days of a taxable year of 12 months or during a proportionate part of a shorter taxable year. Also, not more than 50% of the value of our outstanding shares of stock may be owned, directly or indirectly, by five or fewer individuals (as defined in the Internal Revenue Code of 1986, as amended (the “Code”), to include certain entities) during the last half of a taxable year commencing with our taxable year ending December 31, 2020.</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Because our board of directors believes it is at present essential for us to qualify as a REIT, our charter, subject to certain exceptions, restricts the amount of our shares of stock that a person may beneficially or constructively own. Our charter provides that, subject to certain exceptions, no person may beneficially or constructively own more than 9.8% in value or in number of shares, whichever is more restrictive, of the outstanding shares of any class or series of our capital stock.</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charter also prohibits any person from (i) beneficially owning shares of our capital stock to the extent that such beneficial ownership would result in our being “closely held” within the meaning of Section 856(h) of the Code (without regard to whether the ownership interest is held during the last half of the taxable year), (ii) transferring shares of our capital stock to the extent that such transfer would result in shares of our capital stock being beneficially owned by less than 100 persons (determined under the principles of Section 856(a)(5) of the Code), (iii) beneficially or constructively owning shares of our capital stock to the extent such beneficial or constructive ownership would cause us to constructively own 10% or more of the ownership interests in a tenant (other than a taxable REIT subsidiary (as defined in Section 856(l) of the Code)) of our real property within the meaning of Section 856(d)(2)(B) of the Code or (iv) beneficially or constructively owning or transferring shares of our capital stock if such ownership or transfer would otherwise cause us to fail to qualify as a REIT. Any person who acquires or attempts or intends to acquire beneficial or constructive ownership of shares of our capital stock that will or may violate any of the foregoing restrictions on transferability and ownership, or any person who would have owned shares of our capital stock that resulted in a transfer of shares of our capital stock to a charitable trust, is required to give written notice immediately to us, or in the case of a proposed or attempted transaction, to give at least 15 days’ prior written notice,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0" w:name="page101"/>
    <w:bookmarkEnd w:id="100"/>
    <w:p>
      <w:pPr>
        <w:jc w:val="both"/>
        <w:ind w:firstLine="324"/>
        <w:spacing w:after="0" w:line="272" w:lineRule="auto"/>
        <w:rPr>
          <w:sz w:val="20"/>
          <w:szCs w:val="20"/>
          <w:color w:val="auto"/>
        </w:rPr>
      </w:pPr>
      <w:r>
        <w:rPr>
          <w:rFonts w:ascii="Arial" w:cs="Arial" w:eastAsia="Arial" w:hAnsi="Arial"/>
          <w:sz w:val="17"/>
          <w:szCs w:val="17"/>
          <w:color w:val="auto"/>
        </w:rPr>
        <w:t>Our board of directors, in its sole discretion, may prospectively or retroactively exempt a person from the limits described above and may establish or increase an excepted holder percentage limit for such person. The person seeking an exemption must provide to our board of directors such representations, covenants and undertakings as our board of directors may deem appropriate in order to conclude that granting the exemption will not cause us to fail to qualify as a REIT. Our board of directors may not grant such an exemption to any person if such exemption would result in our failing to qualify as a REIT. Our board of directors may require a ruling from the Internal Revenue Service or an opinion of counsel, in either case in form and substance satisfactory to the board of directors, in its sole discretion, in order to determine or ensure our status as a REIT.</w:t>
      </w:r>
    </w:p>
    <w:p>
      <w:pPr>
        <w:spacing w:after="0" w:line="17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Any attempted transfer of shares of our capital stock which, if effective, would violate any of the restrictions described above will result in the number of shares causing the violation (rounded up to the nearest whole share) to be automatically transferred to a trust for the exclusive benefit of one or more charitable beneficiaries, except that any transfer that results in the violation of the restriction relating to shares of our capital stock being beneficially owned by fewer than 100 persons will be void </w:t>
      </w:r>
      <w:r>
        <w:rPr>
          <w:rFonts w:ascii="Arial" w:cs="Arial" w:eastAsia="Arial" w:hAnsi="Arial"/>
          <w:sz w:val="16"/>
          <w:szCs w:val="16"/>
          <w:i w:val="1"/>
          <w:iCs w:val="1"/>
          <w:color w:val="auto"/>
        </w:rPr>
        <w:t>ab initio</w:t>
      </w:r>
      <w:r>
        <w:rPr>
          <w:rFonts w:ascii="Arial" w:cs="Arial" w:eastAsia="Arial" w:hAnsi="Arial"/>
          <w:sz w:val="16"/>
          <w:szCs w:val="16"/>
          <w:color w:val="auto"/>
        </w:rPr>
        <w:t>.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Within 20 days of receiving notice from us that shares of our capital stock have been transferred to the trust, the trustee will sell the shares to a person designated by the trustee, whose ownership of the shares will not violate the above ownership and transfer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(ii) the price received by the trustee (net of any commission and other 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shares of our capital stock held in the trust will be deemed to have been offered for sale to us, or our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which we may reduce by the amount of dividends and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1" w:name="page102"/>
    <w:bookmarkEnd w:id="101"/>
    <w:p>
      <w:pPr>
        <w:jc w:val="both"/>
        <w:ind w:firstLine="324"/>
        <w:spacing w:after="0" w:line="263" w:lineRule="auto"/>
        <w:rPr>
          <w:sz w:val="20"/>
          <w:szCs w:val="20"/>
          <w:color w:val="auto"/>
        </w:rPr>
      </w:pPr>
      <w:r>
        <w:rPr>
          <w:rFonts w:ascii="Arial" w:cs="Arial" w:eastAsia="Arial" w:hAnsi="Arial"/>
          <w:sz w:val="18"/>
          <w:szCs w:val="18"/>
          <w:color w:val="auto"/>
        </w:rPr>
        <w:t xml:space="preserve">If a transfer to a charitable trust, as described above, would be ineffective for any reason to prevent a violation of a restriction, the transfer that would have resulted in such violation will be void </w:t>
      </w:r>
      <w:r>
        <w:rPr>
          <w:rFonts w:ascii="Arial" w:cs="Arial" w:eastAsia="Arial" w:hAnsi="Arial"/>
          <w:sz w:val="18"/>
          <w:szCs w:val="18"/>
          <w:i w:val="1"/>
          <w:iCs w:val="1"/>
          <w:color w:val="auto"/>
        </w:rPr>
        <w:t>ab initio</w:t>
      </w:r>
      <w:r>
        <w:rPr>
          <w:rFonts w:ascii="Arial" w:cs="Arial" w:eastAsia="Arial" w:hAnsi="Arial"/>
          <w:sz w:val="18"/>
          <w:szCs w:val="18"/>
          <w:color w:val="auto"/>
        </w:rPr>
        <w:t>, and the proposed transferee shall acquire no rights in such shares.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Every owner of more than 5% (or such lower percentage as required by the Code or the regulations promulgated thereunder) of shares of our capital stock, within 30 days after the end of each taxable year, is required to give us written notice, stating his or her name and address, the number of shares of each class and/or series of our stock that he or she beneficially owns and a description of the manner in which the shares are held. Each such owner must provide us with such additional information as we may request in order to determine the effect, if any, of his or her beneficial ownership on our status as a REIT and to ensure compliance with the ownership limits. In addition, each stockholder will upon demand be required to provide us with such information as we may request in order to determine our status as a REIT and to comply with the requirements of any taxing authority or governmental authority or to determine such compliance and to ensure compliance with the ownership limit.</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ownership limitations could delay, defer or prevent a transaction or a change in control that might involve a premium price for our common stock or otherwise be in the best interest of our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w w:val="91"/>
              </w:rPr>
              <w:t>Subsidiaries of the Registrant: Alpine Income Property Trust, Inc.</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8"/>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89"/>
              </w:rPr>
              <w:t>Percentage of Voting Securities</w:t>
            </w:r>
          </w:p>
        </w:tc>
      </w:tr>
      <w:tr>
        <w:trPr>
          <w:trHeight w:val="223"/>
        </w:trPr>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Organized Under Laws of</w:t>
            </w:r>
          </w:p>
        </w:tc>
        <w:tc>
          <w:tcPr>
            <w:tcW w:w="24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7"/>
              </w:rPr>
              <w:t>Owned by Immediate Parent</w:t>
            </w:r>
          </w:p>
        </w:tc>
      </w:tr>
      <w:tr>
        <w:trPr>
          <w:trHeight w:val="203"/>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Alpine Income Property GP, LLC</w:t>
            </w:r>
          </w:p>
        </w:tc>
        <w:tc>
          <w:tcPr>
            <w:tcW w:w="340" w:type="dxa"/>
            <w:vAlign w:val="bottom"/>
            <w:tcBorders>
              <w:top w:val="single" w:sz="8" w:color="auto"/>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ind w:right="259"/>
              <w:spacing w:after="0"/>
              <w:rPr>
                <w:sz w:val="20"/>
                <w:szCs w:val="20"/>
                <w:color w:val="auto"/>
              </w:rPr>
            </w:pPr>
            <w:r>
              <w:rPr>
                <w:rFonts w:ascii="Arial" w:cs="Arial" w:eastAsia="Arial" w:hAnsi="Arial"/>
                <w:sz w:val="16"/>
                <w:szCs w:val="16"/>
                <w:color w:val="auto"/>
                <w:w w:val="91"/>
              </w:rPr>
              <w:t>Delaware</w:t>
            </w:r>
          </w:p>
        </w:tc>
        <w:tc>
          <w:tcPr>
            <w:tcW w:w="1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1"/>
              </w:rPr>
              <w:t>(1)</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Alpine Income Property OP, LP</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Bluebird Metrowest Orlando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2"/>
        </w:trPr>
        <w:tc>
          <w:tcPr>
            <w:tcW w:w="5120" w:type="dxa"/>
            <w:vAlign w:val="bottom"/>
            <w:gridSpan w:val="2"/>
          </w:tcPr>
          <w:p>
            <w:pPr>
              <w:spacing w:after="0"/>
              <w:rPr>
                <w:sz w:val="20"/>
                <w:szCs w:val="20"/>
                <w:color w:val="auto"/>
              </w:rPr>
            </w:pPr>
            <w:r>
              <w:rPr>
                <w:rFonts w:ascii="Arial" w:cs="Arial" w:eastAsia="Arial" w:hAnsi="Arial"/>
                <w:sz w:val="16"/>
                <w:szCs w:val="16"/>
                <w:color w:val="auto"/>
              </w:rPr>
              <w:t>CTLC18 Lynn MA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Charlottesville VA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CTO16 Huntersville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CTO16 Raleigh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CTO16 Reno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Brandon FL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CTO17 Hillsboro OR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CTO17 Saugus MA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CTO19 Albany GA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Birmingham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CTO19 Troy WI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CTO19 Winston Salem NC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Indigo Henry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3"/>
              </w:rPr>
              <w:t>Florida</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LHC15 Glendale AZ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 MEX OH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 MEX OH 2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Alpharetta GA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Asheville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Georgetown TX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Glendale AZ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PINE19 Jacksonville FL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PINE19 Slaughter Austin TX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Alb NM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Aloma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Arden NC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Barker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Bingham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Blanding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Blanding Pad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Cecelia KY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Chazy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Chicago IL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Cut &amp; Shoot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Del Rio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Glendale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Hammond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Harrisville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Heuvelton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Highland KY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Howell MI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2"/>
        </w:trPr>
        <w:tc>
          <w:tcPr>
            <w:tcW w:w="5120" w:type="dxa"/>
            <w:vAlign w:val="bottom"/>
            <w:gridSpan w:val="2"/>
          </w:tcPr>
          <w:p>
            <w:pPr>
              <w:spacing w:after="0"/>
              <w:rPr>
                <w:sz w:val="20"/>
                <w:szCs w:val="20"/>
                <w:color w:val="auto"/>
              </w:rPr>
            </w:pPr>
            <w:r>
              <w:rPr>
                <w:rFonts w:ascii="Arial" w:cs="Arial" w:eastAsia="Arial" w:hAnsi="Arial"/>
                <w:sz w:val="16"/>
                <w:szCs w:val="16"/>
                <w:color w:val="auto"/>
              </w:rPr>
              <w:t>PINE20 Hurst TX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Kermit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Limestone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Milford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Mountain Lake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Newtonsville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Odessa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Salem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Seguin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Severn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Somerville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Sun WI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Tacoma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Tulsa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Tulsa Pad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Tyn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tcPr>
          <w:p>
            <w:pPr>
              <w:spacing w:after="0"/>
              <w:rPr>
                <w:sz w:val="20"/>
                <w:szCs w:val="20"/>
                <w:color w:val="auto"/>
              </w:rPr>
            </w:pPr>
            <w:r>
              <w:rPr>
                <w:rFonts w:ascii="Arial" w:cs="Arial" w:eastAsia="Arial" w:hAnsi="Arial"/>
                <w:sz w:val="16"/>
                <w:szCs w:val="16"/>
                <w:color w:val="auto"/>
              </w:rPr>
              <w:t>PINE20 Willis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203"/>
        </w:trPr>
        <w:tc>
          <w:tcPr>
            <w:tcW w:w="5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PINE20 Winthrop LLC</w:t>
            </w:r>
          </w:p>
        </w:tc>
        <w:tc>
          <w:tcPr>
            <w:tcW w:w="2360" w:type="dxa"/>
            <w:vAlign w:val="bottom"/>
            <w:gridSpan w:val="2"/>
            <w:shd w:val="clear" w:color="auto" w:fill="CCEEFF"/>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6"/>
                <w:szCs w:val="16"/>
                <w:color w:val="auto"/>
              </w:rPr>
              <w:t xml:space="preserve">100.0 </w:t>
            </w:r>
            <w:r>
              <w:rPr>
                <w:rFonts w:ascii="Arial" w:cs="Arial" w:eastAsia="Arial" w:hAnsi="Arial"/>
                <w:sz w:val="23"/>
                <w:szCs w:val="23"/>
                <w:color w:val="auto"/>
                <w:vertAlign w:val="superscript"/>
              </w:rPr>
              <w:t>(3)</w:t>
            </w:r>
          </w:p>
        </w:tc>
      </w:tr>
      <w:tr>
        <w:trPr>
          <w:trHeight w:val="317"/>
        </w:trPr>
        <w:tc>
          <w:tcPr>
            <w:tcW w:w="5120" w:type="dxa"/>
            <w:vAlign w:val="bottom"/>
            <w:gridSpan w:val="2"/>
          </w:tcPr>
          <w:p>
            <w:pPr>
              <w:spacing w:after="0"/>
              <w:rPr>
                <w:sz w:val="20"/>
                <w:szCs w:val="20"/>
                <w:color w:val="auto"/>
              </w:rPr>
            </w:pPr>
            <w:r>
              <w:rPr>
                <w:rFonts w:ascii="Arial" w:cs="Arial" w:eastAsia="Arial" w:hAnsi="Arial"/>
                <w:sz w:val="16"/>
                <w:szCs w:val="16"/>
                <w:color w:val="auto"/>
              </w:rPr>
              <w:t>PINE21 Acquisitions 11 LLC</w:t>
            </w:r>
          </w:p>
        </w:tc>
        <w:tc>
          <w:tcPr>
            <w:tcW w:w="2360" w:type="dxa"/>
            <w:vAlign w:val="bottom"/>
            <w:gridSpan w:val="2"/>
          </w:tcPr>
          <w:p>
            <w:pPr>
              <w:jc w:val="center"/>
              <w:ind w:right="500"/>
              <w:spacing w:after="0"/>
              <w:rPr>
                <w:sz w:val="20"/>
                <w:szCs w:val="20"/>
                <w:color w:val="auto"/>
              </w:rPr>
            </w:pPr>
            <w:r>
              <w:rPr>
                <w:rFonts w:ascii="Arial" w:cs="Arial" w:eastAsia="Arial" w:hAnsi="Arial"/>
                <w:sz w:val="16"/>
                <w:szCs w:val="16"/>
                <w:color w:val="auto"/>
                <w:w w:val="91"/>
              </w:rPr>
              <w:t>Delaware</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24"/>
                <w:szCs w:val="24"/>
                <w:color w:val="auto"/>
                <w:vertAlign w:val="superscript"/>
              </w:rPr>
              <w:t>(3)</w:t>
            </w:r>
          </w:p>
        </w:tc>
      </w:tr>
      <w:tr>
        <w:trPr>
          <w:trHeight w:val="446"/>
        </w:trPr>
        <w:tc>
          <w:tcPr>
            <w:tcW w:w="4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12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w w:val="93"/>
              </w:rPr>
              <w:t xml:space="preserve">100.0 </w:t>
            </w:r>
            <w:r>
              <w:rPr>
                <w:rFonts w:ascii="Arial" w:cs="Arial" w:eastAsia="Arial" w:hAnsi="Arial"/>
                <w:sz w:val="24"/>
                <w:szCs w:val="24"/>
                <w:color w:val="auto"/>
                <w:w w:val="93"/>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13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14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II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III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IV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IX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V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VI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VII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Acquisitions VIII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Acquisitions X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Houston East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PINE21 Houston West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PINE21 Sports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line="202" w:lineRule="exact"/>
              <w:rPr>
                <w:sz w:val="20"/>
                <w:szCs w:val="20"/>
                <w:color w:val="auto"/>
              </w:rPr>
            </w:pPr>
            <w:r>
              <w:rPr>
                <w:rFonts w:ascii="Arial" w:cs="Arial" w:eastAsia="Arial" w:hAnsi="Arial"/>
                <w:sz w:val="16"/>
                <w:szCs w:val="16"/>
                <w:color w:val="auto"/>
                <w:w w:val="94"/>
              </w:rPr>
              <w:t xml:space="preserve">100.0 </w:t>
            </w:r>
            <w:r>
              <w:rPr>
                <w:rFonts w:ascii="Arial" w:cs="Arial" w:eastAsia="Arial" w:hAnsi="Arial"/>
                <w:sz w:val="23"/>
                <w:szCs w:val="23"/>
                <w:color w:val="auto"/>
                <w:w w:val="94"/>
                <w:vertAlign w:val="superscript"/>
              </w:rPr>
              <w:t>(3)</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PINE22 ACQ 1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PINE22 ACQ 2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PINE22 ACQ 3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PINE22 Caesar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PINE22 Lafayette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PINE22 Malden MO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PINE22 Maple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PINE22 Wash MO LLC</w:t>
            </w:r>
          </w:p>
        </w:tc>
        <w:tc>
          <w:tcPr>
            <w:tcW w:w="5340" w:type="dxa"/>
            <w:vAlign w:val="bottom"/>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tcPr>
          <w:p>
            <w:pPr>
              <w:ind w:left="1480"/>
              <w:spacing w:after="0"/>
              <w:rPr>
                <w:sz w:val="20"/>
                <w:szCs w:val="20"/>
                <w:color w:val="auto"/>
              </w:rPr>
            </w:pPr>
            <w:r>
              <w:rPr>
                <w:rFonts w:ascii="Arial" w:cs="Arial" w:eastAsia="Arial" w:hAnsi="Arial"/>
                <w:sz w:val="16"/>
                <w:szCs w:val="16"/>
                <w:color w:val="auto"/>
              </w:rPr>
              <w:t>100.0</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9603 Westheimer Road, LLC</w:t>
            </w:r>
          </w:p>
        </w:tc>
        <w:tc>
          <w:tcPr>
            <w:tcW w:w="5340" w:type="dxa"/>
            <w:vAlign w:val="bottom"/>
            <w:shd w:val="clear" w:color="auto" w:fill="CCEEFF"/>
          </w:tcPr>
          <w:p>
            <w:pPr>
              <w:ind w:left="3260"/>
              <w:spacing w:after="0"/>
              <w:rPr>
                <w:sz w:val="20"/>
                <w:szCs w:val="20"/>
                <w:color w:val="auto"/>
              </w:rPr>
            </w:pPr>
            <w:r>
              <w:rPr>
                <w:rFonts w:ascii="Arial" w:cs="Arial" w:eastAsia="Arial" w:hAnsi="Arial"/>
                <w:sz w:val="16"/>
                <w:szCs w:val="16"/>
                <w:color w:val="auto"/>
              </w:rPr>
              <w:t>Delaware</w:t>
            </w:r>
          </w:p>
        </w:tc>
        <w:tc>
          <w:tcPr>
            <w:tcW w:w="2100" w:type="dxa"/>
            <w:vAlign w:val="bottom"/>
            <w:shd w:val="clear" w:color="auto" w:fill="CCEEFF"/>
          </w:tcPr>
          <w:p>
            <w:pPr>
              <w:ind w:left="1480"/>
              <w:spacing w:after="0"/>
              <w:rPr>
                <w:sz w:val="20"/>
                <w:szCs w:val="20"/>
                <w:color w:val="auto"/>
              </w:rPr>
            </w:pPr>
            <w:r>
              <w:rPr>
                <w:rFonts w:ascii="Arial" w:cs="Arial" w:eastAsia="Arial" w:hAnsi="Arial"/>
                <w:sz w:val="16"/>
                <w:szCs w:val="16"/>
                <w:color w:val="auto"/>
              </w:rPr>
              <w:t>100.0</w:t>
            </w:r>
          </w:p>
        </w:tc>
      </w:tr>
      <w:tr>
        <w:trPr>
          <w:trHeight w:val="108"/>
        </w:trPr>
        <w:tc>
          <w:tcPr>
            <w:tcW w:w="248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2100" w:type="dxa"/>
            <w:vAlign w:val="bottom"/>
          </w:tcPr>
          <w:p>
            <w:pPr>
              <w:spacing w:after="0"/>
              <w:rPr>
                <w:sz w:val="9"/>
                <w:szCs w:val="9"/>
                <w:color w:val="auto"/>
              </w:rPr>
            </w:pPr>
          </w:p>
        </w:tc>
      </w:tr>
    </w:tbl>
    <w:p>
      <w:pPr>
        <w:spacing w:after="0" w:line="80" w:lineRule="exact"/>
        <w:rPr>
          <w:sz w:val="20"/>
          <w:szCs w:val="20"/>
          <w:color w:val="auto"/>
        </w:rPr>
      </w:pPr>
    </w:p>
    <w:p>
      <w:pPr>
        <w:ind w:right="20" w:firstLine="8"/>
        <w:spacing w:after="0" w:line="207" w:lineRule="auto"/>
        <w:tabs>
          <w:tab w:leader="none" w:pos="414"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Alpine Income Property Trust, Inc. (the “Company”) is the sole member of Alpine Income Property GP, LLC (the “General Partner”).</w:t>
      </w:r>
    </w:p>
    <w:p>
      <w:pPr>
        <w:jc w:val="both"/>
        <w:ind w:firstLine="8"/>
        <w:spacing w:after="0" w:line="222" w:lineRule="auto"/>
        <w:tabs>
          <w:tab w:leader="none" w:pos="292" w:val="left"/>
        </w:tabs>
        <w:numPr>
          <w:ilvl w:val="0"/>
          <w:numId w:val="50"/>
        </w:numPr>
        <w:rPr>
          <w:rFonts w:ascii="Arial" w:cs="Arial" w:eastAsia="Arial" w:hAnsi="Arial"/>
          <w:sz w:val="27"/>
          <w:szCs w:val="27"/>
          <w:color w:val="auto"/>
          <w:vertAlign w:val="superscript"/>
        </w:rPr>
      </w:pPr>
      <w:r>
        <w:rPr>
          <w:rFonts w:ascii="Arial" w:cs="Arial" w:eastAsia="Arial" w:hAnsi="Arial"/>
          <w:sz w:val="18"/>
          <w:szCs w:val="18"/>
          <w:color w:val="auto"/>
        </w:rPr>
        <w:t>The General Partner is the sole general partner of Alpine Income Property OP, LP (the “Operating Partnership”). The Company owns an approximate 88.7% ownership interest in the Operating Partnership, with CTO Realty Growth, Inc. holding, directly and indirectly, an approximate 8.1% ownership interest in the Operating Partnership. The remaining 3.2% ownership interest in the Operating Partnership is held by an unrelated third party.</w:t>
      </w:r>
    </w:p>
    <w:p>
      <w:pPr>
        <w:spacing w:after="0" w:line="2" w:lineRule="exact"/>
        <w:rPr>
          <w:rFonts w:ascii="Arial" w:cs="Arial" w:eastAsia="Arial" w:hAnsi="Arial"/>
          <w:sz w:val="27"/>
          <w:szCs w:val="27"/>
          <w:color w:val="auto"/>
          <w:vertAlign w:val="superscript"/>
        </w:rPr>
      </w:pPr>
    </w:p>
    <w:p>
      <w:pPr>
        <w:ind w:left="300" w:hanging="292"/>
        <w:spacing w:after="0" w:line="180" w:lineRule="auto"/>
        <w:tabs>
          <w:tab w:leader="none" w:pos="300" w:val="left"/>
        </w:tabs>
        <w:numPr>
          <w:ilvl w:val="0"/>
          <w:numId w:val="50"/>
        </w:numPr>
        <w:rPr>
          <w:rFonts w:ascii="Arial" w:cs="Arial" w:eastAsia="Arial" w:hAnsi="Arial"/>
          <w:sz w:val="25"/>
          <w:szCs w:val="25"/>
          <w:color w:val="auto"/>
          <w:vertAlign w:val="superscript"/>
        </w:rPr>
      </w:pPr>
      <w:r>
        <w:rPr>
          <w:rFonts w:ascii="Arial" w:cs="Arial" w:eastAsia="Arial" w:hAnsi="Arial"/>
          <w:sz w:val="17"/>
          <w:szCs w:val="17"/>
          <w:color w:val="auto"/>
        </w:rPr>
        <w:t>The Operating Partnership is the sole member.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subsidiaries are included in the Consolidated and Combined Financial Statements of the Company and its subsidiaries appearing elsewhere in the Company’s Annual Report on Form 10-K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issued our report dated February 9, 2023, with respect to the consolidated financial statements included in the Annual Report of Alpine Income Property Trust, Inc. on Form 10-K for the year ended December 31, 2022. We consent to the incorporation by reference of said report in the Registration Statements of Alpine Income Property Trust, Inc. on Form S-3 (File No. 333-251057) and Form S-8 (File No. 333-235256).</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Orlando,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John P. Albright,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20" w:val="left"/>
          <w:tab w:leader="none" w:pos="652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Matthew M. Partridge, certify that:</w:t>
      </w:r>
    </w:p>
    <w:p>
      <w:pPr>
        <w:spacing w:after="0" w:line="22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Alpine Income Property Trust, Inc.;</w:t>
      </w:r>
    </w:p>
    <w:p>
      <w:pPr>
        <w:spacing w:after="0" w:line="225" w:lineRule="exact"/>
        <w:rPr>
          <w:rFonts w:ascii="Arial" w:cs="Arial" w:eastAsia="Arial" w:hAnsi="Arial"/>
          <w:sz w:val="18"/>
          <w:szCs w:val="18"/>
          <w:color w:val="auto"/>
        </w:rPr>
      </w:pPr>
    </w:p>
    <w:p>
      <w:pPr>
        <w:ind w:left="340" w:right="2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7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60" w:hanging="328"/>
        <w:spacing w:after="0" w:line="286" w:lineRule="auto"/>
        <w:tabs>
          <w:tab w:leader="none" w:pos="68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260" w:hanging="328"/>
        <w:spacing w:after="0" w:line="263"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00" w:hanging="328"/>
        <w:spacing w:after="0" w:line="311" w:lineRule="auto"/>
        <w:tabs>
          <w:tab w:leader="none" w:pos="68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4800" w:val="left"/>
          <w:tab w:leader="none" w:pos="624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14605</wp:posOffset>
            </wp:positionV>
            <wp:extent cx="30600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Matthew M. Partridge</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Treasurer</w:t>
      </w:r>
    </w:p>
    <w:p>
      <w:pPr>
        <w:spacing w:after="0" w:line="9"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February 9, 2023</w:t>
      </w:r>
      <w:r>
        <w:rPr>
          <w:sz w:val="20"/>
          <w:szCs w:val="20"/>
          <w:color w:val="auto"/>
        </w:rPr>
        <w:tab/>
      </w:r>
      <w:r>
        <w:rPr>
          <w:rFonts w:ascii="Arial" w:cs="Arial" w:eastAsia="Arial" w:hAnsi="Arial"/>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077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Annual Report of Alpine Income Property Trust, Inc. (the “Company”) on Form 10-K for the period ending December 31,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right="40" w:hanging="328"/>
        <w:spacing w:after="0" w:line="277" w:lineRule="auto"/>
        <w:tabs>
          <w:tab w:leader="none" w:pos="6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February 9, 2023</w:t>
      </w:r>
      <w:r>
        <w:rPr>
          <w:sz w:val="20"/>
          <w:szCs w:val="20"/>
          <w:color w:val="auto"/>
        </w:rPr>
        <w:tab/>
      </w:r>
      <w:r>
        <w:rPr>
          <w:rFonts w:ascii="Arial" w:cs="Arial" w:eastAsia="Arial" w:hAnsi="Arial"/>
          <w:sz w:val="17"/>
          <w:szCs w:val="17"/>
          <w:color w:val="auto"/>
        </w:rPr>
        <w:t>/S/  MATTHEW M. PARTRIDGE</w:t>
      </w:r>
    </w:p>
    <w:p>
      <w:pPr>
        <w:spacing w:after="0" w:line="32"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Senior Vice President, Chief Financial Officer and Treasurer</w:t>
      </w:r>
    </w:p>
    <w:p>
      <w:pPr>
        <w:spacing w:after="0" w:line="21" w:lineRule="exact"/>
        <w:rPr>
          <w:sz w:val="20"/>
          <w:szCs w:val="20"/>
          <w:color w:val="auto"/>
        </w:rPr>
      </w:pP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Roman"/>
      <w:start w:val="2"/>
    </w:lvl>
  </w:abstractNum>
  <w:abstractNum w:abstractNumId="6">
    <w:nsid w:val="1E7FF521"/>
    <w:multiLevelType w:val="hybridMultilevel"/>
    <w:lvl w:ilvl="0">
      <w:lvlJc w:val="left"/>
      <w:lvlText w:val="(%1)"/>
      <w:numFmt w:val="lowerRoman"/>
      <w:start w:val="2"/>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6"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73" Type="http://schemas.openxmlformats.org/officeDocument/2006/relationships/hyperlink" Target="https://www.sec.gov/Archives/edgar/data/1786117/000155837019011294/ex-3d1.htm" TargetMode="External"/><Relationship Id="rId74" Type="http://schemas.openxmlformats.org/officeDocument/2006/relationships/hyperlink" Target="https://www.sec.gov/Archives/edgar/data/1786117/000155837023000881/pine-20230201xex3d1.htm" TargetMode="External"/><Relationship Id="rId75" Type="http://schemas.openxmlformats.org/officeDocument/2006/relationships/hyperlink" Target="https://www.sec.gov/Archives/edgar/data/1786117/000119312519277917/d793798dex41.htm" TargetMode="External"/><Relationship Id="rId76" Type="http://schemas.openxmlformats.org/officeDocument/2006/relationships/hyperlink" Target="https://www.sec.gov/Archives/edgar/data/1786117/000155837019011294/ex-10d1.htm" TargetMode="External"/><Relationship Id="rId77" Type="http://schemas.openxmlformats.org/officeDocument/2006/relationships/hyperlink" Target="https://www.sec.gov/Archives/edgar/data/1786117/000155837019011294/ex-10d2.htm" TargetMode="External"/><Relationship Id="rId78" Type="http://schemas.openxmlformats.org/officeDocument/2006/relationships/hyperlink" Target="https://www.sec.gov/Archives/edgar/data/1786117/000155837019011294/ex-10d3.htm" TargetMode="External"/><Relationship Id="rId79" Type="http://schemas.openxmlformats.org/officeDocument/2006/relationships/hyperlink" Target="https://www.sec.gov/Archives/edgar/data/1786117/000155837019011294/ex-10d4.htm" TargetMode="External"/><Relationship Id="rId80" Type="http://schemas.openxmlformats.org/officeDocument/2006/relationships/hyperlink" Target="https://www.sec.gov/Archives/edgar/data/1786117/000155837019011294/ex-10d5.htm" TargetMode="External"/><Relationship Id="rId81" Type="http://schemas.openxmlformats.org/officeDocument/2006/relationships/hyperlink" Target="https://www.sec.gov/Archives/edgar/data/1786117/000155837019011294/ex-10d6.htm" TargetMode="External"/><Relationship Id="rId82" Type="http://schemas.openxmlformats.org/officeDocument/2006/relationships/hyperlink" Target="https://www.sec.gov/Archives/edgar/data/1786117/000155837019011294/ex-10d8.htm" TargetMode="External"/><Relationship Id="rId83" Type="http://schemas.openxmlformats.org/officeDocument/2006/relationships/hyperlink" Target="https://www.sec.gov/Archives/edgar/data/1786117/000155837019011294/ex-10d10.htm" TargetMode="External"/><Relationship Id="rId84" Type="http://schemas.openxmlformats.org/officeDocument/2006/relationships/hyperlink" Target="https://www.sec.gov/Archives/edgar/data/1786117/000155837019011294/ex-10d11.htm" TargetMode="External"/><Relationship Id="rId85" Type="http://schemas.openxmlformats.org/officeDocument/2006/relationships/hyperlink" Target="https://www.sec.gov/Archives/edgar/data/1786117/000155837019011294/ex-10d12.htm" TargetMode="External"/><Relationship Id="rId87" Type="http://schemas.openxmlformats.org/officeDocument/2006/relationships/hyperlink" Target="https://www.sec.gov/Archives/edgar/data/1786117/000155837019011294/ex-10d13.htm" TargetMode="External"/><Relationship Id="rId88" Type="http://schemas.openxmlformats.org/officeDocument/2006/relationships/hyperlink" Target="https://www.sec.gov/Archives/edgar/data/1786117/000155837019011294/ex-10d14.htm" TargetMode="External"/><Relationship Id="rId89" Type="http://schemas.openxmlformats.org/officeDocument/2006/relationships/hyperlink" Target="https://www.sec.gov/Archives/edgar/data/1786117/000155837019011294/ex-10d15.htm" TargetMode="External"/><Relationship Id="rId90" Type="http://schemas.openxmlformats.org/officeDocument/2006/relationships/hyperlink" Target="https://www.sec.gov/Archives/edgar/data/1786117/000155837021000918/tmb-20210210xex10d1.htm" TargetMode="External"/><Relationship Id="rId91" Type="http://schemas.openxmlformats.org/officeDocument/2006/relationships/hyperlink" Target="https://www.sec.gov/Archives/edgar/data/1786117/000119312519300042/d839902dex101.htm" TargetMode="External"/><Relationship Id="rId92" Type="http://schemas.openxmlformats.org/officeDocument/2006/relationships/hyperlink" Target="https://www.sec.gov/Archives/edgar/data/1786117/000155837019011294/ex-10d17.htm" TargetMode="External"/><Relationship Id="rId93" Type="http://schemas.openxmlformats.org/officeDocument/2006/relationships/hyperlink" Target="https://www.sec.gov/Archives/edgar/data/1786117/000119312519287435/d793798dex1011.htm" TargetMode="External"/><Relationship Id="rId94" Type="http://schemas.openxmlformats.org/officeDocument/2006/relationships/hyperlink" Target="https://www.sec.gov/Archives/edgar/data/1786117/000155837021007720/tmb-20210519xex10d2.htm" TargetMode="External"/><Relationship Id="rId95" Type="http://schemas.openxmlformats.org/officeDocument/2006/relationships/hyperlink" Target="https://www.sec.gov/Archives/edgar/data/1786117/000155837022005749/pine-20220331xex10d1.htm" TargetMode="External"/><Relationship Id="rId96" Type="http://schemas.openxmlformats.org/officeDocument/2006/relationships/hyperlink" Target="https://www.sec.gov/Archives/edgar/data/1786117/000155837022005749/pine-20220331xex10d2.htm" TargetMode="External"/><Relationship Id="rId97" Type="http://schemas.openxmlformats.org/officeDocument/2006/relationships/hyperlink" Target="https://www.sec.gov/Archives/edgar/data/1786117/000155837022005749/pine-20220331xex10d3.htm" TargetMode="External"/><Relationship Id="rId98" Type="http://schemas.openxmlformats.org/officeDocument/2006/relationships/hyperlink" Target="https://www.sec.gov/Archives/edgar/data/1786117/000155837022005535/pine-20220414xex10d2.htm" TargetMode="External"/><Relationship Id="rId99" Type="http://schemas.openxmlformats.org/officeDocument/2006/relationships/hyperlink" Target="https://www.sec.gov/Archives/edgar/data/1786117/000155837022014891/pine-20220930xex10d1.htm" TargetMode="External"/><Relationship Id="rId100" Type="http://schemas.openxmlformats.org/officeDocument/2006/relationships/hyperlink" Target="https://www.sec.gov/Archives/edgar/data/1786117/000155837022015143/pine-202209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2023-02-09T15:47:57Z</dcterms:created>
  <dcterms:modified xsi:type="dcterms:W3CDTF">2023-02-09T15:47:57Z</dcterms:modified>
</cp:coreProperties>
</file>