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ine-20240331x10q.htm"/>
        <w:bookmarkStart w:id="1" w:name="kspine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072e3047_c04e_4242_b0b3_c6982e26852a"/>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2024</w:t>
      </w:r>
    </w:p>
    <w:p>
      <w:pPr>
        <w:pStyle w:val="TextBody"/>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18"/>
        </w:rPr>
        <w:t xml:space="preserve">Commission file number </w:t>
      </w:r>
      <w:r>
        <w:rPr>
          <w:rFonts w:ascii="Times New Roman;Times;serif" w:hAnsi="Times New Roman;Times;serif"/>
          <w:b/>
          <w:sz w:val="20"/>
        </w:rPr>
        <w:t>001-39143</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ALPINE INCOME PROPERTY TRUST, INC.</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G-ipUanZSkuiv9X-kftcBQ_7_2"/>
      <w:bookmarkStart w:id="4" w:name="Tc_O6zj3Nhn4UOigE_X0-Bz1A_7_0"/>
      <w:bookmarkStart w:id="5" w:name="Tc_MROY_Bq8fUmKcKoe6V7aEg_6_0"/>
      <w:bookmarkStart w:id="6" w:name="Tc_nsl2ggG4E0iIIMnJLsBYAw_5_0"/>
      <w:bookmarkStart w:id="7" w:name="Tc_MKrrIfRcuUylLL8xjJzWSA_3_2"/>
      <w:bookmarkStart w:id="8" w:name="Tc__mEvv0rWMkeZrXnl7YXGOA_3_0"/>
      <w:bookmarkStart w:id="9" w:name="Tc_c5d3-Sth-E-ogkToKbPa3A_2_2"/>
      <w:bookmarkStart w:id="10" w:name="Tc_LcaJQo6mLUGzYY25h0O9wg_2_0"/>
      <w:bookmarkStart w:id="11" w:name="_93973e68_4ee2_4c58_8185_07d6b4cd2256"/>
      <w:bookmarkStart w:id="12" w:name="Tc_G-ipUanZSkuiv9X-kftcBQ_7_2"/>
      <w:bookmarkStart w:id="13" w:name="Tc_O6zj3Nhn4UOigE_X0-Bz1A_7_0"/>
      <w:bookmarkStart w:id="14" w:name="Tc_MROY_Bq8fUmKcKoe6V7aEg_6_0"/>
      <w:bookmarkStart w:id="15" w:name="Tc_nsl2ggG4E0iIIMnJLsBYAw_5_0"/>
      <w:bookmarkStart w:id="16" w:name="Tc_MKrrIfRcuUylLL8xjJzWSA_3_2"/>
      <w:bookmarkStart w:id="17" w:name="Tc__mEvv0rWMkeZrXnl7YXGOA_3_0"/>
      <w:bookmarkStart w:id="18" w:name="Tc_c5d3-Sth-E-ogkToKbPa3A_2_2"/>
      <w:bookmarkStart w:id="19" w:name="Tc_LcaJQo6mLUGzYY25h0O9wg_2_0"/>
      <w:bookmarkStart w:id="20" w:name="_93973e68_4ee2_4c58_8185_07d6b4cd2256"/>
      <w:bookmarkEnd w:id="12"/>
      <w:bookmarkEnd w:id="13"/>
      <w:bookmarkEnd w:id="14"/>
      <w:bookmarkEnd w:id="15"/>
      <w:bookmarkEnd w:id="16"/>
      <w:bookmarkEnd w:id="17"/>
      <w:bookmarkEnd w:id="18"/>
      <w:bookmarkEnd w:id="19"/>
      <w:bookmarkEnd w:id="20"/>
    </w:p>
    <w:tbl>
      <w:tblPr>
        <w:tblW w:w="4963" w:type="dxa"/>
        <w:jc w:val="left"/>
        <w:tblInd w:w="0" w:type="dxa"/>
        <w:tblLayout w:type="fixed"/>
        <w:tblCellMar>
          <w:top w:w="0" w:type="dxa"/>
          <w:left w:w="0" w:type="dxa"/>
          <w:bottom w:w="0" w:type="dxa"/>
          <w:right w:w="0" w:type="dxa"/>
        </w:tblCellMar>
      </w:tblPr>
      <w:tblGrid>
        <w:gridCol w:w="3076"/>
        <w:gridCol w:w="326"/>
        <w:gridCol w:w="1561"/>
      </w:tblGrid>
      <w:tr>
        <w:trPr/>
        <w:tc>
          <w:tcPr>
            <w:tcW w:w="307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left"/>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84-2769895</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369 N. New York Avenue, Suite 201</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(386) 274-2202</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 w:name="Tc_vffgtWW7c0KxwipdLiM-8w_2_4"/>
      <w:bookmarkStart w:id="22" w:name="Tc_G3kYujxvRUGQnODLcdRixg_2_2"/>
      <w:bookmarkStart w:id="23" w:name="Tc_IgIzk-2reUSh-slK9Ta9ew_2_0"/>
      <w:bookmarkStart w:id="24" w:name="_1536ceb9_0241_471b_a216_3fa5ec93ef25"/>
      <w:bookmarkStart w:id="25" w:name="Tc_vffgtWW7c0KxwipdLiM-8w_2_4"/>
      <w:bookmarkStart w:id="26" w:name="Tc_G3kYujxvRUGQnODLcdRixg_2_2"/>
      <w:bookmarkStart w:id="27" w:name="Tc_IgIzk-2reUSh-slK9Ta9ew_2_0"/>
      <w:bookmarkStart w:id="28" w:name="_1536ceb9_0241_471b_a216_3fa5ec93ef25"/>
      <w:bookmarkEnd w:id="25"/>
      <w:bookmarkEnd w:id="26"/>
      <w:bookmarkEnd w:id="27"/>
      <w:bookmarkEnd w:id="28"/>
    </w:p>
    <w:tbl>
      <w:tblPr>
        <w:tblW w:w="8620" w:type="dxa"/>
        <w:jc w:val="left"/>
        <w:tblInd w:w="0" w:type="dxa"/>
        <w:tblLayout w:type="fixed"/>
        <w:tblCellMar>
          <w:top w:w="0" w:type="dxa"/>
          <w:left w:w="0" w:type="dxa"/>
          <w:bottom w:w="0" w:type="dxa"/>
          <w:right w:w="0" w:type="dxa"/>
        </w:tblCellMar>
      </w:tblPr>
      <w:tblGrid>
        <w:gridCol w:w="3061"/>
        <w:gridCol w:w="326"/>
        <w:gridCol w:w="1366"/>
        <w:gridCol w:w="326"/>
        <w:gridCol w:w="3541"/>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0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$0.01 PAR VALUE</w:t>
            </w:r>
          </w:p>
        </w:tc>
        <w:tc>
          <w:tcPr>
            <w:tcW w:w="326" w:type="dxa"/>
            <w:tcBorders/>
            <w:vAlign w:val="center"/>
          </w:tcPr>
          <w:p>
            <w:pPr>
              <w:pStyle w:val="TableContents"/>
              <w:bidi w:val="0"/>
              <w:spacing w:before="0" w:after="240"/>
              <w:ind w:left="0" w:right="0" w:hanging="0"/>
              <w:jc w:val="left"/>
              <w:rPr/>
            </w:pPr>
            <w:r>
              <w:rPr/>
              <w:t>​</w:t>
            </w:r>
          </w:p>
        </w:tc>
        <w:tc>
          <w:tcPr>
            <w:tcW w:w="13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w:t>
            </w:r>
          </w:p>
        </w:tc>
        <w:tc>
          <w:tcPr>
            <w:tcW w:w="326" w:type="dxa"/>
            <w:tcBorders/>
            <w:vAlign w:val="center"/>
          </w:tcPr>
          <w:p>
            <w:pPr>
              <w:pStyle w:val="TableContents"/>
              <w:bidi w:val="0"/>
              <w:spacing w:before="0" w:after="240"/>
              <w:ind w:left="0" w:right="0" w:hanging="0"/>
              <w:jc w:val="left"/>
              <w:rPr/>
            </w:pPr>
            <w:r>
              <w:rPr/>
              <w:t>​</w:t>
            </w:r>
          </w:p>
        </w:tc>
        <w:tc>
          <w:tcPr>
            <w:tcW w:w="35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before="0" w:after="0"/>
        <w:ind w:left="0" w:right="0" w:hanging="0"/>
        <w:jc w:val="left"/>
        <w:rPr/>
      </w:pPr>
      <w:r>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 w:name="Tc_Eiljzm6vX0iVJxIm8ApwxQ_6_3"/>
      <w:bookmarkStart w:id="30" w:name="Tc_4hPSe9gRXkSuQC16cDFnyA_4_3"/>
      <w:bookmarkStart w:id="31" w:name="Tc_EKgDXGOO_ES6s3ZDSbXXMg_4_1"/>
      <w:bookmarkStart w:id="32" w:name="Tc_7qDFby3X7kG-WiG7cg_A7Q_2_4"/>
      <w:bookmarkStart w:id="33" w:name="Tc_o3f-H9QmakSv_5sOwgJoHQ_2_3"/>
      <w:bookmarkStart w:id="34" w:name="Tc_pJzu7AMArUS9-D1hsaEIFQ_2_1"/>
      <w:bookmarkStart w:id="35" w:name="Tc_s4e5SndfFUeQcUqLE-7ozg_2_0"/>
      <w:bookmarkStart w:id="36" w:name="_69ae665a_488f_4825_83e1_822e2ddc4339"/>
      <w:bookmarkStart w:id="37" w:name="Tc_Eiljzm6vX0iVJxIm8ApwxQ_6_3"/>
      <w:bookmarkStart w:id="38" w:name="Tc_4hPSe9gRXkSuQC16cDFnyA_4_3"/>
      <w:bookmarkStart w:id="39" w:name="Tc_EKgDXGOO_ES6s3ZDSbXXMg_4_1"/>
      <w:bookmarkStart w:id="40" w:name="Tc_7qDFby3X7kG-WiG7cg_A7Q_2_4"/>
      <w:bookmarkStart w:id="41" w:name="Tc_o3f-H9QmakSv_5sOwgJoHQ_2_3"/>
      <w:bookmarkStart w:id="42" w:name="Tc_pJzu7AMArUS9-D1hsaEIFQ_2_1"/>
      <w:bookmarkStart w:id="43" w:name="Tc_s4e5SndfFUeQcUqLE-7ozg_2_0"/>
      <w:bookmarkStart w:id="44" w:name="_69ae665a_488f_4825_83e1_822e2ddc4339"/>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6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left"/>
        <w:rPr>
          <w:rFonts w:ascii="Times New Roman;Times;serif" w:hAnsi="Times New Roman;Times;serif"/>
          <w:sz w:val="18"/>
        </w:rPr>
      </w:pPr>
      <w:r>
        <w:rPr>
          <w:rFonts w:ascii="Times New Roman;Times;serif" w:hAnsi="Times New Roman;Times;serif"/>
          <w:sz w:val="18"/>
        </w:rPr>
        <w:t>The number of shares of the registrant’s common stock outstanding on April 11, 2024 was 13,623,239.</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a173816c_4b09_46b4_97e5_92f66c9582df"/>
      <w:bookmarkEnd w:id="45"/>
      <w:bookmarkEnd w:id="46"/>
      <w:r>
        <w:rPr>
          <w:rFonts w:ascii="Times New Roman;Times;serif" w:hAnsi="Times New Roman;Times;serif"/>
          <w:sz w:val="20"/>
        </w:rPr>
        <w:t>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08"/>
        <w:gridCol w:w="326"/>
        <w:gridCol w:w="571"/>
      </w:tblGrid>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308" w:type="dxa"/>
            <w:tcBorders/>
            <w:vAlign w:val="center"/>
          </w:tcPr>
          <w:p>
            <w:pPr>
              <w:pStyle w:val="TableContents"/>
              <w:bidi w:val="0"/>
              <w:spacing w:before="0" w:after="0"/>
              <w:ind w:left="0" w:right="0" w:hanging="0"/>
              <w:jc w:val="left"/>
              <w:rPr/>
            </w:pPr>
            <w:hyperlink w:anchor="PARTIFINANCIALINFORMATION">
              <w:r>
                <w:rPr>
                  <w:rStyle w:val="InternetLink"/>
                  <w:rFonts w:ascii="Times New Roman;Times;serif" w:hAnsi="Times New Roman;Times;serif"/>
                  <w:b w:val="false"/>
                  <w:i w:val="false"/>
                  <w:caps w:val="false"/>
                  <w:smallCaps w:val="false"/>
                  <w:sz w:val="20"/>
                </w:rPr>
                <w:t>PART I—FINANCIAL INFORMATION</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FINANCIALSTATEMENTS_291469">
              <w:r>
                <w:rPr>
                  <w:rStyle w:val="InternetLink"/>
                  <w:rFonts w:ascii="Times New Roman;Times;serif" w:hAnsi="Times New Roman;Times;serif"/>
                  <w:b w:val="false"/>
                  <w:i w:val="false"/>
                  <w:caps w:val="false"/>
                  <w:smallCaps w:val="false"/>
                  <w:sz w:val="20"/>
                </w:rPr>
                <w:t>Item 1.     Financial Statements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March 31, 2024 (Unaudited) and December 31, 2023</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PERATIONS">
              <w:r>
                <w:rPr>
                  <w:rStyle w:val="InternetLink"/>
                  <w:rFonts w:ascii="Times New Roman;Times;serif" w:hAnsi="Times New Roman;Times;serif"/>
                  <w:b w:val="false"/>
                  <w:i w:val="false"/>
                  <w:caps w:val="false"/>
                  <w:smallCaps w:val="false"/>
                  <w:sz w:val="20"/>
                </w:rPr>
                <w:t>Consolidated Statements of Operations – Three months ended March 31,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 Three months ended March 31,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months ended March 31,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CASHFLOWS_91955">
              <w:r>
                <w:rPr>
                  <w:rStyle w:val="InternetLink"/>
                  <w:rFonts w:ascii="Times New Roman;Times;serif" w:hAnsi="Times New Roman;Times;serif"/>
                  <w:b w:val="false"/>
                  <w:i w:val="false"/>
                  <w:caps w:val="false"/>
                  <w:smallCaps w:val="false"/>
                  <w:sz w:val="20"/>
                </w:rPr>
                <w:t>Consolidated Statements of Cash Flows – Three months ended March 31,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MANAGEMENTSDISCUSSIONANDANALYSIS">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QUANTITATIVEANDQUALITATIVEDISC">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CONTROLSANDPROCEDURES_93254">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PARTIIOTHERINFORMATION_482394">
              <w:r>
                <w:rPr>
                  <w:rStyle w:val="InternetLink"/>
                  <w:rFonts w:ascii="Times New Roman;Times;serif" w:hAnsi="Times New Roman;Times;serif"/>
                  <w:b w:val="false"/>
                  <w:i w:val="false"/>
                  <w:caps w:val="false"/>
                  <w:smallCaps w:val="false"/>
                  <w:sz w:val="20"/>
                </w:rPr>
                <w:t>PART II—OTHER INFORMATION</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LEGALPROCEEDINGS_782791">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ARISKFACTORS_792917">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DEFAULTSUPONSENIORSECURITIES_376496">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MINESAFETYDISCLOSURES_109581">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5OTHERINFORMATION_91571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6EXHIBITS_110802">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Signatures_946901">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
      <w:bookmarkStart w:id="48" w:name="_a10b86e1_b49c_459f_b488_38909349946d"/>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291469"/>
      <w:bookmarkEnd w:id="49"/>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1" w:name="Tc_UeHLSihXMkmrMbDXeaT27w_35_4"/>
      <w:bookmarkStart w:id="52" w:name="Tc_iLLwaGitDku5a-SfYea2IQ_35_1"/>
      <w:bookmarkStart w:id="53" w:name="Tc_OzcmcwUWQEKUremkV_z2uQ_35_0"/>
      <w:bookmarkStart w:id="54" w:name="Tc_wDbGWP6r9k-m_Zi8S3UHSg_34_0"/>
      <w:bookmarkStart w:id="55" w:name="Tc_R7dP4bozxEqp8ODhUMHtlA_33_0"/>
      <w:bookmarkStart w:id="56" w:name="Tc_Eq2Ip7GsDUSHacZ2SZ1GsA_32_0"/>
      <w:bookmarkStart w:id="57" w:name="Tc_6YN1EQrdcUeFR7BB2widYQ_31_0"/>
      <w:bookmarkStart w:id="58" w:name="Tc_t663WI684EGGMSgHwYUk4Q_30_0"/>
      <w:bookmarkStart w:id="59" w:name="Tc_3R2p58LK5EqH3Ba5oUGE1w_29_0"/>
      <w:bookmarkStart w:id="60" w:name="Tc_h18Eu2e9mkqNanQZdvPpPA_28_0"/>
      <w:bookmarkStart w:id="61" w:name="Tc_ZXsoPORYwE-m4hvCgwLA3w_27_0"/>
      <w:bookmarkStart w:id="62" w:name="Tc_-GkAlbqE20CxQxvVyTdl3w_26_0"/>
      <w:bookmarkStart w:id="63" w:name="Tc_EV04Gw4i6kuP7Iai6PSwqw_25_0"/>
      <w:bookmarkStart w:id="64" w:name="Tc_em96fNdfYkeynnoXn63N8w_24_0"/>
      <w:bookmarkStart w:id="65" w:name="Tc_f5r9j-NfYUaBJYkZeWdO2g_23_0"/>
      <w:bookmarkStart w:id="66" w:name="Tc_kX7n_VZ45UeLPd4Qkm8HJw_22_0"/>
      <w:bookmarkStart w:id="67" w:name="Tc_EanbAsYXa0K8iNmK35I1uQ_21_0"/>
      <w:bookmarkStart w:id="68" w:name="Tc_7Z-yGuF5L02D0wywjpq0JA_20_4"/>
      <w:bookmarkStart w:id="69" w:name="Tc_eRH8ly2-7UmISzlSH2pwVQ_20_1"/>
      <w:bookmarkStart w:id="70" w:name="Tc_iY14h2JpP0S6zY55WWpTuA_20_0"/>
      <w:bookmarkStart w:id="71" w:name="Tc_I5GOs0JDh0GbKsFCFV_Dnw_19_0"/>
      <w:bookmarkStart w:id="72" w:name="Tc_X-mgsMLWbU6TdstblUgB5w_18_0"/>
      <w:bookmarkStart w:id="73" w:name="Tc_Y7xQkzk7P0eDxl27JchA6w_17_4"/>
      <w:bookmarkStart w:id="74" w:name="Tc_7h5ZItOggkq9zSV_E5JHnQ_17_1"/>
      <w:bookmarkStart w:id="75" w:name="Tc_bbCe0-QLtEG_AyEF9QFcIw_17_0"/>
      <w:bookmarkStart w:id="76" w:name="Tc_FPefmAheX0Wfl-TaQSioBg_16_0"/>
      <w:bookmarkStart w:id="77" w:name="Tc_qkcUhdCF5Ee90ZtaMc6XBw_15_0"/>
      <w:bookmarkStart w:id="78" w:name="Tc_s5Vyrhp3PUKVXJzOAZStkg_14_0"/>
      <w:bookmarkStart w:id="79" w:name="Tc_WXo8DEqx8kOtQ17TcYi1Rw_13_0"/>
      <w:bookmarkStart w:id="80" w:name="Tc_7ENcnQEQOEuNeBUYzQ3ubw_12_0"/>
      <w:bookmarkStart w:id="81" w:name="Tc_9m2oOJmtd0SeD95KqkPlbw_11_0"/>
      <w:bookmarkStart w:id="82" w:name="Tc_fOOUO7GAnUScSEcj33Gpmw_10_0"/>
      <w:bookmarkStart w:id="83" w:name="Tc_Yu9Cw33IEk-RNMSFO3UriQ_9_0"/>
      <w:bookmarkStart w:id="84" w:name="Tc_5oJoAJy-9k6ovZ_0EdD5tw_8_0"/>
      <w:bookmarkStart w:id="85" w:name="Tc_CDuWhEFVOUGLSsvr4IAu0Q_7_0"/>
      <w:bookmarkStart w:id="86" w:name="Tc_dH__V4N2qEGpPXq6ib0Qpw_6_0"/>
      <w:bookmarkStart w:id="87" w:name="Tc_LNPxEvrVRUK3X2yknu-6Yw_5_4"/>
      <w:bookmarkStart w:id="88" w:name="Tc_BdIVNqmpGEqc_1P2W0HFsw_5_1"/>
      <w:bookmarkStart w:id="89" w:name="Tc_sh7aDTbSBE6RDcmbYnTYOA_5_0"/>
      <w:bookmarkStart w:id="90" w:name="Tc_ppUL1gir4EKqqIApJbJXRw_4_0"/>
      <w:bookmarkStart w:id="91" w:name="Tc_9ofS1dLs5EWekQ1r6-44-w_3_0"/>
      <w:bookmarkStart w:id="92" w:name="Tc_fxX_DpPxv0eaN68hxlOYQA_2_4"/>
      <w:bookmarkStart w:id="93" w:name="Tc_fzdw_Sy_G0-7k3f7bRPkig_2_1"/>
      <w:bookmarkStart w:id="94" w:name="Tc_vRJ-cBtqYkGnAZ4RShvWKA_1_1"/>
      <w:bookmarkStart w:id="95" w:name="_971efe10_ccec_48bd_b991_1a980d5198a1"/>
      <w:bookmarkStart w:id="96" w:name="Tc_UeHLSihXMkmrMbDXeaT27w_35_4"/>
      <w:bookmarkStart w:id="97" w:name="Tc_iLLwaGitDku5a-SfYea2IQ_35_1"/>
      <w:bookmarkStart w:id="98" w:name="Tc_OzcmcwUWQEKUremkV_z2uQ_35_0"/>
      <w:bookmarkStart w:id="99" w:name="Tc_wDbGWP6r9k-m_Zi8S3UHSg_34_0"/>
      <w:bookmarkStart w:id="100" w:name="Tc_R7dP4bozxEqp8ODhUMHtlA_33_0"/>
      <w:bookmarkStart w:id="101" w:name="Tc_Eq2Ip7GsDUSHacZ2SZ1GsA_32_0"/>
      <w:bookmarkStart w:id="102" w:name="Tc_6YN1EQrdcUeFR7BB2widYQ_31_0"/>
      <w:bookmarkStart w:id="103" w:name="Tc_t663WI684EGGMSgHwYUk4Q_30_0"/>
      <w:bookmarkStart w:id="104" w:name="Tc_3R2p58LK5EqH3Ba5oUGE1w_29_0"/>
      <w:bookmarkStart w:id="105" w:name="Tc_h18Eu2e9mkqNanQZdvPpPA_28_0"/>
      <w:bookmarkStart w:id="106" w:name="Tc_ZXsoPORYwE-m4hvCgwLA3w_27_0"/>
      <w:bookmarkStart w:id="107" w:name="Tc_-GkAlbqE20CxQxvVyTdl3w_26_0"/>
      <w:bookmarkStart w:id="108" w:name="Tc_EV04Gw4i6kuP7Iai6PSwqw_25_0"/>
      <w:bookmarkStart w:id="109" w:name="Tc_em96fNdfYkeynnoXn63N8w_24_0"/>
      <w:bookmarkStart w:id="110" w:name="Tc_f5r9j-NfYUaBJYkZeWdO2g_23_0"/>
      <w:bookmarkStart w:id="111" w:name="Tc_kX7n_VZ45UeLPd4Qkm8HJw_22_0"/>
      <w:bookmarkStart w:id="112" w:name="Tc_EanbAsYXa0K8iNmK35I1uQ_21_0"/>
      <w:bookmarkStart w:id="113" w:name="Tc_7Z-yGuF5L02D0wywjpq0JA_20_4"/>
      <w:bookmarkStart w:id="114" w:name="Tc_eRH8ly2-7UmISzlSH2pwVQ_20_1"/>
      <w:bookmarkStart w:id="115" w:name="Tc_iY14h2JpP0S6zY55WWpTuA_20_0"/>
      <w:bookmarkStart w:id="116" w:name="Tc_I5GOs0JDh0GbKsFCFV_Dnw_19_0"/>
      <w:bookmarkStart w:id="117" w:name="Tc_X-mgsMLWbU6TdstblUgB5w_18_0"/>
      <w:bookmarkStart w:id="118" w:name="Tc_Y7xQkzk7P0eDxl27JchA6w_17_4"/>
      <w:bookmarkStart w:id="119" w:name="Tc_7h5ZItOggkq9zSV_E5JHnQ_17_1"/>
      <w:bookmarkStart w:id="120" w:name="Tc_bbCe0-QLtEG_AyEF9QFcIw_17_0"/>
      <w:bookmarkStart w:id="121" w:name="Tc_FPefmAheX0Wfl-TaQSioBg_16_0"/>
      <w:bookmarkStart w:id="122" w:name="Tc_qkcUhdCF5Ee90ZtaMc6XBw_15_0"/>
      <w:bookmarkStart w:id="123" w:name="Tc_s5Vyrhp3PUKVXJzOAZStkg_14_0"/>
      <w:bookmarkStart w:id="124" w:name="Tc_WXo8DEqx8kOtQ17TcYi1Rw_13_0"/>
      <w:bookmarkStart w:id="125" w:name="Tc_7ENcnQEQOEuNeBUYzQ3ubw_12_0"/>
      <w:bookmarkStart w:id="126" w:name="Tc_9m2oOJmtd0SeD95KqkPlbw_11_0"/>
      <w:bookmarkStart w:id="127" w:name="Tc_fOOUO7GAnUScSEcj33Gpmw_10_0"/>
      <w:bookmarkStart w:id="128" w:name="Tc_Yu9Cw33IEk-RNMSFO3UriQ_9_0"/>
      <w:bookmarkStart w:id="129" w:name="Tc_5oJoAJy-9k6ovZ_0EdD5tw_8_0"/>
      <w:bookmarkStart w:id="130" w:name="Tc_CDuWhEFVOUGLSsvr4IAu0Q_7_0"/>
      <w:bookmarkStart w:id="131" w:name="Tc_dH__V4N2qEGpPXq6ib0Qpw_6_0"/>
      <w:bookmarkStart w:id="132" w:name="Tc_LNPxEvrVRUK3X2yknu-6Yw_5_4"/>
      <w:bookmarkStart w:id="133" w:name="Tc_BdIVNqmpGEqc_1P2W0HFsw_5_1"/>
      <w:bookmarkStart w:id="134" w:name="Tc_sh7aDTbSBE6RDcmbYnTYOA_5_0"/>
      <w:bookmarkStart w:id="135" w:name="Tc_ppUL1gir4EKqqIApJbJXRw_4_0"/>
      <w:bookmarkStart w:id="136" w:name="Tc_9ofS1dLs5EWekQ1r6-44-w_3_0"/>
      <w:bookmarkStart w:id="137" w:name="Tc_fxX_DpPxv0eaN68hxlOYQA_2_4"/>
      <w:bookmarkStart w:id="138" w:name="Tc_fzdw_Sy_G0-7k3f7bRPkig_2_1"/>
      <w:bookmarkStart w:id="139" w:name="Tc_vRJ-cBtqYkGnAZ4RShvWKA_1_1"/>
      <w:bookmarkStart w:id="140" w:name="_971efe10_ccec_48bd_b991_1a980d5198a1"/>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6879"/>
        <w:gridCol w:w="325"/>
        <w:gridCol w:w="1208"/>
        <w:gridCol w:w="326"/>
        <w:gridCol w:w="281"/>
        <w:gridCol w:w="1186"/>
      </w:tblGrid>
      <w:tr>
        <w:trPr/>
        <w:tc>
          <w:tcPr>
            <w:tcW w:w="6879"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6375" cy="175260"/>
                      <wp:effectExtent l="0" t="0" r="0" b="0"/>
                      <wp:wrapNone/>
                      <wp:docPr id="1" name="Frame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67080" cy="175260"/>
                      <wp:effectExtent l="0" t="0" r="0" b="0"/>
                      <wp:wrapNone/>
                      <wp:docPr id="2" name="Frame2"/>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8435" cy="175260"/>
                      <wp:effectExtent l="0" t="0" r="0" b="0"/>
                      <wp:wrapNone/>
                      <wp:docPr id="4" name="Frame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53110" cy="175260"/>
                      <wp:effectExtent l="0" t="0" r="0" b="0"/>
                      <wp:wrapNone/>
                      <wp:docPr id="5" name="Frame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79" w:type="dxa"/>
            <w:tcBorders/>
            <w:vAlign w:val="center"/>
          </w:tcPr>
          <w:p>
            <w:pPr>
              <w:pStyle w:val="TableContents"/>
              <w:bidi w:val="0"/>
              <w:spacing w:before="0" w:after="1"/>
              <w:ind w:left="0" w:right="0" w:hanging="0"/>
              <w:jc w:val="left"/>
              <w:rPr/>
            </w:pPr>
            <w:r>
              <w:rPr/>
              <w:t>​</w:t>
            </w:r>
          </w:p>
        </w:tc>
        <w:tc>
          <w:tcPr>
            <w:tcW w:w="33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879" w:type="dxa"/>
            <w:tcBorders/>
            <w:vAlign w:val="center"/>
          </w:tcPr>
          <w:p>
            <w:pPr>
              <w:pStyle w:val="TableContents"/>
              <w:bidi w:val="0"/>
              <w:spacing w:before="0" w:after="1"/>
              <w:ind w:left="0" w:right="0" w:hanging="0"/>
              <w:jc w:val="left"/>
              <w:rPr/>
            </w:pPr>
            <w:r>
              <w:rPr/>
              <w:t>​</w:t>
            </w:r>
          </w:p>
        </w:tc>
        <w:tc>
          <w:tcPr>
            <w:tcW w:w="15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 (Unaudited)</w:t>
            </w:r>
          </w:p>
        </w:tc>
        <w:tc>
          <w:tcPr>
            <w:tcW w:w="326" w:type="dxa"/>
            <w:tcBorders/>
            <w:vAlign w:val="center"/>
          </w:tcPr>
          <w:p>
            <w:pPr>
              <w:pStyle w:val="TableContents"/>
              <w:bidi w:val="0"/>
              <w:spacing w:before="0" w:after="1"/>
              <w:ind w:left="0" w:right="0" w:hanging="0"/>
              <w:jc w:val="center"/>
              <w:rPr/>
            </w:pPr>
            <w:r>
              <w:rPr/>
              <w:t>    </w:t>
            </w:r>
          </w:p>
        </w:tc>
        <w:tc>
          <w:tcPr>
            <w:tcW w:w="14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6879"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533"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67" w:type="dxa"/>
            <w:gridSpan w:val="2"/>
            <w:tcBorders/>
            <w:shd w:fill="CCEEFF" w:val="clear"/>
            <w:vAlign w:val="center"/>
          </w:tcPr>
          <w:p>
            <w:pPr>
              <w:pStyle w:val="TableContents"/>
              <w:bidi w:val="0"/>
              <w:spacing w:before="0" w:after="1"/>
              <w:ind w:left="0" w:right="0" w:hanging="0"/>
              <w:jc w:val="center"/>
              <w:rPr/>
            </w:pPr>
            <w:r>
              <w:rPr/>
              <w:t>​</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150,327</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149,314</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329,118</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328,993</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479,445</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478,307</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(38,931)</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(34,714)</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440,514</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443,593</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38,046</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35,080</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5,145</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4,019</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9,712</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47,019</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49,292</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19,581</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17,045</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559,021</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564,560</w:t>
            </w:r>
          </w:p>
        </w:tc>
      </w:tr>
      <w:tr>
        <w:trPr/>
        <w:tc>
          <w:tcPr>
            <w:tcW w:w="6879"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6,108</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5,736</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4,689</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272,256</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275,677</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286,165</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288,947</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Contingencies—See Note 19</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$0.01 par value per share, 100 million shares authorized, no shares issued and outstanding as of March 31, 2024 and December 31, 2023</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13,618,108 shares issued and outstanding as of March 31, 2024 and 13,659,207 shares issued and outstanding as of December 31, 2023</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5" w:type="dxa"/>
            <w:tcBorders/>
            <w:shd w:fill="CCEEFF" w:val="clear"/>
            <w:vAlign w:val="center"/>
          </w:tcPr>
          <w:p>
            <w:pPr>
              <w:pStyle w:val="TableContents"/>
              <w:bidi w:val="0"/>
              <w:spacing w:before="0" w:after="1"/>
              <w:ind w:left="0" w:right="0" w:hanging="0"/>
              <w:jc w:val="left"/>
              <w:rPr/>
            </w:pPr>
            <w:r>
              <w:rPr/>
              <w:t>​</w:t>
            </w:r>
          </w:p>
        </w:tc>
        <w:tc>
          <w:tcPr>
            <w:tcW w:w="12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242,944</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243,690</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(6,364)</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(2,359)</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11,436</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9,275</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5" w:type="dxa"/>
            <w:tcBorders/>
            <w:vAlign w:val="center"/>
          </w:tcPr>
          <w:p>
            <w:pPr>
              <w:pStyle w:val="TableContents"/>
              <w:bidi w:val="0"/>
              <w:spacing w:before="0" w:after="1"/>
              <w:ind w:left="0" w:right="0" w:hanging="0"/>
              <w:jc w:val="left"/>
              <w:rPr/>
            </w:pPr>
            <w:r>
              <w:rPr/>
              <w:t>​</w:t>
            </w:r>
          </w:p>
        </w:tc>
        <w:tc>
          <w:tcPr>
            <w:tcW w:w="12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248,152</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250,743</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24,704</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24,870</w:t>
            </w:r>
          </w:p>
        </w:tc>
      </w:tr>
      <w:tr>
        <w:trPr/>
        <w:tc>
          <w:tcPr>
            <w:tcW w:w="68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272,856</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275,613</w:t>
            </w:r>
          </w:p>
        </w:tc>
      </w:tr>
      <w:tr>
        <w:trPr/>
        <w:tc>
          <w:tcPr>
            <w:tcW w:w="68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559,021</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564,560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accompanying notes are an integral part of these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41" w:name="_d0ab8048_e887_4ec1_a0c5_25f40ab2f4ac"/>
      <w:bookmarkEnd w:id="141"/>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142" w:name="CONSOLIDATEDSTATEMENTSOPERATIONS"/>
      <w:bookmarkEnd w:id="142"/>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3" w:name="Tc_nIC0Tt8dEU2WROjYlss7hg_30_0"/>
      <w:bookmarkStart w:id="144" w:name="Tc_A_-CEZeDHU6rmeqIk1G1DA_29_0"/>
      <w:bookmarkStart w:id="145" w:name="Tc_Wxvn9cOIvEmQjYQ11ilp6w_28_0"/>
      <w:bookmarkStart w:id="146" w:name="Tc_IRDQv1ZKc0OLGzihzZJKcg_26_5"/>
      <w:bookmarkStart w:id="147" w:name="Tc_m2w8nck7K0aHGlv5D87URg_26_2"/>
      <w:bookmarkStart w:id="148" w:name="Tc_eYEMLQjQnEuetwq_sbs3iA_26_0"/>
      <w:bookmarkStart w:id="149" w:name="Tc_vUmy9oOZn0-RuOgQ7ScYPg_25_5"/>
      <w:bookmarkStart w:id="150" w:name="Tc_Ql-2__Y7qUKChgDnB5tQ4g_25_2"/>
      <w:bookmarkStart w:id="151" w:name="Tc_-A6SGJfLXkyzysmwP8XWMw_25_0"/>
      <w:bookmarkStart w:id="152" w:name="Tc_fMUoLRIy20a1HZ8k2EICGg_24_0"/>
      <w:bookmarkStart w:id="153" w:name="Tc_aQ1uDv1PoEK6KqnEZg6LFg_23_0"/>
      <w:bookmarkStart w:id="154" w:name="Tc_v1n80JaNJUiAnO8czjUg9g_21_5"/>
      <w:bookmarkStart w:id="155" w:name="Tc_TE9ZTmSKIUGBav6K92JhgA_21_2"/>
      <w:bookmarkStart w:id="156" w:name="Tc_KoNptdWyBU-iYx167cCdww_21_0"/>
      <w:bookmarkStart w:id="157" w:name="Tc_ehjQRQ_qVUqCr3LR6yGgEw_20_0"/>
      <w:bookmarkStart w:id="158" w:name="Tc_d9b1lOXqAEunlHc2L5rWKQ_19_0"/>
      <w:bookmarkStart w:id="159" w:name="Tc_Vj67TOa4Skm23IPcbrL_GQ_18_0"/>
      <w:bookmarkStart w:id="160" w:name="Tc_fnK6XnZkqEWSawICKKpndw_17_0"/>
      <w:bookmarkStart w:id="161" w:name="Tc_1FxpEWPO9EyUElKhKaeYIg_16_0"/>
      <w:bookmarkStart w:id="162" w:name="Tc_FCxFkIrhZkWTmLWRLKAqXg_15_3"/>
      <w:bookmarkStart w:id="163" w:name="Tc_Np2DGhZ_akKThCRxfKn1dQ_15_0"/>
      <w:bookmarkStart w:id="164" w:name="Tc_RgrKwJ6OLEGG3EI5UgW-qQ_14_3"/>
      <w:bookmarkStart w:id="165" w:name="Tc_M9vDgTJG3UG52MzYTikwYg_14_0"/>
      <w:bookmarkStart w:id="166" w:name="Tc_MBo89yYR-EaJjxoB8q3mMA_13_0"/>
      <w:bookmarkStart w:id="167" w:name="Tc_ArARRNmTGUWN6pP_SSNspA_12_0"/>
      <w:bookmarkStart w:id="168" w:name="Tc_AZcymVWIdUGEBb7BEf96bg_11_6"/>
      <w:bookmarkStart w:id="169" w:name="Tc_TFhEcX9d70qei8E0cjpylw_11_0"/>
      <w:bookmarkStart w:id="170" w:name="Tc_yWb3cexMr0mTrIy6cydTog_10_0"/>
      <w:bookmarkStart w:id="171" w:name="Tc_5MSUJIURqkCewmKU_VfeOA_9_0"/>
      <w:bookmarkStart w:id="172" w:name="Tc_LeIVTx-VqE-KQHGBtS2FJg_8_0"/>
      <w:bookmarkStart w:id="173" w:name="Tc_8PPCdxdJmkmNGEUs9sZt6Q_7_0"/>
      <w:bookmarkStart w:id="174" w:name="Tc_UkRH1kj8CEqXHs2acucFZw_6_6"/>
      <w:bookmarkStart w:id="175" w:name="Tc_S2IL8qVnU02UbFY8H2R5WA_6_0"/>
      <w:bookmarkStart w:id="176" w:name="Tc_I-KR2bLwQ0Kc42H9QiUc0A_5_6"/>
      <w:bookmarkStart w:id="177" w:name="Tc_EebDR5RBMEqeT2MOYBsUAw_5_0"/>
      <w:bookmarkStart w:id="178" w:name="Tc_iHhtsYXsMkKwcv1ndV0Rag_4_5"/>
      <w:bookmarkStart w:id="179" w:name="Tc_GJYyLPRF2E-csSbFKUblbw_4_2"/>
      <w:bookmarkStart w:id="180" w:name="Tc_lQVsbvHM6Ue4E9aZe3Og8w_4_0"/>
      <w:bookmarkStart w:id="181" w:name="Tc_Cul9DRwAz06OkkLJuwTnGQ_3_0"/>
      <w:bookmarkStart w:id="182" w:name="Tc_d98Rt4tugky80H1CYnNJIg_2_5"/>
      <w:bookmarkStart w:id="183" w:name="Tc_K_qURmT04U-RBq5kjSZeJg_2_2"/>
      <w:bookmarkStart w:id="184" w:name="Tc_z2kIufQa90yzc1N3tCfZUw_1_2"/>
      <w:bookmarkStart w:id="185" w:name="_28da37b6_eced_4282_8387_5058a00681d4"/>
      <w:bookmarkStart w:id="186" w:name="Tc_nIC0Tt8dEU2WROjYlss7hg_30_0"/>
      <w:bookmarkStart w:id="187" w:name="Tc_A_-CEZeDHU6rmeqIk1G1DA_29_0"/>
      <w:bookmarkStart w:id="188" w:name="Tc_Wxvn9cOIvEmQjYQ11ilp6w_28_0"/>
      <w:bookmarkStart w:id="189" w:name="Tc_IRDQv1ZKc0OLGzihzZJKcg_26_5"/>
      <w:bookmarkStart w:id="190" w:name="Tc_m2w8nck7K0aHGlv5D87URg_26_2"/>
      <w:bookmarkStart w:id="191" w:name="Tc_eYEMLQjQnEuetwq_sbs3iA_26_0"/>
      <w:bookmarkStart w:id="192" w:name="Tc_vUmy9oOZn0-RuOgQ7ScYPg_25_5"/>
      <w:bookmarkStart w:id="193" w:name="Tc_Ql-2__Y7qUKChgDnB5tQ4g_25_2"/>
      <w:bookmarkStart w:id="194" w:name="Tc_-A6SGJfLXkyzysmwP8XWMw_25_0"/>
      <w:bookmarkStart w:id="195" w:name="Tc_fMUoLRIy20a1HZ8k2EICGg_24_0"/>
      <w:bookmarkStart w:id="196" w:name="Tc_aQ1uDv1PoEK6KqnEZg6LFg_23_0"/>
      <w:bookmarkStart w:id="197" w:name="Tc_v1n80JaNJUiAnO8czjUg9g_21_5"/>
      <w:bookmarkStart w:id="198" w:name="Tc_TE9ZTmSKIUGBav6K92JhgA_21_2"/>
      <w:bookmarkStart w:id="199" w:name="Tc_KoNptdWyBU-iYx167cCdww_21_0"/>
      <w:bookmarkStart w:id="200" w:name="Tc_ehjQRQ_qVUqCr3LR6yGgEw_20_0"/>
      <w:bookmarkStart w:id="201" w:name="Tc_d9b1lOXqAEunlHc2L5rWKQ_19_0"/>
      <w:bookmarkStart w:id="202" w:name="Tc_Vj67TOa4Skm23IPcbrL_GQ_18_0"/>
      <w:bookmarkStart w:id="203" w:name="Tc_fnK6XnZkqEWSawICKKpndw_17_0"/>
      <w:bookmarkStart w:id="204" w:name="Tc_1FxpEWPO9EyUElKhKaeYIg_16_0"/>
      <w:bookmarkStart w:id="205" w:name="Tc_FCxFkIrhZkWTmLWRLKAqXg_15_3"/>
      <w:bookmarkStart w:id="206" w:name="Tc_Np2DGhZ_akKThCRxfKn1dQ_15_0"/>
      <w:bookmarkStart w:id="207" w:name="Tc_RgrKwJ6OLEGG3EI5UgW-qQ_14_3"/>
      <w:bookmarkStart w:id="208" w:name="Tc_M9vDgTJG3UG52MzYTikwYg_14_0"/>
      <w:bookmarkStart w:id="209" w:name="Tc_MBo89yYR-EaJjxoB8q3mMA_13_0"/>
      <w:bookmarkStart w:id="210" w:name="Tc_ArARRNmTGUWN6pP_SSNspA_12_0"/>
      <w:bookmarkStart w:id="211" w:name="Tc_AZcymVWIdUGEBb7BEf96bg_11_6"/>
      <w:bookmarkStart w:id="212" w:name="Tc_TFhEcX9d70qei8E0cjpylw_11_0"/>
      <w:bookmarkStart w:id="213" w:name="Tc_yWb3cexMr0mTrIy6cydTog_10_0"/>
      <w:bookmarkStart w:id="214" w:name="Tc_5MSUJIURqkCewmKU_VfeOA_9_0"/>
      <w:bookmarkStart w:id="215" w:name="Tc_LeIVTx-VqE-KQHGBtS2FJg_8_0"/>
      <w:bookmarkStart w:id="216" w:name="Tc_8PPCdxdJmkmNGEUs9sZt6Q_7_0"/>
      <w:bookmarkStart w:id="217" w:name="Tc_UkRH1kj8CEqXHs2acucFZw_6_6"/>
      <w:bookmarkStart w:id="218" w:name="Tc_S2IL8qVnU02UbFY8H2R5WA_6_0"/>
      <w:bookmarkStart w:id="219" w:name="Tc_I-KR2bLwQ0Kc42H9QiUc0A_5_6"/>
      <w:bookmarkStart w:id="220" w:name="Tc_EebDR5RBMEqeT2MOYBsUAw_5_0"/>
      <w:bookmarkStart w:id="221" w:name="Tc_iHhtsYXsMkKwcv1ndV0Rag_4_5"/>
      <w:bookmarkStart w:id="222" w:name="Tc_GJYyLPRF2E-csSbFKUblbw_4_2"/>
      <w:bookmarkStart w:id="223" w:name="Tc_lQVsbvHM6Ue4E9aZe3Og8w_4_0"/>
      <w:bookmarkStart w:id="224" w:name="Tc_Cul9DRwAz06OkkLJuwTnGQ_3_0"/>
      <w:bookmarkStart w:id="225" w:name="Tc_d98Rt4tugky80H1CYnNJIg_2_5"/>
      <w:bookmarkStart w:id="226" w:name="Tc_K_qURmT04U-RBq5kjSZeJg_2_2"/>
      <w:bookmarkStart w:id="227" w:name="Tc_z2kIufQa90yzc1N3tCfZUw_1_2"/>
      <w:bookmarkStart w:id="228" w:name="_28da37b6_eced_4282_8387_5058a00681d4"/>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tbl>
      <w:tblPr>
        <w:tblW w:w="8814" w:type="dxa"/>
        <w:jc w:val="left"/>
        <w:tblInd w:w="0" w:type="dxa"/>
        <w:tblLayout w:type="fixed"/>
        <w:tblCellMar>
          <w:top w:w="0" w:type="dxa"/>
          <w:left w:w="0" w:type="dxa"/>
          <w:bottom w:w="0" w:type="dxa"/>
          <w:right w:w="0" w:type="dxa"/>
        </w:tblCellMar>
      </w:tblPr>
      <w:tblGrid>
        <w:gridCol w:w="5671"/>
        <w:gridCol w:w="109"/>
        <w:gridCol w:w="243"/>
        <w:gridCol w:w="1197"/>
        <w:gridCol w:w="109"/>
        <w:gridCol w:w="231"/>
        <w:gridCol w:w="1254"/>
      </w:tblGrid>
      <w:tr>
        <w:trPr/>
        <w:tc>
          <w:tcPr>
            <w:tcW w:w="5671" w:type="dxa"/>
            <w:tcBorders/>
            <w:vAlign w:val="center"/>
          </w:tcPr>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4305" cy="175260"/>
                      <wp:effectExtent l="0" t="0" r="0" b="0"/>
                      <wp:wrapNone/>
                      <wp:docPr id="7" name="Frame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60095" cy="175260"/>
                      <wp:effectExtent l="0" t="0" r="0" b="0"/>
                      <wp:wrapNone/>
                      <wp:docPr id="8" name="Frame8"/>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6685" cy="175260"/>
                      <wp:effectExtent l="0" t="0" r="0" b="0"/>
                      <wp:wrapNone/>
                      <wp:docPr id="10" name="Frame1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96290" cy="175260"/>
                      <wp:effectExtent l="0" t="0" r="0" b="0"/>
                      <wp:wrapNone/>
                      <wp:docPr id="11" name="Frame11"/>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30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center"/>
              <w:rPr/>
            </w:pPr>
            <w:r>
              <w:rPr/>
              <w:t>​</w:t>
            </w:r>
          </w:p>
        </w:tc>
        <w:tc>
          <w:tcPr>
            <w:tcW w:w="1197"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1254" w:type="dxa"/>
            <w:tcBorders/>
            <w:shd w:fill="CCEEFF" w:val="clear"/>
            <w:vAlign w:val="center"/>
          </w:tcPr>
          <w:p>
            <w:pPr>
              <w:pStyle w:val="TableContents"/>
              <w:bidi w:val="0"/>
              <w:spacing w:before="0" w:after="1"/>
              <w:ind w:left="0" w:right="0" w:hanging="0"/>
              <w:jc w:val="center"/>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11,156</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12,466</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11,156</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6,382</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9,883</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9,284</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4,453</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6,348</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(2,613)</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Loss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3,339</w:t>
            </w:r>
          </w:p>
        </w:tc>
      </w:tr>
      <w:tr>
        <w:trPr/>
        <w:tc>
          <w:tcPr>
            <w:tcW w:w="5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56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13,621,208</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14,000,553</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14,845,062</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15,704,047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29" w:name="_91badc66_7280_48ed_ae85_662b57e12de1"/>
      <w:bookmarkEnd w:id="229"/>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230" w:name="CONSOLIDATEDSTATEMENTSOFCOMPINCOME"/>
      <w:bookmarkEnd w:id="230"/>
      <w:r>
        <w:rPr>
          <w:rFonts w:ascii="Times New Roman;Times;serif" w:hAnsi="Times New Roman;Times;serif"/>
          <w:sz w:val="20"/>
        </w:rPr>
        <w:t>CONSOLIDATED STATEMENTS OF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1" w:name="Tc_kfdI9rGJP0CHebU3wU3WbQ_12_5"/>
      <w:bookmarkStart w:id="232" w:name="Tc_20DqqzlpAUq4UMCQwBWQLw_12_2"/>
      <w:bookmarkStart w:id="233" w:name="Tc__T3c1Iidt0mL8SJk7vBSQA_12_0"/>
      <w:bookmarkStart w:id="234" w:name="Tc_NoFgXpTN00G-RDy_TGDEfQ_11_0"/>
      <w:bookmarkStart w:id="235" w:name="Tc_Y9Ok29pNCkG2ktyO0t9Ceg_10_6"/>
      <w:bookmarkStart w:id="236" w:name="Tc_Zn9BfMPptkmlvzQZ_0-_cw_10_0"/>
      <w:bookmarkStart w:id="237" w:name="Tc_OkQ4ZYKwP062pVhoOrEXog_9_0"/>
      <w:bookmarkStart w:id="238" w:name="Tc_PobH4aGv90qLOjnF0L95-w_8_0"/>
      <w:bookmarkStart w:id="239" w:name="Tc_NN09TlyUek-4ilXq-A065w_7_5"/>
      <w:bookmarkStart w:id="240" w:name="Tc_zqKWJL2ickGfKAhin7mceA_7_2"/>
      <w:bookmarkStart w:id="241" w:name="Tc_aSPMCh629kO_8_Y0BFqjrg_7_0"/>
      <w:bookmarkStart w:id="242" w:name="Tc_h0R21vJWaEKzDRM2N2AsPg_6_0"/>
      <w:bookmarkStart w:id="243" w:name="Tc_oUzdsRzZJkOgxFsUxBgycw_5_0"/>
      <w:bookmarkStart w:id="244" w:name="Tc_EFHicf_83EWJXDggbiO_vg_4_0"/>
      <w:bookmarkStart w:id="245" w:name="Tc_BJ62QC1qJU6CA9W2Dr4pew_3_5"/>
      <w:bookmarkStart w:id="246" w:name="Tc_LknFFJvTJESQgVXNeO28qQ_3_2"/>
      <w:bookmarkStart w:id="247" w:name="Tc__uK76wdnPUafco5-WWHIdw_3_0"/>
      <w:bookmarkStart w:id="248" w:name="Tc_OHywLNpPnUC5CleNWFZXGA_2_5"/>
      <w:bookmarkStart w:id="249" w:name="Tc_4wWHeM7ayEqCK6I2T4KyCA_2_2"/>
      <w:bookmarkStart w:id="250" w:name="Tc_jLcCVZD0ykiUX85hYlMh2Q_1_2"/>
      <w:bookmarkStart w:id="251" w:name="_132e16af_15fe_499f_a972_ea154f753c26"/>
      <w:bookmarkStart w:id="252" w:name="Tc_kfdI9rGJP0CHebU3wU3WbQ_12_5"/>
      <w:bookmarkStart w:id="253" w:name="Tc_20DqqzlpAUq4UMCQwBWQLw_12_2"/>
      <w:bookmarkStart w:id="254" w:name="Tc__T3c1Iidt0mL8SJk7vBSQA_12_0"/>
      <w:bookmarkStart w:id="255" w:name="Tc_NoFgXpTN00G-RDy_TGDEfQ_11_0"/>
      <w:bookmarkStart w:id="256" w:name="Tc_Y9Ok29pNCkG2ktyO0t9Ceg_10_6"/>
      <w:bookmarkStart w:id="257" w:name="Tc_Zn9BfMPptkmlvzQZ_0-_cw_10_0"/>
      <w:bookmarkStart w:id="258" w:name="Tc_OkQ4ZYKwP062pVhoOrEXog_9_0"/>
      <w:bookmarkStart w:id="259" w:name="Tc_PobH4aGv90qLOjnF0L95-w_8_0"/>
      <w:bookmarkStart w:id="260" w:name="Tc_NN09TlyUek-4ilXq-A065w_7_5"/>
      <w:bookmarkStart w:id="261" w:name="Tc_zqKWJL2ickGfKAhin7mceA_7_2"/>
      <w:bookmarkStart w:id="262" w:name="Tc_aSPMCh629kO_8_Y0BFqjrg_7_0"/>
      <w:bookmarkStart w:id="263" w:name="Tc_h0R21vJWaEKzDRM2N2AsPg_6_0"/>
      <w:bookmarkStart w:id="264" w:name="Tc_oUzdsRzZJkOgxFsUxBgycw_5_0"/>
      <w:bookmarkStart w:id="265" w:name="Tc_EFHicf_83EWJXDggbiO_vg_4_0"/>
      <w:bookmarkStart w:id="266" w:name="Tc_BJ62QC1qJU6CA9W2Dr4pew_3_5"/>
      <w:bookmarkStart w:id="267" w:name="Tc_LknFFJvTJESQgVXNeO28qQ_3_2"/>
      <w:bookmarkStart w:id="268" w:name="Tc__uK76wdnPUafco5-WWHIdw_3_0"/>
      <w:bookmarkStart w:id="269" w:name="Tc_OHywLNpPnUC5CleNWFZXGA_2_5"/>
      <w:bookmarkStart w:id="270" w:name="Tc_4wWHeM7ayEqCK6I2T4KyCA_2_2"/>
      <w:bookmarkStart w:id="271" w:name="Tc_jLcCVZD0ykiUX85hYlMh2Q_1_2"/>
      <w:bookmarkStart w:id="272" w:name="_132e16af_15fe_499f_a972_ea154f753c26"/>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9481" w:type="dxa"/>
        <w:jc w:val="left"/>
        <w:tblInd w:w="0" w:type="dxa"/>
        <w:tblLayout w:type="fixed"/>
        <w:tblCellMar>
          <w:top w:w="0" w:type="dxa"/>
          <w:left w:w="0" w:type="dxa"/>
          <w:bottom w:w="0" w:type="dxa"/>
          <w:right w:w="0" w:type="dxa"/>
        </w:tblCellMar>
      </w:tblPr>
      <w:tblGrid>
        <w:gridCol w:w="6121"/>
        <w:gridCol w:w="109"/>
        <w:gridCol w:w="388"/>
        <w:gridCol w:w="1052"/>
        <w:gridCol w:w="326"/>
        <w:gridCol w:w="352"/>
        <w:gridCol w:w="1133"/>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886835" cy="527050"/>
                      <wp:effectExtent l="0" t="0" r="0" b="0"/>
                      <wp:wrapNone/>
                      <wp:docPr id="12" name="Frame12"/>
                      <a:graphic xmlns:a="http://schemas.openxmlformats.org/drawingml/2006/main">
                        <a:graphicData uri="http://schemas.microsoft.com/office/word/2010/wordprocessingShape">
                          <wps:wsp>
                            <wps:cNvSpPr txBox="1"/>
                            <wps:spPr>
                              <a:xfrm>
                                <a:off x="0" y="0"/>
                                <a:ext cx="3886835" cy="527050"/>
                              </a:xfrm>
                              <a:prstGeom prst="rect"/>
                              <a:solidFill>
                                <a:srgbClr val="FFFFFF"/>
                              </a:solidFill>
                            </wps:spPr>
                            <wps:txbx>
                              <w:txbxContent>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6380" cy="175260"/>
                      <wp:effectExtent l="0" t="0" r="0" b="0"/>
                      <wp:wrapNone/>
                      <wp:docPr id="14" name="Frame1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8020" cy="175260"/>
                      <wp:effectExtent l="0" t="0" r="0" b="0"/>
                      <wp:wrapNone/>
                      <wp:docPr id="15" name="Frame15"/>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3520" cy="175260"/>
                      <wp:effectExtent l="0" t="0" r="0" b="0"/>
                      <wp:wrapNone/>
                      <wp:docPr id="17" name="Frame1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19455" cy="175260"/>
                      <wp:effectExtent l="0" t="0" r="0" b="0"/>
                      <wp:wrapNone/>
                      <wp:docPr id="18" name="Frame18"/>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color w:val="0000FF"/>
              </w:rPr>
            </w:pPr>
            <w:r>
              <w:rPr>
                <w:color w:val="0000FF"/>
              </w:rPr>
              <w:t>​</w:t>
            </w:r>
          </w:p>
        </w:tc>
        <w:tc>
          <w:tcPr>
            <w:tcW w:w="109" w:type="dxa"/>
            <w:tcBorders/>
            <w:vAlign w:val="center"/>
          </w:tcPr>
          <w:p>
            <w:pPr>
              <w:pStyle w:val="TableContents"/>
              <w:bidi w:val="0"/>
              <w:spacing w:before="0" w:after="1"/>
              <w:ind w:left="0" w:right="0" w:hanging="0"/>
              <w:jc w:val="left"/>
              <w:rPr/>
            </w:pPr>
            <w:r>
              <w:rPr/>
              <w:t>​</w:t>
            </w:r>
          </w:p>
        </w:tc>
        <w:tc>
          <w:tcPr>
            <w:tcW w:w="32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61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1"/>
              <w:ind w:left="0" w:right="0" w:hanging="0"/>
              <w:jc w:val="center"/>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133" w:type="dxa"/>
            <w:tcBorders/>
            <w:vAlign w:val="center"/>
          </w:tcPr>
          <w:p>
            <w:pPr>
              <w:pStyle w:val="TableContents"/>
              <w:bidi w:val="0"/>
              <w:spacing w:before="0" w:after="1"/>
              <w:ind w:left="0" w:right="0" w:hanging="0"/>
              <w:jc w:val="righ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1"/>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2,355</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2,355</w:t>
            </w:r>
          </w:p>
        </w:tc>
        <w:tc>
          <w:tcPr>
            <w:tcW w:w="32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109"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Comprehensive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133"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13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Attributable to Noncontrolling Interest </w:t>
            </w:r>
          </w:p>
        </w:tc>
        <w:tc>
          <w:tcPr>
            <w:tcW w:w="109"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(194)</w:t>
            </w:r>
          </w:p>
        </w:tc>
        <w:tc>
          <w:tcPr>
            <w:tcW w:w="32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1,901</w:t>
            </w:r>
          </w:p>
        </w:tc>
        <w:tc>
          <w:tcPr>
            <w:tcW w:w="326"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573</w:t>
            </w:r>
          </w:p>
        </w:tc>
      </w:tr>
    </w:tbl>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9"/>
        </w:rPr>
      </w:pPr>
      <w:bookmarkStart w:id="273" w:name="_e4c5c98c_4e1d_4914_bee8_2a5aeb71a1ba"/>
      <w:bookmarkStart w:id="274" w:name="CONSOLIDATEDSTATEMENTSOFOPERATIONS_7649"/>
      <w:bookmarkEnd w:id="273"/>
      <w:bookmarkEnd w:id="274"/>
      <w:r>
        <w:rPr>
          <w:rFonts w:ascii="Times New Roman;Times;serif" w:hAnsi="Times New Roman;Times;serif"/>
          <w:sz w:val="19"/>
        </w:rPr>
        <w:t>ALPINE INCOME PROPERTY TRUST, INC.</w:t>
      </w:r>
    </w:p>
    <w:p>
      <w:pPr>
        <w:pStyle w:val="TextBody"/>
        <w:bidi w:val="0"/>
        <w:spacing w:before="0" w:after="0"/>
        <w:ind w:left="0" w:right="0" w:hanging="0"/>
        <w:jc w:val="center"/>
        <w:rPr>
          <w:rFonts w:ascii="Times New Roman;Times;serif" w:hAnsi="Times New Roman;Times;serif"/>
          <w:sz w:val="19"/>
        </w:rPr>
      </w:pPr>
      <w:bookmarkStart w:id="275" w:name="CONSOLIDATEDSTATEMENTSOFSHAREHOLDERSEQUI"/>
      <w:bookmarkEnd w:id="275"/>
      <w:r>
        <w:rPr>
          <w:rFonts w:ascii="Times New Roman;Times;serif" w:hAnsi="Times New Roman;Times;serif"/>
          <w:sz w:val="19"/>
        </w:rPr>
        <w:t>CONSOLIDATED STATEMENTS OF STOCKHOLDERS’ EQUITY</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 in thousands, except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2024:</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76" w:name="Tc_rMEGb8gmNUW8UFehQz52Yw_9_20"/>
      <w:bookmarkStart w:id="277" w:name="Tc_gYWIW1ollU2joJVj0Al8WA_9_17"/>
      <w:bookmarkStart w:id="278" w:name="Tc_ofTLY2e1Q0OWCFT2itfOMg_9_14"/>
      <w:bookmarkStart w:id="279" w:name="Tc_DtcMxRBhjEiT680PINrZRA_9_11"/>
      <w:bookmarkStart w:id="280" w:name="Tc_xFKokmMj60aw-T0AGn7Hfw_9_8"/>
      <w:bookmarkStart w:id="281" w:name="Tc_8zFWAveUhkSTtD9RqwyHag_9_5"/>
      <w:bookmarkStart w:id="282" w:name="Tc_Odi6La4YQ0u-qnRHFGB8zg_9_2"/>
      <w:bookmarkStart w:id="283" w:name="Tc_z5PACNglCEW3l054g21BXA_9_0"/>
      <w:bookmarkStart w:id="284" w:name="Tc_v8tnb3RTD0yJ3NpVez6Iaw_8_9"/>
      <w:bookmarkStart w:id="285" w:name="Tc_5OO1e-KCq02M6iZR-ormwQ_8_6"/>
      <w:bookmarkStart w:id="286" w:name="Tc_50I_oy0EeEOtjmtwsElSew_8_3"/>
      <w:bookmarkStart w:id="287" w:name="Tc_SMbEJhzn2E-I4AHmeSMrLA_8_0"/>
      <w:bookmarkStart w:id="288" w:name="Tc_y03Q3DzRlUGCXqSNQZ_ipA_7_12"/>
      <w:bookmarkStart w:id="289" w:name="Tc_6eIMCZ7QhkavcZkLk9Tqjg_7_6"/>
      <w:bookmarkStart w:id="290" w:name="Tc_qVziCuByQEiSgDpNWfSzZQ_7_3"/>
      <w:bookmarkStart w:id="291" w:name="Tc_ASeVTrYL7Eizw8-qe3PF6g_7_0"/>
      <w:bookmarkStart w:id="292" w:name="Tc_xbPW88UsyUejrg_M8KJ8fw_6_18"/>
      <w:bookmarkStart w:id="293" w:name="Tc_j-JWK5AEvE2I1dNcxF8hBg_6_12"/>
      <w:bookmarkStart w:id="294" w:name="Tc_IfdeDz6HtEeTnYYstfaLYQ_6_9"/>
      <w:bookmarkStart w:id="295" w:name="Tc_k1kFU27m2E6bksG-pgbtgg_6_3"/>
      <w:bookmarkStart w:id="296" w:name="Tc_Ez-KhWdqj0u6ExHcUELSqQ_6_0"/>
      <w:bookmarkStart w:id="297" w:name="Tc_8H2AHsUWkUm9HyVsgdOFCw_5_18"/>
      <w:bookmarkStart w:id="298" w:name="Tc_fSqDS0AqikqZjRPOYl--LQ_5_12"/>
      <w:bookmarkStart w:id="299" w:name="Tc__9q3MAmzMEmhDGi7EH4JXw_5_9"/>
      <w:bookmarkStart w:id="300" w:name="Tc_FNB6Ibil4U6Bg5JmMhGSnQ_5_3"/>
      <w:bookmarkStart w:id="301" w:name="Tc_TjuQfZkGRkSWg1tb54luSA_5_0"/>
      <w:bookmarkStart w:id="302" w:name="Tc_57-OScNIs0qr9uBqeATZMQ_4_18"/>
      <w:bookmarkStart w:id="303" w:name="Tc_4MoSC_QYZkGO7lpqE0YNig_4_12"/>
      <w:bookmarkStart w:id="304" w:name="Tc_rZypS7tjik-jKHPmCbV1SA_4_9"/>
      <w:bookmarkStart w:id="305" w:name="Tc_Q_2cEZ9bo02vhsq6Y6c27Q_4_0"/>
      <w:bookmarkStart w:id="306" w:name="Tc_Q5v6OD1Db0CcXAtAYTwZIw_3_12"/>
      <w:bookmarkStart w:id="307" w:name="Tc_YdL-uHCXKEGwk1GkQM5HcA_3_6"/>
      <w:bookmarkStart w:id="308" w:name="Tc_vSzsvpH0lU6VPcAtsjTlDg_3_3"/>
      <w:bookmarkStart w:id="309" w:name="Tc_72EnT5AvOEq5dWmzL39kMw_3_0"/>
      <w:bookmarkStart w:id="310" w:name="Tc_4BpZ1FhCA0mEX7xaZZJrHQ_2_20"/>
      <w:bookmarkStart w:id="311" w:name="Tc_caF41nnrqEmS5aWVL-PkyA_2_17"/>
      <w:bookmarkStart w:id="312" w:name="Tc_rNm06kP5hEqkUvM9D0VaJA_2_14"/>
      <w:bookmarkStart w:id="313" w:name="Tc_0zSZkC23eEmmpJ_RvuI-xA_2_11"/>
      <w:bookmarkStart w:id="314" w:name="Tc_6S28CLQyAUOiFy1h2_xWIQ_2_8"/>
      <w:bookmarkStart w:id="315" w:name="Tc_nsh3gpXbnkyNL0UkopuD1w_2_5"/>
      <w:bookmarkStart w:id="316" w:name="Tc_1x5jgQxQw0Glr5kKxiry2w_2_2"/>
      <w:bookmarkStart w:id="317" w:name="Tc_-E35WG9zoUiANJ9YdKS3rw_2_0"/>
      <w:bookmarkStart w:id="318" w:name="Tc_29ayV5TW3kqCbxXidkaZ3w_1_20"/>
      <w:bookmarkStart w:id="319" w:name="Tc_ny8h2EZi2kigvnIVT4HV5Q_1_17"/>
      <w:bookmarkStart w:id="320" w:name="Tc_o5NocapQjUWOuj0lSiZyiw_1_14"/>
      <w:bookmarkStart w:id="321" w:name="Tc_X1BOQRKtmkezKnjzW1Pc4w_1_11"/>
      <w:bookmarkStart w:id="322" w:name="Tc_OsOL29wWw0Wmpg1CRc_G0A_1_8"/>
      <w:bookmarkStart w:id="323" w:name="Tc_1GiMd1zEQECVPu48-tHnMQ_1_5"/>
      <w:bookmarkStart w:id="324" w:name="Tc_YgDQpwpUwUWGLBAINnGsrg_1_2"/>
      <w:bookmarkStart w:id="325" w:name="_fad1320e_d93d_4b51_b3df_b37b4a471fac"/>
      <w:bookmarkStart w:id="326" w:name="Tc_rMEGb8gmNUW8UFehQz52Yw_9_20"/>
      <w:bookmarkStart w:id="327" w:name="Tc_gYWIW1ollU2joJVj0Al8WA_9_17"/>
      <w:bookmarkStart w:id="328" w:name="Tc_ofTLY2e1Q0OWCFT2itfOMg_9_14"/>
      <w:bookmarkStart w:id="329" w:name="Tc_DtcMxRBhjEiT680PINrZRA_9_11"/>
      <w:bookmarkStart w:id="330" w:name="Tc_xFKokmMj60aw-T0AGn7Hfw_9_8"/>
      <w:bookmarkStart w:id="331" w:name="Tc_8zFWAveUhkSTtD9RqwyHag_9_5"/>
      <w:bookmarkStart w:id="332" w:name="Tc_Odi6La4YQ0u-qnRHFGB8zg_9_2"/>
      <w:bookmarkStart w:id="333" w:name="Tc_z5PACNglCEW3l054g21BXA_9_0"/>
      <w:bookmarkStart w:id="334" w:name="Tc_v8tnb3RTD0yJ3NpVez6Iaw_8_9"/>
      <w:bookmarkStart w:id="335" w:name="Tc_5OO1e-KCq02M6iZR-ormwQ_8_6"/>
      <w:bookmarkStart w:id="336" w:name="Tc_50I_oy0EeEOtjmtwsElSew_8_3"/>
      <w:bookmarkStart w:id="337" w:name="Tc_SMbEJhzn2E-I4AHmeSMrLA_8_0"/>
      <w:bookmarkStart w:id="338" w:name="Tc_y03Q3DzRlUGCXqSNQZ_ipA_7_12"/>
      <w:bookmarkStart w:id="339" w:name="Tc_6eIMCZ7QhkavcZkLk9Tqjg_7_6"/>
      <w:bookmarkStart w:id="340" w:name="Tc_qVziCuByQEiSgDpNWfSzZQ_7_3"/>
      <w:bookmarkStart w:id="341" w:name="Tc_ASeVTrYL7Eizw8-qe3PF6g_7_0"/>
      <w:bookmarkStart w:id="342" w:name="Tc_xbPW88UsyUejrg_M8KJ8fw_6_18"/>
      <w:bookmarkStart w:id="343" w:name="Tc_j-JWK5AEvE2I1dNcxF8hBg_6_12"/>
      <w:bookmarkStart w:id="344" w:name="Tc_IfdeDz6HtEeTnYYstfaLYQ_6_9"/>
      <w:bookmarkStart w:id="345" w:name="Tc_k1kFU27m2E6bksG-pgbtgg_6_3"/>
      <w:bookmarkStart w:id="346" w:name="Tc_Ez-KhWdqj0u6ExHcUELSqQ_6_0"/>
      <w:bookmarkStart w:id="347" w:name="Tc_8H2AHsUWkUm9HyVsgdOFCw_5_18"/>
      <w:bookmarkStart w:id="348" w:name="Tc_fSqDS0AqikqZjRPOYl--LQ_5_12"/>
      <w:bookmarkStart w:id="349" w:name="Tc__9q3MAmzMEmhDGi7EH4JXw_5_9"/>
      <w:bookmarkStart w:id="350" w:name="Tc_FNB6Ibil4U6Bg5JmMhGSnQ_5_3"/>
      <w:bookmarkStart w:id="351" w:name="Tc_TjuQfZkGRkSWg1tb54luSA_5_0"/>
      <w:bookmarkStart w:id="352" w:name="Tc_57-OScNIs0qr9uBqeATZMQ_4_18"/>
      <w:bookmarkStart w:id="353" w:name="Tc_4MoSC_QYZkGO7lpqE0YNig_4_12"/>
      <w:bookmarkStart w:id="354" w:name="Tc_rZypS7tjik-jKHPmCbV1SA_4_9"/>
      <w:bookmarkStart w:id="355" w:name="Tc_Q_2cEZ9bo02vhsq6Y6c27Q_4_0"/>
      <w:bookmarkStart w:id="356" w:name="Tc_Q5v6OD1Db0CcXAtAYTwZIw_3_12"/>
      <w:bookmarkStart w:id="357" w:name="Tc_YdL-uHCXKEGwk1GkQM5HcA_3_6"/>
      <w:bookmarkStart w:id="358" w:name="Tc_vSzsvpH0lU6VPcAtsjTlDg_3_3"/>
      <w:bookmarkStart w:id="359" w:name="Tc_72EnT5AvOEq5dWmzL39kMw_3_0"/>
      <w:bookmarkStart w:id="360" w:name="Tc_4BpZ1FhCA0mEX7xaZZJrHQ_2_20"/>
      <w:bookmarkStart w:id="361" w:name="Tc_caF41nnrqEmS5aWVL-PkyA_2_17"/>
      <w:bookmarkStart w:id="362" w:name="Tc_rNm06kP5hEqkUvM9D0VaJA_2_14"/>
      <w:bookmarkStart w:id="363" w:name="Tc_0zSZkC23eEmmpJ_RvuI-xA_2_11"/>
      <w:bookmarkStart w:id="364" w:name="Tc_6S28CLQyAUOiFy1h2_xWIQ_2_8"/>
      <w:bookmarkStart w:id="365" w:name="Tc_nsh3gpXbnkyNL0UkopuD1w_2_5"/>
      <w:bookmarkStart w:id="366" w:name="Tc_1x5jgQxQw0Glr5kKxiry2w_2_2"/>
      <w:bookmarkStart w:id="367" w:name="Tc_-E35WG9zoUiANJ9YdKS3rw_2_0"/>
      <w:bookmarkStart w:id="368" w:name="Tc_29ayV5TW3kqCbxXidkaZ3w_1_20"/>
      <w:bookmarkStart w:id="369" w:name="Tc_ny8h2EZi2kigvnIVT4HV5Q_1_17"/>
      <w:bookmarkStart w:id="370" w:name="Tc_o5NocapQjUWOuj0lSiZyiw_1_14"/>
      <w:bookmarkStart w:id="371" w:name="Tc_X1BOQRKtmkezKnjzW1Pc4w_1_11"/>
      <w:bookmarkStart w:id="372" w:name="Tc_OsOL29wWw0Wmpg1CRc_G0A_1_8"/>
      <w:bookmarkStart w:id="373" w:name="Tc_1GiMd1zEQECVPu48-tHnMQ_1_5"/>
      <w:bookmarkStart w:id="374" w:name="Tc_YgDQpwpUwUWGLBAINnGsrg_1_2"/>
      <w:bookmarkStart w:id="375" w:name="_fad1320e_d93d_4b51_b3df_b37b4a471fac"/>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tbl>
      <w:tblPr>
        <w:tblW w:w="10511" w:type="dxa"/>
        <w:jc w:val="left"/>
        <w:tblInd w:w="0" w:type="dxa"/>
        <w:tblLayout w:type="fixed"/>
        <w:tblCellMar>
          <w:top w:w="0" w:type="dxa"/>
          <w:left w:w="0" w:type="dxa"/>
          <w:bottom w:w="0" w:type="dxa"/>
          <w:right w:w="0" w:type="dxa"/>
        </w:tblCellMar>
      </w:tblPr>
      <w:tblGrid>
        <w:gridCol w:w="1231"/>
        <w:gridCol w:w="326"/>
        <w:gridCol w:w="283"/>
        <w:gridCol w:w="543"/>
        <w:gridCol w:w="266"/>
        <w:gridCol w:w="205"/>
        <w:gridCol w:w="726"/>
        <w:gridCol w:w="266"/>
        <w:gridCol w:w="226"/>
        <w:gridCol w:w="660"/>
        <w:gridCol w:w="266"/>
        <w:gridCol w:w="321"/>
        <w:gridCol w:w="985"/>
        <w:gridCol w:w="266"/>
        <w:gridCol w:w="255"/>
        <w:gridCol w:w="901"/>
        <w:gridCol w:w="266"/>
        <w:gridCol w:w="310"/>
        <w:gridCol w:w="951"/>
        <w:gridCol w:w="266"/>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1685" cy="175260"/>
                      <wp:effectExtent l="0" t="0" r="0" b="0"/>
                      <wp:wrapNone/>
                      <wp:docPr id="19" name="Frame19"/>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79705" cy="175260"/>
                      <wp:effectExtent l="0" t="0" r="0" b="0"/>
                      <wp:wrapNone/>
                      <wp:docPr id="21" name="Frame21"/>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44805" cy="175260"/>
                      <wp:effectExtent l="0" t="0" r="0" b="0"/>
                      <wp:wrapNone/>
                      <wp:docPr id="22" name="Frame2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8910" cy="175260"/>
                      <wp:effectExtent l="0" t="0" r="0" b="0"/>
                      <wp:wrapNone/>
                      <wp:docPr id="23" name="Frame2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0175" cy="175260"/>
                      <wp:effectExtent l="0" t="0" r="0" b="0"/>
                      <wp:wrapNone/>
                      <wp:docPr id="24" name="Frame24"/>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61010" cy="175260"/>
                      <wp:effectExtent l="0" t="0" r="0" b="0"/>
                      <wp:wrapNone/>
                      <wp:docPr id="25" name="Frame25"/>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68910" cy="175260"/>
                      <wp:effectExtent l="0" t="0" r="0" b="0"/>
                      <wp:wrapNone/>
                      <wp:docPr id="26" name="Frame2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3510" cy="175260"/>
                      <wp:effectExtent l="0" t="0" r="0" b="0"/>
                      <wp:wrapNone/>
                      <wp:docPr id="27"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19100" cy="175260"/>
                      <wp:effectExtent l="0" t="0" r="0" b="0"/>
                      <wp:wrapNone/>
                      <wp:docPr id="28" name="Frame28"/>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8910" cy="175260"/>
                      <wp:effectExtent l="0" t="0" r="0" b="0"/>
                      <wp:wrapNone/>
                      <wp:docPr id="29" name="Frame2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3835" cy="175260"/>
                      <wp:effectExtent l="0" t="0" r="0" b="0"/>
                      <wp:wrapNone/>
                      <wp:docPr id="30" name="Frame3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25475" cy="175260"/>
                      <wp:effectExtent l="0" t="0" r="0" b="0"/>
                      <wp:wrapNone/>
                      <wp:docPr id="31" name="Frame3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8910" cy="175260"/>
                      <wp:effectExtent l="0" t="0" r="0" b="0"/>
                      <wp:wrapNone/>
                      <wp:docPr id="32" name="Frame3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1925" cy="175260"/>
                      <wp:effectExtent l="0" t="0" r="0" b="0"/>
                      <wp:wrapNone/>
                      <wp:docPr id="33" name="Frame3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72135" cy="175260"/>
                      <wp:effectExtent l="0" t="0" r="0" b="0"/>
                      <wp:wrapNone/>
                      <wp:docPr id="34" name="Frame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8910" cy="175260"/>
                      <wp:effectExtent l="0" t="0" r="0" b="0"/>
                      <wp:wrapNone/>
                      <wp:docPr id="35" name="Frame3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96850" cy="175260"/>
                      <wp:effectExtent l="0" t="0" r="0" b="0"/>
                      <wp:wrapNone/>
                      <wp:docPr id="36" name="Frame3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03885" cy="175260"/>
                      <wp:effectExtent l="0" t="0" r="0" b="0"/>
                      <wp:wrapNone/>
                      <wp:docPr id="37" name="Frame37"/>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8910" cy="175260"/>
                      <wp:effectExtent l="0" t="0" r="0" b="0"/>
                      <wp:wrapNone/>
                      <wp:docPr id="38" name="Frame3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5460" cy="175260"/>
                      <wp:effectExtent l="0" t="0" r="0" b="0"/>
                      <wp:wrapNone/>
                      <wp:docPr id="40" name="Frame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66" w:type="dxa"/>
            <w:tcBorders/>
            <w:vAlign w:val="center"/>
          </w:tcPr>
          <w:p>
            <w:pPr>
              <w:pStyle w:val="TableContents"/>
              <w:bidi w:val="0"/>
              <w:spacing w:before="0" w:after="0"/>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66" w:type="dxa"/>
            <w:tcBorders/>
            <w:vAlign w:val="center"/>
          </w:tcPr>
          <w:p>
            <w:pPr>
              <w:pStyle w:val="TableContents"/>
              <w:bidi w:val="0"/>
              <w:spacing w:before="0" w:after="0"/>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66" w:type="dxa"/>
            <w:tcBorders/>
            <w:vAlign w:val="center"/>
          </w:tcPr>
          <w:p>
            <w:pPr>
              <w:pStyle w:val="TableContents"/>
              <w:bidi w:val="0"/>
              <w:spacing w:before="0" w:after="0"/>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66" w:type="dxa"/>
            <w:tcBorders/>
            <w:vAlign w:val="center"/>
          </w:tcPr>
          <w:p>
            <w:pPr>
              <w:pStyle w:val="TableContents"/>
              <w:bidi w:val="0"/>
              <w:spacing w:before="0" w:after="0"/>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6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6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243,690</w:t>
            </w:r>
          </w:p>
        </w:tc>
        <w:tc>
          <w:tcPr>
            <w:tcW w:w="2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(2,359)</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9,275</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250,743</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24,870</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275,613</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26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Repurchases</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w:t>
            </w:r>
          </w:p>
        </w:tc>
        <w:tc>
          <w:tcPr>
            <w:tcW w:w="2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2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Equity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2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($0.275 per share)</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(3,745)</w:t>
            </w:r>
          </w:p>
        </w:tc>
        <w:tc>
          <w:tcPr>
            <w:tcW w:w="26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(3,745)</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(4,082)</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2,161</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2,161</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March 31, 2024</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26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242,944</w:t>
            </w:r>
          </w:p>
        </w:tc>
        <w:tc>
          <w:tcPr>
            <w:tcW w:w="26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(6,364)</w:t>
            </w:r>
          </w:p>
        </w:tc>
        <w:tc>
          <w:tcPr>
            <w:tcW w:w="266" w:type="dxa"/>
            <w:tcBorders/>
            <w:vAlign w:val="center"/>
          </w:tcPr>
          <w:p>
            <w:pPr>
              <w:pStyle w:val="TableContents"/>
              <w:bidi w:val="0"/>
              <w:spacing w:before="0" w:after="0"/>
              <w:ind w:left="0" w:right="0" w:hanging="0"/>
              <w:jc w:val="righ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11,436</w:t>
            </w:r>
          </w:p>
        </w:tc>
        <w:tc>
          <w:tcPr>
            <w:tcW w:w="26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248,152</w:t>
            </w:r>
          </w:p>
        </w:tc>
        <w:tc>
          <w:tcPr>
            <w:tcW w:w="26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24,704</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272,856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2023:</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6" w:name="Tc_0HXnTezAaE-BlS_k_uwxaw_8_20"/>
      <w:bookmarkStart w:id="377" w:name="Tc_qaDEfocgzU-ZUuvFsI8o8g_8_17"/>
      <w:bookmarkStart w:id="378" w:name="Tc_TBENA-8ReEauLuVh9h2Isw_8_14"/>
      <w:bookmarkStart w:id="379" w:name="Tc_ItRo7a7PEEOoWG5z97hBkA_8_11"/>
      <w:bookmarkStart w:id="380" w:name="Tc_4mMT56UFyUepav5zovsS1A_8_8"/>
      <w:bookmarkStart w:id="381" w:name="Tc_QqD5lldQUUugmMMDgbZonA_8_5"/>
      <w:bookmarkStart w:id="382" w:name="Tc_syQSrZHkdUyeFClLvKS04A_8_2"/>
      <w:bookmarkStart w:id="383" w:name="Tc_U0McoHzSKkG_3nlE--LquQ_8_0"/>
      <w:bookmarkStart w:id="384" w:name="Tc_RWHfNyZg5UGftmK3OLGQ-Q_7_18"/>
      <w:bookmarkStart w:id="385" w:name="Tc_CHbEjwYqpk2-PNrEupormg_7_9"/>
      <w:bookmarkStart w:id="386" w:name="Tc_PxeJEFYCVkCS7UnwELCWFw_7_6"/>
      <w:bookmarkStart w:id="387" w:name="Tc_jvfIVogN2Em6aWb80CUvyA_7_3"/>
      <w:bookmarkStart w:id="388" w:name="Tc_5SMK24CWLUWRhBcTxtMIjQ_7_0"/>
      <w:bookmarkStart w:id="389" w:name="Tc_U66Yof_5mEObVokGZjd1Bw_6_12"/>
      <w:bookmarkStart w:id="390" w:name="Tc_WFbsa3sATUqGUyZYVaB6UQ_6_6"/>
      <w:bookmarkStart w:id="391" w:name="Tc_8K86-qdxvkacafwdH35dSw_6_3"/>
      <w:bookmarkStart w:id="392" w:name="Tc_9xRj7gn_mUue-r50qUOeUw_6_0"/>
      <w:bookmarkStart w:id="393" w:name="Tc_4dNCE__NAEa5y-kRoMT63w_5_18"/>
      <w:bookmarkStart w:id="394" w:name="Tc_2jt6IE_Heki6rzGeUoTPpQ_5_12"/>
      <w:bookmarkStart w:id="395" w:name="Tc_mTyLGYJAJEGmngXwb1peVw_5_9"/>
      <w:bookmarkStart w:id="396" w:name="Tc_BVcI9lTcJUSN7y0nzrv_nQ_5_0"/>
      <w:bookmarkStart w:id="397" w:name="Tc_87t2YGHpWk2bNoVRTiTUJA_4_18"/>
      <w:bookmarkStart w:id="398" w:name="Tc_s4gTIrHkf0Wh6v2SpMZ4xQ_4_12"/>
      <w:bookmarkStart w:id="399" w:name="Tc_RHDyLE1WMEqEiWnIle9itQ_4_9"/>
      <w:bookmarkStart w:id="400" w:name="Tc_0QARQP8ylUmvT82feXtPvA_4_3"/>
      <w:bookmarkStart w:id="401" w:name="Tc_8xsAl_FUPUeeczh1zjlyMg_4_0"/>
      <w:bookmarkStart w:id="402" w:name="Tc_GEDj5FEKBUaKwEGuGquUUg_3_12"/>
      <w:bookmarkStart w:id="403" w:name="Tc_IzKyCkPzQ02vvuF6HrM6Rw_3_6"/>
      <w:bookmarkStart w:id="404" w:name="Tc_Fwt8m6ZTjEeRBxBvGIeTqQ_3_3"/>
      <w:bookmarkStart w:id="405" w:name="Tc_FohOf7Aia0yxavp8A_3K5Q_3_0"/>
      <w:bookmarkStart w:id="406" w:name="Tc_LHAFG7hs_Uq9Ni-n6TUonw_2_20"/>
      <w:bookmarkStart w:id="407" w:name="Tc_-21VPH6D8UyyfsmgeHutfA_2_17"/>
      <w:bookmarkStart w:id="408" w:name="Tc_w0ZlB_1Rf0igioCoCohsNg_2_14"/>
      <w:bookmarkStart w:id="409" w:name="Tc_fyLGHJOobEKSbyD251zYMQ_2_11"/>
      <w:bookmarkStart w:id="410" w:name="Tc__T5OW-NjQU6Ers8hxR3qDQ_2_8"/>
      <w:bookmarkStart w:id="411" w:name="Tc_ZgZMZ4_E_UanAxEGTFFUbw_2_5"/>
      <w:bookmarkStart w:id="412" w:name="Tc_idJuAPiIZUGR4UJR0g0vBg_2_2"/>
      <w:bookmarkStart w:id="413" w:name="Tc_QS0mrzdVVE-zotdJwXL4vQ_2_0"/>
      <w:bookmarkStart w:id="414" w:name="Tc_Zza-z6WdpkudgFUc06J0zQ_1_20"/>
      <w:bookmarkStart w:id="415" w:name="Tc_C-KMxXb1V0u5Wv9VMTbW4w_1_17"/>
      <w:bookmarkStart w:id="416" w:name="Tc_kx_eTiTz90qyJSKtZYa9mQ_1_14"/>
      <w:bookmarkStart w:id="417" w:name="Tc_k_ald1Fzd0iqcgOmiYQZ8g_1_11"/>
      <w:bookmarkStart w:id="418" w:name="Tc_rh5zJEVBU06SqAfgLoequg_1_8"/>
      <w:bookmarkStart w:id="419" w:name="Tc_4BuEPlT4DEesI1iDLdgMMw_1_5"/>
      <w:bookmarkStart w:id="420" w:name="Tc_xsHCFa7oe0moKGLyA1lehQ_1_2"/>
      <w:bookmarkStart w:id="421" w:name="_e2482f0a_c2f6_4f0c_be9f_e9b84d2541eb"/>
      <w:bookmarkStart w:id="422" w:name="Tc_0HXnTezAaE-BlS_k_uwxaw_8_20"/>
      <w:bookmarkStart w:id="423" w:name="Tc_qaDEfocgzU-ZUuvFsI8o8g_8_17"/>
      <w:bookmarkStart w:id="424" w:name="Tc_TBENA-8ReEauLuVh9h2Isw_8_14"/>
      <w:bookmarkStart w:id="425" w:name="Tc_ItRo7a7PEEOoWG5z97hBkA_8_11"/>
      <w:bookmarkStart w:id="426" w:name="Tc_4mMT56UFyUepav5zovsS1A_8_8"/>
      <w:bookmarkStart w:id="427" w:name="Tc_QqD5lldQUUugmMMDgbZonA_8_5"/>
      <w:bookmarkStart w:id="428" w:name="Tc_syQSrZHkdUyeFClLvKS04A_8_2"/>
      <w:bookmarkStart w:id="429" w:name="Tc_U0McoHzSKkG_3nlE--LquQ_8_0"/>
      <w:bookmarkStart w:id="430" w:name="Tc_RWHfNyZg5UGftmK3OLGQ-Q_7_18"/>
      <w:bookmarkStart w:id="431" w:name="Tc_CHbEjwYqpk2-PNrEupormg_7_9"/>
      <w:bookmarkStart w:id="432" w:name="Tc_PxeJEFYCVkCS7UnwELCWFw_7_6"/>
      <w:bookmarkStart w:id="433" w:name="Tc_jvfIVogN2Em6aWb80CUvyA_7_3"/>
      <w:bookmarkStart w:id="434" w:name="Tc_5SMK24CWLUWRhBcTxtMIjQ_7_0"/>
      <w:bookmarkStart w:id="435" w:name="Tc_U66Yof_5mEObVokGZjd1Bw_6_12"/>
      <w:bookmarkStart w:id="436" w:name="Tc_WFbsa3sATUqGUyZYVaB6UQ_6_6"/>
      <w:bookmarkStart w:id="437" w:name="Tc_8K86-qdxvkacafwdH35dSw_6_3"/>
      <w:bookmarkStart w:id="438" w:name="Tc_9xRj7gn_mUue-r50qUOeUw_6_0"/>
      <w:bookmarkStart w:id="439" w:name="Tc_4dNCE__NAEa5y-kRoMT63w_5_18"/>
      <w:bookmarkStart w:id="440" w:name="Tc_2jt6IE_Heki6rzGeUoTPpQ_5_12"/>
      <w:bookmarkStart w:id="441" w:name="Tc_mTyLGYJAJEGmngXwb1peVw_5_9"/>
      <w:bookmarkStart w:id="442" w:name="Tc_BVcI9lTcJUSN7y0nzrv_nQ_5_0"/>
      <w:bookmarkStart w:id="443" w:name="Tc_87t2YGHpWk2bNoVRTiTUJA_4_18"/>
      <w:bookmarkStart w:id="444" w:name="Tc_s4gTIrHkf0Wh6v2SpMZ4xQ_4_12"/>
      <w:bookmarkStart w:id="445" w:name="Tc_RHDyLE1WMEqEiWnIle9itQ_4_9"/>
      <w:bookmarkStart w:id="446" w:name="Tc_0QARQP8ylUmvT82feXtPvA_4_3"/>
      <w:bookmarkStart w:id="447" w:name="Tc_8xsAl_FUPUeeczh1zjlyMg_4_0"/>
      <w:bookmarkStart w:id="448" w:name="Tc_GEDj5FEKBUaKwEGuGquUUg_3_12"/>
      <w:bookmarkStart w:id="449" w:name="Tc_IzKyCkPzQ02vvuF6HrM6Rw_3_6"/>
      <w:bookmarkStart w:id="450" w:name="Tc_Fwt8m6ZTjEeRBxBvGIeTqQ_3_3"/>
      <w:bookmarkStart w:id="451" w:name="Tc_FohOf7Aia0yxavp8A_3K5Q_3_0"/>
      <w:bookmarkStart w:id="452" w:name="Tc_LHAFG7hs_Uq9Ni-n6TUonw_2_20"/>
      <w:bookmarkStart w:id="453" w:name="Tc_-21VPH6D8UyyfsmgeHutfA_2_17"/>
      <w:bookmarkStart w:id="454" w:name="Tc_w0ZlB_1Rf0igioCoCohsNg_2_14"/>
      <w:bookmarkStart w:id="455" w:name="Tc_fyLGHJOobEKSbyD251zYMQ_2_11"/>
      <w:bookmarkStart w:id="456" w:name="Tc__T5OW-NjQU6Ers8hxR3qDQ_2_8"/>
      <w:bookmarkStart w:id="457" w:name="Tc_ZgZMZ4_E_UanAxEGTFFUbw_2_5"/>
      <w:bookmarkStart w:id="458" w:name="Tc_idJuAPiIZUGR4UJR0g0vBg_2_2"/>
      <w:bookmarkStart w:id="459" w:name="Tc_QS0mrzdVVE-zotdJwXL4vQ_2_0"/>
      <w:bookmarkStart w:id="460" w:name="Tc_Zza-z6WdpkudgFUc06J0zQ_1_20"/>
      <w:bookmarkStart w:id="461" w:name="Tc_C-KMxXb1V0u5Wv9VMTbW4w_1_17"/>
      <w:bookmarkStart w:id="462" w:name="Tc_kx_eTiTz90qyJSKtZYa9mQ_1_14"/>
      <w:bookmarkStart w:id="463" w:name="Tc_k_ald1Fzd0iqcgOmiYQZ8g_1_11"/>
      <w:bookmarkStart w:id="464" w:name="Tc_rh5zJEVBU06SqAfgLoequg_1_8"/>
      <w:bookmarkStart w:id="465" w:name="Tc_4BuEPlT4DEesI1iDLdgMMw_1_5"/>
      <w:bookmarkStart w:id="466" w:name="Tc_xsHCFa7oe0moKGLyA1lehQ_1_2"/>
      <w:bookmarkStart w:id="467" w:name="_e2482f0a_c2f6_4f0c_be9f_e9b84d2541eb"/>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tbl>
      <w:tblPr>
        <w:tblW w:w="10436" w:type="dxa"/>
        <w:jc w:val="left"/>
        <w:tblInd w:w="0" w:type="dxa"/>
        <w:tblLayout w:type="fixed"/>
        <w:tblCellMar>
          <w:top w:w="0" w:type="dxa"/>
          <w:left w:w="0" w:type="dxa"/>
          <w:bottom w:w="0" w:type="dxa"/>
          <w:right w:w="0" w:type="dxa"/>
        </w:tblCellMar>
      </w:tblPr>
      <w:tblGrid>
        <w:gridCol w:w="1231"/>
        <w:gridCol w:w="326"/>
        <w:gridCol w:w="283"/>
        <w:gridCol w:w="543"/>
        <w:gridCol w:w="266"/>
        <w:gridCol w:w="205"/>
        <w:gridCol w:w="726"/>
        <w:gridCol w:w="266"/>
        <w:gridCol w:w="196"/>
        <w:gridCol w:w="615"/>
        <w:gridCol w:w="266"/>
        <w:gridCol w:w="321"/>
        <w:gridCol w:w="985"/>
        <w:gridCol w:w="266"/>
        <w:gridCol w:w="255"/>
        <w:gridCol w:w="901"/>
        <w:gridCol w:w="266"/>
        <w:gridCol w:w="310"/>
        <w:gridCol w:w="951"/>
        <w:gridCol w:w="266"/>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81685" cy="175260"/>
                      <wp:effectExtent l="0" t="0" r="0" b="0"/>
                      <wp:wrapNone/>
                      <wp:docPr id="41" name="Frame4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79705" cy="175260"/>
                      <wp:effectExtent l="0" t="0" r="0" b="0"/>
                      <wp:wrapNone/>
                      <wp:docPr id="43" name="Frame4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44805" cy="175260"/>
                      <wp:effectExtent l="0" t="0" r="0" b="0"/>
                      <wp:wrapNone/>
                      <wp:docPr id="44" name="Frame4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8910" cy="175260"/>
                      <wp:effectExtent l="0" t="0" r="0" b="0"/>
                      <wp:wrapNone/>
                      <wp:docPr id="45" name="Frame4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175" cy="175260"/>
                      <wp:effectExtent l="0" t="0" r="0" b="0"/>
                      <wp:wrapNone/>
                      <wp:docPr id="46" name="Frame46"/>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61010" cy="175260"/>
                      <wp:effectExtent l="0" t="0" r="0" b="0"/>
                      <wp:wrapNone/>
                      <wp:docPr id="47" name="Frame47"/>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8910" cy="175260"/>
                      <wp:effectExtent l="0" t="0" r="0" b="0"/>
                      <wp:wrapNone/>
                      <wp:docPr id="48" name="Frame4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90525" cy="175260"/>
                      <wp:effectExtent l="0" t="0" r="0" b="0"/>
                      <wp:wrapNone/>
                      <wp:docPr id="50" name="Frame50"/>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8910" cy="175260"/>
                      <wp:effectExtent l="0" t="0" r="0" b="0"/>
                      <wp:wrapNone/>
                      <wp:docPr id="51" name="Frame5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3835" cy="175260"/>
                      <wp:effectExtent l="0" t="0" r="0" b="0"/>
                      <wp:wrapNone/>
                      <wp:docPr id="52" name="Frame52"/>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25475" cy="175260"/>
                      <wp:effectExtent l="0" t="0" r="0" b="0"/>
                      <wp:wrapNone/>
                      <wp:docPr id="53" name="Frame53"/>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68910" cy="175260"/>
                      <wp:effectExtent l="0" t="0" r="0" b="0"/>
                      <wp:wrapNone/>
                      <wp:docPr id="54" name="Frame5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1925" cy="175260"/>
                      <wp:effectExtent l="0" t="0" r="0" b="0"/>
                      <wp:wrapNone/>
                      <wp:docPr id="55" name="Frame5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2135" cy="175260"/>
                      <wp:effectExtent l="0" t="0" r="0" b="0"/>
                      <wp:wrapNone/>
                      <wp:docPr id="56" name="Frame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8910" cy="175260"/>
                      <wp:effectExtent l="0" t="0" r="0" b="0"/>
                      <wp:wrapNone/>
                      <wp:docPr id="57" name="Frame5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96850" cy="175260"/>
                      <wp:effectExtent l="0" t="0" r="0" b="0"/>
                      <wp:wrapNone/>
                      <wp:docPr id="58" name="Frame5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03885" cy="175260"/>
                      <wp:effectExtent l="0" t="0" r="0" b="0"/>
                      <wp:wrapNone/>
                      <wp:docPr id="59" name="Frame59"/>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8910" cy="175260"/>
                      <wp:effectExtent l="0" t="0" r="0" b="0"/>
                      <wp:wrapNone/>
                      <wp:docPr id="60" name="Frame6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5460" cy="175260"/>
                      <wp:effectExtent l="0" t="0" r="0" b="0"/>
                      <wp:wrapNone/>
                      <wp:docPr id="62" name="Frame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6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66" w:type="dxa"/>
            <w:tcBorders/>
            <w:vAlign w:val="center"/>
          </w:tcPr>
          <w:p>
            <w:pPr>
              <w:pStyle w:val="TableContents"/>
              <w:bidi w:val="0"/>
              <w:spacing w:before="0" w:after="1"/>
              <w:ind w:left="0" w:right="0" w:hanging="0"/>
              <w:jc w:val="center"/>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 Earnings</w:t>
            </w:r>
          </w:p>
        </w:tc>
        <w:tc>
          <w:tcPr>
            <w:tcW w:w="26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6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6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6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January 1, 2023</w:t>
            </w:r>
          </w:p>
        </w:tc>
        <w:tc>
          <w:tcPr>
            <w:tcW w:w="326" w:type="dxa"/>
            <w:tcBorders/>
            <w:shd w:fill="CCEEFF" w:val="clear"/>
            <w:vAlign w:val="center"/>
          </w:tcPr>
          <w:p>
            <w:pPr>
              <w:pStyle w:val="TableContents"/>
              <w:bidi w:val="0"/>
              <w:spacing w:before="0" w:after="1"/>
              <w:ind w:left="0" w:right="0" w:hanging="0"/>
              <w:jc w:val="center"/>
              <w:rPr/>
            </w:pPr>
            <w:r>
              <w:rPr/>
              <w:t>    </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236,841</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10,042</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14,601</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261,618</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33,757</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295,375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3,339</w:t>
            </w:r>
          </w:p>
        </w:tc>
        <w:tc>
          <w:tcPr>
            <w:tcW w:w="266" w:type="dxa"/>
            <w:tcBorders/>
            <w:vAlign w:val="center"/>
          </w:tcPr>
          <w:p>
            <w:pPr>
              <w:pStyle w:val="TableContents"/>
              <w:bidi w:val="0"/>
              <w:spacing w:before="0" w:after="1"/>
              <w:ind w:left="0" w:right="0" w:hanging="0"/>
              <w:jc w:val="righ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3,339</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3,745</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12,381</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12,388</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12,388</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($0.275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(3,867)</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(3,867)</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(2,766)</w:t>
            </w:r>
          </w:p>
        </w:tc>
        <w:tc>
          <w:tcPr>
            <w:tcW w:w="26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(2,766)</w:t>
            </w:r>
          </w:p>
        </w:tc>
        <w:tc>
          <w:tcPr>
            <w:tcW w:w="26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249,288</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9,514</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11,835</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270,778</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33,694</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304,472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accompanying notes are an integral part of these consolidated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468" w:name="_c72e2d90_4c8e_478a_bdd3_635b28a645a5"/>
      <w:bookmarkEnd w:id="468"/>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469" w:name="CONSOLIDATEDSTATEMENTSOFCASHFLOWS_91955"/>
      <w:bookmarkEnd w:id="469"/>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70" w:name="Tc_iEfoGX6MekCjqy8Eq4n_zg_41_5"/>
      <w:bookmarkStart w:id="471" w:name="Tc_ktRHYsuCz0SWlF3B5fMKJA_41_2"/>
      <w:bookmarkStart w:id="472" w:name="Tc_2o3w9ZFx1UGjuNgKBM9QnQ_41_0"/>
      <w:bookmarkStart w:id="473" w:name="Tc_aoDArCmplUyEE_piGpzY0g_40_0"/>
      <w:bookmarkStart w:id="474" w:name="Tc_75l6JxGHMEKrCqIGz7c7bA_39_5"/>
      <w:bookmarkStart w:id="475" w:name="Tc_-DOqIm6vk0aoMD3lPoCfBw_39_2"/>
      <w:bookmarkStart w:id="476" w:name="Tc_Y3tLyi8N6Ua2LlZdw6_bdw_39_0"/>
      <w:bookmarkStart w:id="477" w:name="Tc_XiPlHBqnJEG_nbgN4XNbog_38_0"/>
      <w:bookmarkStart w:id="478" w:name="Tc_Nr_v2obSLkSRg7I8Lhgzgw_36_5"/>
      <w:bookmarkStart w:id="479" w:name="Tc_ckj7FkTvqEKqa11XSS1Zsg_36_2"/>
      <w:bookmarkStart w:id="480" w:name="Tc_u2dRdZRYuEasX1M5aCHEUg_36_0"/>
      <w:bookmarkStart w:id="481" w:name="Tc_wR8kGJ2TMkiOzoV2gh7FxQ_35_0"/>
      <w:bookmarkStart w:id="482" w:name="Tc_E5hBPmEEgESU4e65pGxjXw_34_0"/>
      <w:bookmarkStart w:id="483" w:name="Tc_Uqnf2EBJoE6m7ilnymZ2KA_33_0"/>
      <w:bookmarkStart w:id="484" w:name="Tc_Ry68GeMu5UWlUkjGjBjmyw_32_0"/>
      <w:bookmarkStart w:id="485" w:name="Tc_sP1GujUpFUSw2IpP8bqVLA_31_0"/>
      <w:bookmarkStart w:id="486" w:name="Tc_5wgNIEZc2k6_b57iA4Q0Ug_30_6"/>
      <w:bookmarkStart w:id="487" w:name="Tc__vX8unUKpkKVouVGNiZNsQ_30_0"/>
      <w:bookmarkStart w:id="488" w:name="Tc_B3nVjyF4t0S5dHdcCgmNFw_29_3"/>
      <w:bookmarkStart w:id="489" w:name="Tc_T-EnS7dftEuVkB2X81WsVg_29_0"/>
      <w:bookmarkStart w:id="490" w:name="Tc_9eaOfMW2z0678Pe-CFPo_A_28_0"/>
      <w:bookmarkStart w:id="491" w:name="Tc_uiBNV5q-r0m8KLwv-1fvkw_27_0"/>
      <w:bookmarkStart w:id="492" w:name="Tc_kGaCrVge00eH6nOtqHgetA_26_0"/>
      <w:bookmarkStart w:id="493" w:name="Tc_BIOz7IBv7EWOnaFK4opxvg_25_0"/>
      <w:bookmarkStart w:id="494" w:name="Tc_5OJy-tGenkOs6jF9NV_wEg_24_6"/>
      <w:bookmarkStart w:id="495" w:name="Tc_utimQKIvhEKQKf2psYfE-g_24_0"/>
      <w:bookmarkStart w:id="496" w:name="Tc_MNUm3I924EWrgxwiJVqJWg_23_6"/>
      <w:bookmarkStart w:id="497" w:name="Tc_Pb1KnmOMckWfA8FZKqMVMg_23_0"/>
      <w:bookmarkStart w:id="498" w:name="Tc_wHso3ppIEkiiXyvyM3IfcQ_22_3"/>
      <w:bookmarkStart w:id="499" w:name="Tc_Nn72mvOS_U29O8sU3ITUtA_22_0"/>
      <w:bookmarkStart w:id="500" w:name="Tc_Pvtw_OVw4U658PMcZbbZxw_21_0"/>
      <w:bookmarkStart w:id="501" w:name="Tc_3K7hqh4biE-l6Sa67vNOWg_20_0"/>
      <w:bookmarkStart w:id="502" w:name="Tc_FAgvnx6kTkqN-bhSh6xvMg_19_0"/>
      <w:bookmarkStart w:id="503" w:name="Tc_KmtH1qn-mU2xd72ujpFo2w_18_0"/>
      <w:bookmarkStart w:id="504" w:name="Tc_I51-ZSC-0kutlCBYvV-QTw_17_0"/>
      <w:bookmarkStart w:id="505" w:name="Tc_vLIPkysrB0ylID9DtjRneA_16_0"/>
      <w:bookmarkStart w:id="506" w:name="Tc_ovYmYh4DN0ue_VGemDzm8g_15_0"/>
      <w:bookmarkStart w:id="507" w:name="Tc_lf8DexuRik6xi4IfDNc-ig_14_0"/>
      <w:bookmarkStart w:id="508" w:name="Tc_q0v2yaBZbU6GJLXZqhMAAA_13_0"/>
      <w:bookmarkStart w:id="509" w:name="Tc_S7UpuZWB606ijo1WodaMeg_12_0"/>
      <w:bookmarkStart w:id="510" w:name="Tc_M82ggHexAU-hnhmKlhS5Ug_11_6"/>
      <w:bookmarkStart w:id="511" w:name="Tc_CbzxlgkriUm__zDGWIOdwQ_11_0"/>
      <w:bookmarkStart w:id="512" w:name="Tc_py8d6m3v8keTbriB3Qz8xg_10_3"/>
      <w:bookmarkStart w:id="513" w:name="Tc_yh1I-es1rEuLTgqxzdi_Xg_10_0"/>
      <w:bookmarkStart w:id="514" w:name="Tc_QJFWgT1dn0G1KFmAftaynQ_9_6"/>
      <w:bookmarkStart w:id="515" w:name="Tc_dsARP9-9BkqwhYFjiWyzug_9_0"/>
      <w:bookmarkStart w:id="516" w:name="Tc_1UOl_VwVwEWfFzCp1KrrKA_8_0"/>
      <w:bookmarkStart w:id="517" w:name="Tc_xWrFbFd3E0yReYR3JMDrHA_7_0"/>
      <w:bookmarkStart w:id="518" w:name="Tc_Ifawm73pFE6sNnRDW_oVFA_6_0"/>
      <w:bookmarkStart w:id="519" w:name="Tc_mJRfNFxQr06AbLN3xBB-Cg_5_0"/>
      <w:bookmarkStart w:id="520" w:name="Tc_7mBvvSXTZka3rFAQ16vVSQ_4_5"/>
      <w:bookmarkStart w:id="521" w:name="Tc_vm2eY_LX1EiJYyg26DJkBw_4_2"/>
      <w:bookmarkStart w:id="522" w:name="Tc_-fLfOCC3mkaKRJ6ca3ESNA_4_0"/>
      <w:bookmarkStart w:id="523" w:name="Tc_5zD90bakhEC2r9_9_9G0Rw_3_0"/>
      <w:bookmarkStart w:id="524" w:name="Tc_XUj6nekelUaQfY9dvQDCJQ_2_5"/>
      <w:bookmarkStart w:id="525" w:name="Tc_nlRQHIQJsUy-ou1z7J3VzA_2_2"/>
      <w:bookmarkStart w:id="526" w:name="Tc_l3omaeOXS0yZe_K_MGXCvw_1_2"/>
      <w:bookmarkStart w:id="527" w:name="_476ce37f_80b5_4f3e_9fc4_fdcfd2eeb5fc"/>
      <w:bookmarkStart w:id="528" w:name="Tc_iEfoGX6MekCjqy8Eq4n_zg_41_5"/>
      <w:bookmarkStart w:id="529" w:name="Tc_ktRHYsuCz0SWlF3B5fMKJA_41_2"/>
      <w:bookmarkStart w:id="530" w:name="Tc_2o3w9ZFx1UGjuNgKBM9QnQ_41_0"/>
      <w:bookmarkStart w:id="531" w:name="Tc_aoDArCmplUyEE_piGpzY0g_40_0"/>
      <w:bookmarkStart w:id="532" w:name="Tc_75l6JxGHMEKrCqIGz7c7bA_39_5"/>
      <w:bookmarkStart w:id="533" w:name="Tc_-DOqIm6vk0aoMD3lPoCfBw_39_2"/>
      <w:bookmarkStart w:id="534" w:name="Tc_Y3tLyi8N6Ua2LlZdw6_bdw_39_0"/>
      <w:bookmarkStart w:id="535" w:name="Tc_XiPlHBqnJEG_nbgN4XNbog_38_0"/>
      <w:bookmarkStart w:id="536" w:name="Tc_Nr_v2obSLkSRg7I8Lhgzgw_36_5"/>
      <w:bookmarkStart w:id="537" w:name="Tc_ckj7FkTvqEKqa11XSS1Zsg_36_2"/>
      <w:bookmarkStart w:id="538" w:name="Tc_u2dRdZRYuEasX1M5aCHEUg_36_0"/>
      <w:bookmarkStart w:id="539" w:name="Tc_wR8kGJ2TMkiOzoV2gh7FxQ_35_0"/>
      <w:bookmarkStart w:id="540" w:name="Tc_E5hBPmEEgESU4e65pGxjXw_34_0"/>
      <w:bookmarkStart w:id="541" w:name="Tc_Uqnf2EBJoE6m7ilnymZ2KA_33_0"/>
      <w:bookmarkStart w:id="542" w:name="Tc_Ry68GeMu5UWlUkjGjBjmyw_32_0"/>
      <w:bookmarkStart w:id="543" w:name="Tc_sP1GujUpFUSw2IpP8bqVLA_31_0"/>
      <w:bookmarkStart w:id="544" w:name="Tc_5wgNIEZc2k6_b57iA4Q0Ug_30_6"/>
      <w:bookmarkStart w:id="545" w:name="Tc__vX8unUKpkKVouVGNiZNsQ_30_0"/>
      <w:bookmarkStart w:id="546" w:name="Tc_B3nVjyF4t0S5dHdcCgmNFw_29_3"/>
      <w:bookmarkStart w:id="547" w:name="Tc_T-EnS7dftEuVkB2X81WsVg_29_0"/>
      <w:bookmarkStart w:id="548" w:name="Tc_9eaOfMW2z0678Pe-CFPo_A_28_0"/>
      <w:bookmarkStart w:id="549" w:name="Tc_uiBNV5q-r0m8KLwv-1fvkw_27_0"/>
      <w:bookmarkStart w:id="550" w:name="Tc_kGaCrVge00eH6nOtqHgetA_26_0"/>
      <w:bookmarkStart w:id="551" w:name="Tc_BIOz7IBv7EWOnaFK4opxvg_25_0"/>
      <w:bookmarkStart w:id="552" w:name="Tc_5OJy-tGenkOs6jF9NV_wEg_24_6"/>
      <w:bookmarkStart w:id="553" w:name="Tc_utimQKIvhEKQKf2psYfE-g_24_0"/>
      <w:bookmarkStart w:id="554" w:name="Tc_MNUm3I924EWrgxwiJVqJWg_23_6"/>
      <w:bookmarkStart w:id="555" w:name="Tc_Pb1KnmOMckWfA8FZKqMVMg_23_0"/>
      <w:bookmarkStart w:id="556" w:name="Tc_wHso3ppIEkiiXyvyM3IfcQ_22_3"/>
      <w:bookmarkStart w:id="557" w:name="Tc_Nn72mvOS_U29O8sU3ITUtA_22_0"/>
      <w:bookmarkStart w:id="558" w:name="Tc_Pvtw_OVw4U658PMcZbbZxw_21_0"/>
      <w:bookmarkStart w:id="559" w:name="Tc_3K7hqh4biE-l6Sa67vNOWg_20_0"/>
      <w:bookmarkStart w:id="560" w:name="Tc_FAgvnx6kTkqN-bhSh6xvMg_19_0"/>
      <w:bookmarkStart w:id="561" w:name="Tc_KmtH1qn-mU2xd72ujpFo2w_18_0"/>
      <w:bookmarkStart w:id="562" w:name="Tc_I51-ZSC-0kutlCBYvV-QTw_17_0"/>
      <w:bookmarkStart w:id="563" w:name="Tc_vLIPkysrB0ylID9DtjRneA_16_0"/>
      <w:bookmarkStart w:id="564" w:name="Tc_ovYmYh4DN0ue_VGemDzm8g_15_0"/>
      <w:bookmarkStart w:id="565" w:name="Tc_lf8DexuRik6xi4IfDNc-ig_14_0"/>
      <w:bookmarkStart w:id="566" w:name="Tc_q0v2yaBZbU6GJLXZqhMAAA_13_0"/>
      <w:bookmarkStart w:id="567" w:name="Tc_S7UpuZWB606ijo1WodaMeg_12_0"/>
      <w:bookmarkStart w:id="568" w:name="Tc_M82ggHexAU-hnhmKlhS5Ug_11_6"/>
      <w:bookmarkStart w:id="569" w:name="Tc_CbzxlgkriUm__zDGWIOdwQ_11_0"/>
      <w:bookmarkStart w:id="570" w:name="Tc_py8d6m3v8keTbriB3Qz8xg_10_3"/>
      <w:bookmarkStart w:id="571" w:name="Tc_yh1I-es1rEuLTgqxzdi_Xg_10_0"/>
      <w:bookmarkStart w:id="572" w:name="Tc_QJFWgT1dn0G1KFmAftaynQ_9_6"/>
      <w:bookmarkStart w:id="573" w:name="Tc_dsARP9-9BkqwhYFjiWyzug_9_0"/>
      <w:bookmarkStart w:id="574" w:name="Tc_1UOl_VwVwEWfFzCp1KrrKA_8_0"/>
      <w:bookmarkStart w:id="575" w:name="Tc_xWrFbFd3E0yReYR3JMDrHA_7_0"/>
      <w:bookmarkStart w:id="576" w:name="Tc_Ifawm73pFE6sNnRDW_oVFA_6_0"/>
      <w:bookmarkStart w:id="577" w:name="Tc_mJRfNFxQr06AbLN3xBB-Cg_5_0"/>
      <w:bookmarkStart w:id="578" w:name="Tc_7mBvvSXTZka3rFAQ16vVSQ_4_5"/>
      <w:bookmarkStart w:id="579" w:name="Tc_vm2eY_LX1EiJYyg26DJkBw_4_2"/>
      <w:bookmarkStart w:id="580" w:name="Tc_-fLfOCC3mkaKRJ6ca3ESNA_4_0"/>
      <w:bookmarkStart w:id="581" w:name="Tc_5zD90bakhEC2r9_9_9G0Rw_3_0"/>
      <w:bookmarkStart w:id="582" w:name="Tc_XUj6nekelUaQfY9dvQDCJQ_2_5"/>
      <w:bookmarkStart w:id="583" w:name="Tc_nlRQHIQJsUy-ou1z7J3VzA_2_2"/>
      <w:bookmarkStart w:id="584" w:name="Tc_l3omaeOXS0yZe_K_MGXCvw_1_2"/>
      <w:bookmarkStart w:id="585" w:name="_476ce37f_80b5_4f3e_9fc4_fdcfd2eeb5fc"/>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tbl>
      <w:tblPr>
        <w:tblW w:w="9204" w:type="dxa"/>
        <w:jc w:val="left"/>
        <w:tblInd w:w="0" w:type="dxa"/>
        <w:tblLayout w:type="fixed"/>
        <w:tblCellMar>
          <w:top w:w="0" w:type="dxa"/>
          <w:left w:w="0" w:type="dxa"/>
          <w:bottom w:w="0" w:type="dxa"/>
          <w:right w:w="0" w:type="dxa"/>
        </w:tblCellMar>
      </w:tblPr>
      <w:tblGrid>
        <w:gridCol w:w="6421"/>
        <w:gridCol w:w="109"/>
        <w:gridCol w:w="309"/>
        <w:gridCol w:w="951"/>
        <w:gridCol w:w="109"/>
        <w:gridCol w:w="266"/>
        <w:gridCol w:w="1039"/>
      </w:tblGrid>
      <w:tr>
        <w:trPr/>
        <w:tc>
          <w:tcPr>
            <w:tcW w:w="642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96215" cy="175260"/>
                      <wp:effectExtent l="0" t="0" r="0" b="0"/>
                      <wp:wrapNone/>
                      <wp:docPr id="64" name="Frame64"/>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03885" cy="175260"/>
                      <wp:effectExtent l="0" t="0" r="0" b="0"/>
                      <wp:wrapNone/>
                      <wp:docPr id="65" name="Frame65"/>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8910" cy="175260"/>
                      <wp:effectExtent l="0" t="0" r="0" b="0"/>
                      <wp:wrapNone/>
                      <wp:docPr id="67" name="Frame6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59765" cy="175260"/>
                      <wp:effectExtent l="0" t="0" r="0" b="0"/>
                      <wp:wrapNone/>
                      <wp:docPr id="68" name="Frame68"/>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Three Months Ended</w:t>
            </w:r>
          </w:p>
        </w:tc>
      </w:tr>
      <w:tr>
        <w:trPr/>
        <w:tc>
          <w:tcPr>
            <w:tcW w:w="6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9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1039"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3,745</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6,382</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6,335</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Lease Assets and Liabilities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(4,453)</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(953)</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Rent and Deferred Revenue</w:t>
            </w:r>
          </w:p>
        </w:tc>
        <w:tc>
          <w:tcPr>
            <w:tcW w:w="109"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6,760</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5,377</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Including Capitalized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(1,138)</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Assets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55,452</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(3,597)</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 Investments</w:t>
            </w:r>
          </w:p>
        </w:tc>
        <w:tc>
          <w:tcPr>
            <w:tcW w:w="109"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(4,105)</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55,350</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6,000</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(9,500)</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(19,500)</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Stock Issuance, Net</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12,388</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w:t>
            </w:r>
          </w:p>
        </w:tc>
        <w:tc>
          <w:tcPr>
            <w:tcW w:w="109"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(4,082)</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(4,336)</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(8,408)</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(10,212)</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(5,753)</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50,515</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13,731</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End of Period</w:t>
            </w:r>
          </w:p>
        </w:tc>
        <w:tc>
          <w:tcPr>
            <w:tcW w:w="109" w:type="dxa"/>
            <w:tcBorders/>
            <w:vAlign w:val="center"/>
          </w:tcPr>
          <w:p>
            <w:pPr>
              <w:pStyle w:val="TableContents"/>
              <w:bidi w:val="0"/>
              <w:spacing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7,978</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63,559</w:t>
            </w:r>
          </w:p>
        </w:tc>
      </w:tr>
      <w:tr>
        <w:trPr/>
        <w:tc>
          <w:tcPr>
            <w:tcW w:w="64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Reconciliation of Cash to the Consolidated Balance Sheets: </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5,145</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4,290</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2,833</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59,269</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7,978</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63,559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86" w:name="Tc_5Fzn8fuHl0-IRI3sWYrXtg_7_5"/>
      <w:bookmarkStart w:id="587" w:name="Tc_1TdLuFFrjkKLs7QCJ82fug_7_2"/>
      <w:bookmarkStart w:id="588" w:name="Tc_1FHXe-H73kOBMKlM5FhBZQ_6_0"/>
      <w:bookmarkStart w:id="589" w:name="Tc_0rmYOUN0ZEu0cVIYI_8FNg_4_5"/>
      <w:bookmarkStart w:id="590" w:name="Tc_Cy5j4BsEe0K8aYLlBuzG6w_4_2"/>
      <w:bookmarkStart w:id="591" w:name="Tc_Im1YybyruEG2rCZ-m1q0Fw_4_0"/>
      <w:bookmarkStart w:id="592" w:name="Tc_znEQuhW8bUWHEY9vZwsf4g_3_0"/>
      <w:bookmarkStart w:id="593" w:name="Tc_zuFkXRLv_kSwlP_B-TyWfw_2_5"/>
      <w:bookmarkStart w:id="594" w:name="Tc_EgtonYcpx0ypab99oTUuAQ_2_2"/>
      <w:bookmarkStart w:id="595" w:name="Tc_iWoTP171u0KIpMhSTB6PLw_1_2"/>
      <w:bookmarkStart w:id="596" w:name="_4d046adb_13d4_4bcd_9aec_34a9f4e37be9"/>
      <w:bookmarkStart w:id="597" w:name="Tc_5Fzn8fuHl0-IRI3sWYrXtg_7_5"/>
      <w:bookmarkStart w:id="598" w:name="Tc_1TdLuFFrjkKLs7QCJ82fug_7_2"/>
      <w:bookmarkStart w:id="599" w:name="Tc_1FHXe-H73kOBMKlM5FhBZQ_6_0"/>
      <w:bookmarkStart w:id="600" w:name="Tc_0rmYOUN0ZEu0cVIYI_8FNg_4_5"/>
      <w:bookmarkStart w:id="601" w:name="Tc_Cy5j4BsEe0K8aYLlBuzG6w_4_2"/>
      <w:bookmarkStart w:id="602" w:name="Tc_Im1YybyruEG2rCZ-m1q0Fw_4_0"/>
      <w:bookmarkStart w:id="603" w:name="Tc_znEQuhW8bUWHEY9vZwsf4g_3_0"/>
      <w:bookmarkStart w:id="604" w:name="Tc_zuFkXRLv_kSwlP_B-TyWfw_2_5"/>
      <w:bookmarkStart w:id="605" w:name="Tc_EgtonYcpx0ypab99oTUuAQ_2_2"/>
      <w:bookmarkStart w:id="606" w:name="Tc_iWoTP171u0KIpMhSTB6PLw_1_2"/>
      <w:bookmarkStart w:id="607" w:name="_4d046adb_13d4_4bcd_9aec_34a9f4e37be9"/>
      <w:bookmarkEnd w:id="597"/>
      <w:bookmarkEnd w:id="598"/>
      <w:bookmarkEnd w:id="599"/>
      <w:bookmarkEnd w:id="600"/>
      <w:bookmarkEnd w:id="601"/>
      <w:bookmarkEnd w:id="602"/>
      <w:bookmarkEnd w:id="603"/>
      <w:bookmarkEnd w:id="604"/>
      <w:bookmarkEnd w:id="605"/>
      <w:bookmarkEnd w:id="606"/>
      <w:bookmarkEnd w:id="607"/>
    </w:p>
    <w:tbl>
      <w:tblPr>
        <w:tblW w:w="8049" w:type="dxa"/>
        <w:jc w:val="left"/>
        <w:tblInd w:w="0" w:type="dxa"/>
        <w:tblLayout w:type="fixed"/>
        <w:tblCellMar>
          <w:top w:w="0" w:type="dxa"/>
          <w:left w:w="0" w:type="dxa"/>
          <w:bottom w:w="0" w:type="dxa"/>
          <w:right w:w="0" w:type="dxa"/>
        </w:tblCellMar>
      </w:tblPr>
      <w:tblGrid>
        <w:gridCol w:w="5266"/>
        <w:gridCol w:w="109"/>
        <w:gridCol w:w="349"/>
        <w:gridCol w:w="911"/>
        <w:gridCol w:w="109"/>
        <w:gridCol w:w="314"/>
        <w:gridCol w:w="991"/>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343910" cy="525780"/>
                      <wp:effectExtent l="0" t="0" r="0" b="0"/>
                      <wp:wrapNone/>
                      <wp:docPr id="69" name="Frame69"/>
                      <a:graphic xmlns:a="http://schemas.openxmlformats.org/drawingml/2006/main">
                        <a:graphicData uri="http://schemas.microsoft.com/office/word/2010/wordprocessingShape">
                          <wps:wsp>
                            <wps:cNvSpPr txBox="1"/>
                            <wps:spPr>
                              <a:xfrm>
                                <a:off x="0" y="0"/>
                                <a:ext cx="3343910"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1615" cy="175260"/>
                      <wp:effectExtent l="0" t="0" r="0" b="0"/>
                      <wp:wrapNone/>
                      <wp:docPr id="71" name="Frame7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78485" cy="175260"/>
                      <wp:effectExtent l="0" t="0" r="0" b="0"/>
                      <wp:wrapNone/>
                      <wp:docPr id="72" name="Frame7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9390" cy="175260"/>
                      <wp:effectExtent l="0" t="0" r="0" b="0"/>
                      <wp:wrapNone/>
                      <wp:docPr id="74" name="Frame7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29285" cy="175260"/>
                      <wp:effectExtent l="0" t="0" r="0" b="0"/>
                      <wp:wrapNone/>
                      <wp:docPr id="75" name="Frame7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Cash Flow Information: </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9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2,787</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2,544</w:t>
            </w:r>
          </w:p>
        </w:tc>
      </w:tr>
      <w:tr>
        <w:trPr/>
        <w:tc>
          <w:tcPr>
            <w:tcW w:w="5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9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Non-Cash Investing and Financing Activities: </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Gain (Loss) on Cash Flow Hedge</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2,355</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8" w:name="_e2da0253_f532_4f23_af21_57a452b572ce"/>
      <w:bookmarkEnd w:id="608"/>
      <w:r>
        <w:rPr>
          <w:rFonts w:ascii="Times New Roman;Times;serif" w:hAnsi="Times New Roman;Times;serif"/>
          <w:b/>
          <w:sz w:val="20"/>
        </w:rPr>
        <w:t>NOTES TO CONSOLIDATED FINANCIAL STATEMENTS (UNAUDITED)</w:t>
      </w:r>
    </w:p>
    <w:p>
      <w:pPr>
        <w:pStyle w:val="TextBody"/>
        <w:bidi w:val="0"/>
        <w:spacing w:before="0" w:after="240"/>
        <w:ind w:left="0" w:right="0" w:hanging="0"/>
        <w:jc w:val="left"/>
        <w:rPr>
          <w:rFonts w:ascii="Times New Roman;Times;serif" w:hAnsi="Times New Roman;Times;serif"/>
          <w:b/>
          <w:sz w:val="20"/>
        </w:rPr>
      </w:pPr>
      <w:bookmarkStart w:id="609" w:name="NOTESTOCONSOLIDATEDFINANCIALSTATEMENTSUN"/>
      <w:bookmarkEnd w:id="609"/>
      <w:r>
        <w:rPr>
          <w:rFonts w:ascii="Times New Roman;Times;serif" w:hAnsi="Times New Roman;Times;serif"/>
          <w:b/>
          <w:sz w:val="20"/>
        </w:rPr>
        <w:t>NOTE 1. BUSINESS AND ORGANIZATION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BUSINESS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portfolio consists of 138 net leased properties located in 35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See Note 4, “Commercial Loans and Investments” for further disclosure related to the Company’s commercial loans and investments.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ORGANIZATION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March 31, 2024, we have a total ownership interest in the Operating Partnership of 91.8%, with CTO holding, directly and indirectly, an 8.2%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 </w:t>
      </w:r>
      <w:r>
        <w:rPr>
          <w:rFonts w:ascii="Times New Roman;Times;serif" w:hAnsi="Times New Roman;Times;serif"/>
          <w:sz w:val="20"/>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0"/>
        <w:ind w:left="245"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All significant inter-company balances and transactions have been eliminated in the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SEGMENT REPORTING</w:t>
      </w:r>
    </w:p>
    <w:p>
      <w:pPr>
        <w:pStyle w:val="TextBody"/>
        <w:bidi w:val="0"/>
        <w:spacing w:before="0" w:after="0"/>
        <w:ind w:left="245"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Accounting Standards Board </w:t>
      </w:r>
      <w:r>
        <w:rPr>
          <w:rFonts w:ascii="Times New Roman;Times;serif" w:hAnsi="Times New Roman;Times;serif"/>
          <w:i/>
          <w:sz w:val="20"/>
        </w:rPr>
        <w:t>Accounting Standards Codification</w:t>
      </w:r>
      <w:r>
        <w:rPr>
          <w:rFonts w:ascii="Times New Roman;Times;serif" w:hAnsi="Times New Roman;Times;serif"/>
          <w:sz w:val="20"/>
        </w:rPr>
        <w:t xml:space="preserve"> (“FASB ASC”) Topic 280, </w:t>
      </w:r>
      <w:r>
        <w:rPr>
          <w:rFonts w:ascii="Times New Roman;Times;serif" w:hAnsi="Times New Roman;Times;serif"/>
          <w:i/>
          <w:sz w:val="20"/>
        </w:rPr>
        <w:t>Segment Reporting</w:t>
      </w:r>
      <w:r>
        <w:rPr>
          <w:rFonts w:ascii="Times New Roman;Times;serif" w:hAnsi="Times New Roman;Times;serif"/>
          <w:sz w:val="20"/>
        </w:rPr>
        <w:t>, establishes standards related to the manner in which enterprises report operating segment information. The Company operates in two primary business segments including income properties and commercial loans and investments, as further discussed within Note 20, “Business Segment Data”. The Company has no other reportable segments. The Company’s chief executive officer, who is the Company’s chief operating decision maker, reviews financial information on a disaggregated basis for purposes of allocating and evaluating financial performance.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USE OF ESTIMATES IN THE PREPARATION OF FINANCIAL STATEMENTS</w:t>
      </w:r>
    </w:p>
    <w:p>
      <w:pPr>
        <w:pStyle w:val="TextBody"/>
        <w:bidi w:val="0"/>
        <w:spacing w:before="0" w:after="0"/>
        <w:ind w:left="245"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March 31, 2024 and March 31, 2023, was $4.2 million, and $4.0 million, respectively.</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LONG-LIVED ASSETS</w:t>
      </w:r>
    </w:p>
    <w:p>
      <w:pPr>
        <w:pStyle w:val="TextBody"/>
        <w:bidi w:val="0"/>
        <w:spacing w:before="0" w:after="0"/>
        <w:ind w:left="244"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PURCHASE ACCOUNTING FOR ACQUISITIONS OF REAL ESTATE SUBJECT TO A LEASE</w:t>
      </w:r>
    </w:p>
    <w:p>
      <w:pPr>
        <w:pStyle w:val="TextBody"/>
        <w:bidi w:val="0"/>
        <w:spacing w:before="240" w:after="0"/>
        <w:ind w:left="0" w:right="0" w:firstLine="556"/>
        <w:jc w:val="both"/>
        <w:rPr/>
      </w:pPr>
      <w:r>
        <w:rPr/>
        <w:t> </w:t>
      </w:r>
      <w:r>
        <w:rPr>
          <w:rFonts w:ascii="Times New Roman;Times;serif" w:hAnsi="Times New Roman;Times;serif"/>
          <w:sz w:val="20"/>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Times New Roman;Times;serif" w:hAnsi="Times New Roman;Times;serif"/>
          <w:i/>
          <w:sz w:val="20"/>
        </w:rPr>
        <w:t>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240" w:after="0"/>
        <w:ind w:left="0" w:right="0" w:firstLine="556"/>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ASSETS HELD FOR SALE</w:t>
      </w:r>
    </w:p>
    <w:p>
      <w:pPr>
        <w:pStyle w:val="TextBody"/>
        <w:bidi w:val="0"/>
        <w:spacing w:before="240" w:after="0"/>
        <w:ind w:left="0" w:right="0" w:firstLine="556"/>
        <w:jc w:val="both"/>
        <w:rPr>
          <w:rFonts w:ascii="Times New Roman;Times;serif" w:hAnsi="Times New Roman;Times;serif"/>
          <w:sz w:val="20"/>
        </w:rPr>
      </w:pPr>
      <w:r>
        <w:rPr>
          <w:rFonts w:ascii="Times New Roman;Times;serif" w:hAnsi="Times New Roman;Times;serif"/>
          <w:sz w:val="20"/>
        </w:rPr>
        <w:t xml:space="preserve">Investments in real estate which are determined to be “held for sale” pursuant to FASB Topic 360-10, </w:t>
      </w:r>
      <w:r>
        <w:rPr>
          <w:rFonts w:ascii="Times New Roman;Times;serif" w:hAnsi="Times New Roman;Times;serif"/>
          <w:i/>
          <w:sz w:val="20"/>
        </w:rPr>
        <w:t>Property, Plant, and Equipment</w:t>
      </w:r>
      <w:r>
        <w:rPr>
          <w:rFonts w:ascii="Times New Roman;Times;serif" w:hAnsi="Times New Roman;Times;serif"/>
          <w:sz w:val="20"/>
        </w:rPr>
        <w:t xml:space="preserve"> are reported separately on the consolidated balance sheets at the lesser of carrying value or fair value, less costs to sell. Real estate investments classified as held for sale are not depreciated.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SALES OF REAL ESTATE</w:t>
      </w:r>
    </w:p>
    <w:p>
      <w:pPr>
        <w:pStyle w:val="TextBody"/>
        <w:bidi w:val="0"/>
        <w:spacing w:before="0" w:after="0"/>
        <w:ind w:left="0" w:right="0" w:firstLine="556"/>
        <w:jc w:val="both"/>
        <w:rPr/>
      </w:pPr>
      <w:r>
        <w:rPr/>
        <w:t>​</w:t>
      </w:r>
    </w:p>
    <w:p>
      <w:pPr>
        <w:pStyle w:val="TextBody"/>
        <w:bidi w:val="0"/>
        <w:spacing w:before="0" w:after="0"/>
        <w:ind w:left="0" w:right="0" w:firstLine="556"/>
        <w:jc w:val="both"/>
        <w:rPr>
          <w:rFonts w:ascii="Times New Roman;Times;serif" w:hAnsi="Times New Roman;Times;serif"/>
          <w:sz w:val="20"/>
        </w:rPr>
      </w:pPr>
      <w:r>
        <w:rPr>
          <w:rFonts w:ascii="Times New Roman;Times;serif" w:hAnsi="Times New Roman;Times;serif"/>
          <w:sz w:val="20"/>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pStyle w:val="TextBody"/>
        <w:bidi w:val="0"/>
        <w:spacing w:before="0" w:after="0"/>
        <w:ind w:left="0" w:right="0" w:firstLine="49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PROPERTY LEASE REVENUE</w:t>
      </w:r>
    </w:p>
    <w:p>
      <w:pPr>
        <w:pStyle w:val="TextBody"/>
        <w:bidi w:val="0"/>
        <w:spacing w:before="0" w:after="0"/>
        <w:ind w:left="245"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March 31, 2024 and December 31, 2023, the Company’s allowance for doubtful accounts totaled $0.2 million and $0.4 million, respectively.</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commercial loans and investments held for investment are recorded at historical cost, net of unaccreted origination costs and current expected credit losses (“CECL”) 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RECOGNITION OF INTEREST INCOME FROM COMMERCIAL LOANS AND INVESTMENTS</w:t>
      </w:r>
    </w:p>
    <w:p>
      <w:pPr>
        <w:pStyle w:val="TextBody"/>
        <w:shd w:fill="FFFFFF" w:val="clear"/>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OPERATING LAND LEASE EXPENSE</w:t>
      </w:r>
    </w:p>
    <w:p>
      <w:pPr>
        <w:pStyle w:val="TextBody"/>
        <w:shd w:fill="FFFFFF" w:val="clear"/>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which leases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xml:space="preserve">. The corresponding lease expense is recognized on a straight-line basis over the term of the lease and is included in real estate expenses in the accompanying consolidated statements of operations.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0"/>
        <w:ind w:left="245"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 hand, bank demand accounts, and money market accounts having original maturities of 90 days or less. The Company’s bank balances as of March 31, 2024 and December 31, 2023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Restricted cash totaled $2.8 million as of March 31, 2024, which is being held in interest, tax, insurance, and/or capital expenditure reserve accounts related to the Company’s commercial loans and investments.</w:t>
      </w:r>
    </w:p>
    <w:p>
      <w:pPr>
        <w:pStyle w:val="TextBody"/>
        <w:bidi w:val="0"/>
        <w:spacing w:before="0" w:after="0"/>
        <w:ind w:left="36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DERIVATIVE FINANCIAL INSTRUMENTS AND HEDGING ACTIVITY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13, “Interest Rate Swaps”).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included in other assets, accounts payable, and accrued expenses and other liabilities at March 31, 2024 and December 31, 2023,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pStyle w:val="TextBody"/>
        <w:bidi w:val="0"/>
        <w:spacing w:before="0" w:after="0"/>
        <w:ind w:left="0" w:right="0" w:hanging="0"/>
        <w:jc w:val="left"/>
        <w:rPr/>
      </w:pPr>
      <w:r>
        <w:rPr/>
        <w:t>​</w:t>
      </w:r>
    </w:p>
    <w:p>
      <w:pPr>
        <w:pStyle w:val="TextBody"/>
        <w:bidi w:val="0"/>
        <w:spacing w:lineRule="auto" w:line="273" w:before="0" w:after="0"/>
        <w:ind w:left="0" w:right="0" w:hanging="0"/>
        <w:jc w:val="both"/>
        <w:rPr>
          <w:rFonts w:ascii="Times New Roman;Times;serif" w:hAnsi="Times New Roman;Times;serif"/>
          <w:sz w:val="20"/>
        </w:rPr>
      </w:pPr>
      <w:r>
        <w:rPr>
          <w:rFonts w:ascii="Times New Roman;Times;serif" w:hAnsi="Times New Roman;Times;serif"/>
          <w:i/>
          <w:sz w:val="20"/>
        </w:rPr>
        <w:t>FAIR VALUE MEASUREMENTS</w:t>
      </w:r>
      <w:r>
        <w:rPr>
          <w:rFonts w:ascii="Times New Roman;Times;serif" w:hAnsi="Times New Roman;Times;serif"/>
          <w:sz w:val="20"/>
        </w:rPr>
        <w:t xml:space="preserve"> </w:t>
      </w:r>
    </w:p>
    <w:p>
      <w:pPr>
        <w:pStyle w:val="TextBody"/>
        <w:bidi w:val="0"/>
        <w:spacing w:lineRule="auto" w:line="273"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pStyle w:val="TextBody"/>
        <w:bidi w:val="0"/>
        <w:spacing w:lineRule="auto" w:line="273" w:before="0" w:after="0"/>
        <w:ind w:left="720" w:right="0" w:hanging="0"/>
        <w:jc w:val="both"/>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p>
      <w:pPr>
        <w:pStyle w:val="TextBody"/>
        <w:bidi w:val="0"/>
        <w:spacing w:lineRule="auto" w:line="273"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bidi w:val="0"/>
        <w:spacing w:lineRule="auto" w:line="273"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lineRule="auto" w:line="273" w:before="0" w:after="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0"/>
        <w:ind w:left="244"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Certain individual tenants in the Company’s portfolio of properties accounted for more than 10% of lease income from the Company’s income properties during the three months ended March 31, 2024 and 2023.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2024 and 2023, Walgreens accounted for 11% and 12% of total revenues, respectively.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2024 and December 31, 2023, 13%, 11%, and 11% of the Company’s real estate portfolio, based on square footage, was located in the states of Texas, New Jersey, and Michigan, respectively.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Certain items in the prior period’s consolidated balance sheet and consolidated statement of operations have been reclassified to conform to the presentation for the three months ended March 31, 2024. Specifically, tax, insurance, and capital expenditure reserve accounts related to the Company’s commercial loans and investments were previously included within Prepaid Rent and Deferred Revenue and are now included within Accounts Payable, Accrued Expenses, and Other Liabilities on the accompanying consolidated balance sheets. Additionally, interest income earned on deposits at financial institutions was previously included within Lease Income and is now included within Investment and Other Income on the accompanying consolidated statement of operations. There was no impact to retained earnings as a result of the reclassifications. </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610" w:name="Tc_TW86PIavukyNXnaxVcdIag_9_2"/>
      <w:bookmarkStart w:id="611" w:name="Tc_0mKc2x3TXU2BiypCZVuCTQ_9_0"/>
      <w:bookmarkStart w:id="612" w:name="Tc_VYLnmN-V30-RyYr0VkzrHA_8_0"/>
      <w:bookmarkStart w:id="613" w:name="Tc_28OCcvYhdkOKms58viS6tQ_7_0"/>
      <w:bookmarkStart w:id="614" w:name="Tc_b_5RZlRD9Um3-IxNKPt-EQ_6_0"/>
      <w:bookmarkStart w:id="615" w:name="Tc_wG9VBu0wikes7PYS_iSVBw_5_0"/>
      <w:bookmarkStart w:id="616" w:name="Tc_fw1JlNagEEujh5EtnStb-w_4_0"/>
      <w:bookmarkStart w:id="617" w:name="Tc_SJwcO9APFUi6-MaZfqQItw_3_0"/>
      <w:bookmarkStart w:id="618" w:name="Tc_xyxjIEP3qka8FFr3bVYRLQ_2_2"/>
      <w:bookmarkStart w:id="619" w:name="Tc_gqHfXuwBfkiQWfA3U7hEqw_2_0"/>
      <w:bookmarkStart w:id="620" w:name="Tc_y5yc6cAK6ki-XSs1i-Ukiw_1_2"/>
      <w:bookmarkStart w:id="621" w:name="Tc_CfmLJHUeKUyMSMiBrHB9Rw_1_0"/>
      <w:bookmarkStart w:id="622" w:name="_8aa4c89b_a7a5_4115_a800_11b844a4fb49"/>
      <w:bookmarkStart w:id="623" w:name="Tc_jlnib1eNGkS7FI8bbJHqMg_6_5"/>
      <w:bookmarkStart w:id="624" w:name="Tc_cCj0HW-ACk6tzh8WFX3qeQ_6_2"/>
      <w:bookmarkStart w:id="625" w:name="Tc_4AtI3lbwmECR_y7VnVvYVQ_6_0"/>
      <w:bookmarkStart w:id="626" w:name="Tc_TrvceQUXN0eRjaxAiJGiyQ_5_0"/>
      <w:bookmarkStart w:id="627" w:name="Tc_BGWW73-Qs0WgE58SZPtOuQ_4_5"/>
      <w:bookmarkStart w:id="628" w:name="Tc_teK-Sw9iWU-ik-cZdaQt4w_4_2"/>
      <w:bookmarkStart w:id="629" w:name="Tc_b3GWyHtJkUWY8x_3eiG6Ow_4_0"/>
      <w:bookmarkStart w:id="630" w:name="Tc_2QEqeHKc7EGFQXdC7ZUbEQ_3_0"/>
      <w:bookmarkStart w:id="631" w:name="Tc_SzLXHKIZXUqUaDUpRGnugg_2_5"/>
      <w:bookmarkStart w:id="632" w:name="Tc_Jd4qzklCvEShIuNqnpFfMg_2_2"/>
      <w:bookmarkStart w:id="633" w:name="Tc_EiYHIU7eP0WO3eY5eQFTTw_1_2"/>
      <w:bookmarkStart w:id="634" w:name="_de9262ed_b167_4eb1_9b06_d638c261c237"/>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r>
        <w:rPr>
          <w:rFonts w:ascii="Times New Roman;Times;serif" w:hAnsi="Times New Roman;Times;serif"/>
          <w:b/>
          <w:sz w:val="20"/>
        </w:rPr>
        <w:t>NOTE 3. PROPERTY PORTFOLIO</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2024, the Company’s property portfolio consisted of 138 properties with total square footage of 3.8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firstLine="360"/>
        <w:jc w:val="both"/>
        <w:rPr/>
      </w:pPr>
      <w:r>
        <w:rPr/>
        <w:t>​</w:t>
      </w:r>
    </w:p>
    <w:tbl>
      <w:tblPr>
        <w:tblW w:w="5289" w:type="dxa"/>
        <w:jc w:val="left"/>
        <w:tblInd w:w="0" w:type="dxa"/>
        <w:tblLayout w:type="fixed"/>
        <w:tblCellMar>
          <w:top w:w="0" w:type="dxa"/>
          <w:left w:w="0" w:type="dxa"/>
          <w:bottom w:w="0" w:type="dxa"/>
          <w:right w:w="0" w:type="dxa"/>
        </w:tblCellMar>
      </w:tblPr>
      <w:tblGrid>
        <w:gridCol w:w="2146"/>
        <w:gridCol w:w="109"/>
        <w:gridCol w:w="342"/>
        <w:gridCol w:w="1098"/>
        <w:gridCol w:w="109"/>
        <w:gridCol w:w="315"/>
        <w:gridCol w:w="117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62710" cy="175260"/>
                      <wp:effectExtent l="0" t="0" r="0" b="0"/>
                      <wp:wrapNone/>
                      <wp:docPr id="76" name="Frame7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7170" cy="175260"/>
                      <wp:effectExtent l="0" t="0" r="0" b="0"/>
                      <wp:wrapNone/>
                      <wp:docPr id="78" name="Frame7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7230" cy="175260"/>
                      <wp:effectExtent l="0" t="0" r="0" b="0"/>
                      <wp:wrapNone/>
                      <wp:docPr id="79" name="Frame79"/>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0025" cy="175260"/>
                      <wp:effectExtent l="0" t="0" r="0" b="0"/>
                      <wp:wrapNone/>
                      <wp:docPr id="81" name="Frame81"/>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42950" cy="175260"/>
                      <wp:effectExtent l="0" t="0" r="0" b="0"/>
                      <wp:wrapNone/>
                      <wp:docPr id="82" name="Frame82"/>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9,862</w:t>
            </w:r>
          </w:p>
        </w:tc>
        <w:tc>
          <w:tcPr>
            <w:tcW w:w="109" w:type="dxa"/>
            <w:tcBorders/>
            <w:vAlign w:val="center"/>
          </w:tcPr>
          <w:p>
            <w:pPr>
              <w:pStyle w:val="TableContents"/>
              <w:bidi w:val="0"/>
              <w:spacing w:before="0" w:after="0"/>
              <w:ind w:left="0" w:right="0" w:hanging="0"/>
              <w:jc w:val="righ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c>
          <w:tcPr>
            <w:tcW w:w="109" w:type="dxa"/>
            <w:tcBorders/>
            <w:shd w:fill="CCEEFF" w:val="clear"/>
            <w:vAlign w:val="center"/>
          </w:tcPr>
          <w:p>
            <w:pPr>
              <w:pStyle w:val="TableContents"/>
              <w:bidi w:val="0"/>
              <w:spacing w:before="0" w:after="0"/>
              <w:ind w:left="0" w:right="0" w:hanging="0"/>
              <w:jc w:val="righ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Income</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11,464</w:t>
            </w:r>
          </w:p>
        </w:tc>
        <w:tc>
          <w:tcPr>
            <w:tcW w:w="109" w:type="dxa"/>
            <w:tcBorders/>
            <w:vAlign w:val="center"/>
          </w:tcPr>
          <w:p>
            <w:pPr>
              <w:pStyle w:val="TableContents"/>
              <w:bidi w:val="0"/>
              <w:spacing w:before="0" w:after="0"/>
              <w:ind w:left="0" w:right="0" w:hanging="0"/>
              <w:jc w:val="righ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11,156</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Minimum Future Rental Receipts.</w:t>
      </w:r>
      <w:r>
        <w:rPr>
          <w:rFonts w:ascii="Times New Roman;Times;serif" w:hAnsi="Times New Roman;Times;serif"/>
          <w:sz w:val="20"/>
        </w:rPr>
        <w:t xml:space="preserve"> Minimum future rental receipts under non-cancelable operating leases, excluding percentage rent and other lease payments that are not fixed and determinable, having remaining terms in excess of one year subsequent to March 31, 2024, are summarized as follows (in thousands):   </w:t>
      </w:r>
    </w:p>
    <w:p>
      <w:pPr>
        <w:pStyle w:val="TextBody"/>
        <w:bidi w:val="0"/>
        <w:spacing w:before="0" w:after="0"/>
        <w:ind w:left="0" w:right="0" w:firstLine="360"/>
        <w:jc w:val="both"/>
        <w:rPr/>
      </w:pPr>
      <w:r>
        <w:rPr/>
        <w:t> </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62610" cy="175260"/>
                      <wp:effectExtent l="0" t="0" r="0" b="0"/>
                      <wp:wrapNone/>
                      <wp:docPr id="83" name="Frame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29,084</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37,830</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37,021</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33,353</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30,088</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25,817</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 (Cumulative)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75,096</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268,289</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2024 Activity. </w:t>
      </w:r>
      <w:r>
        <w:rPr>
          <w:rFonts w:ascii="Times New Roman;Times;serif" w:hAnsi="Times New Roman;Times;serif"/>
          <w:sz w:val="20"/>
        </w:rPr>
        <w:t>During the three months ended March 31, 2024, the Company acquired one land parcel, for which the Company already owned the property leased to CVS in Baton Rouge, Louisiana, for a purchase price of $1.0 million. No properties were sold during the three months ended March 31, 2024.</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No properties were acquired during the three months ending March 31, 2023. During the three months ended March 31, 2023, the Company sold ten properties for an aggregate sales price of $56.2 million generating aggregate gains on sale of $4.5 million.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5" w:name="Tc_qfjjeSaKe0Si5IFMvA1myg_8_12"/>
      <w:bookmarkStart w:id="636" w:name="Tc_2FbvD_JJqEKypsXstxMMkw_8_0"/>
      <w:bookmarkStart w:id="637" w:name="Tc_f-kNMfico0GtCzBnHNgazw_7_0"/>
      <w:bookmarkStart w:id="638" w:name="Tc_V3TYYw8D60Cb0Ze9k7V3MQ_6_12"/>
      <w:bookmarkStart w:id="639" w:name="Tc_fJhn-h-2TEaehbGtkO_QfQ_6_9"/>
      <w:bookmarkStart w:id="640" w:name="Tc_qPv91L8nn0iQ-mxXTRuDnw_6_6"/>
      <w:bookmarkStart w:id="641" w:name="Tc_08O7szaerEa-DtDaB2Ir9A_5_4"/>
      <w:bookmarkStart w:id="642" w:name="Tc_DlwX3GDqN0S2aV1e6xc1vw_5_2"/>
      <w:bookmarkStart w:id="643" w:name="Tc_07T-0vA11kaAkdGjXKxlmg_5_0"/>
      <w:bookmarkStart w:id="644" w:name="Tc_Ocg6JIlDiEWJPdl0n9g7ug_4_4"/>
      <w:bookmarkStart w:id="645" w:name="Tc_ptCojYWGP0Coy5Zrr4hAHA_4_2"/>
      <w:bookmarkStart w:id="646" w:name="Tc_154wyW9060Onu7w0jpirSw_4_0"/>
      <w:bookmarkStart w:id="647" w:name="Tc_kEjFVvKiNUqVYlOGo80Abg_3_4"/>
      <w:bookmarkStart w:id="648" w:name="Tc_fYkTKR-DXkeL7zLS9Lyk9A_3_2"/>
      <w:bookmarkStart w:id="649" w:name="Tc_STaY0uqmzUCkF3tRv0ykrQ_3_0"/>
      <w:bookmarkStart w:id="650" w:name="Tc_EnQd0aPzQkG7CRD8UShurQ_2_12"/>
      <w:bookmarkStart w:id="651" w:name="Tc_2W-oFeI2BkizUNhcaqrRGg_2_9"/>
      <w:bookmarkStart w:id="652" w:name="Tc_TRkgjw3gVkWAgW3oiSYk5Q_2_6"/>
      <w:bookmarkStart w:id="653" w:name="Tc_EuTGNC1ZK0amKMZCuiOtaQ_2_4"/>
      <w:bookmarkStart w:id="654" w:name="Tc_Qa9r292ckU6D2v2OjH0JaQ_2_2"/>
      <w:bookmarkStart w:id="655" w:name="Tc_gSRv4qx320CFGKjxU6h4KA_2_0"/>
      <w:bookmarkStart w:id="656" w:name="Tc_26IxGYO_uUS3Z2SdddxxbA_1_15"/>
      <w:bookmarkStart w:id="657" w:name="Tc_9o5ZrJbN_US2Fq-u-QFDGQ_1_12"/>
      <w:bookmarkStart w:id="658" w:name="Tc_F5jDz2AeL0CawWVaBaMZEw_1_9"/>
      <w:bookmarkStart w:id="659" w:name="Tc_DcqLwoIWO0-oirjcMEqBKQ_1_6"/>
      <w:bookmarkStart w:id="660" w:name="Tc_1SrMJ32wJki0U-C6_aLLrg_1_4"/>
      <w:bookmarkStart w:id="661" w:name="Tc_LkEgszg5FkmKd26vfhZ6TA_1_2"/>
      <w:bookmarkStart w:id="662" w:name="Tc_81GofMJ7_0OpBh32Wbua5g_1_0"/>
      <w:bookmarkStart w:id="663" w:name="_397f6bcf_81ed_419d_a4af_0e0cc4c8e1f1"/>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r>
        <w:rPr>
          <w:rFonts w:ascii="Times New Roman;Times;serif" w:hAnsi="Times New Roman;Times;serif"/>
          <w:b/>
          <w:sz w:val="20"/>
        </w:rPr>
        <w:t>NOTE 4. COMMERCIAL LOANS AND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January 30, 2024, the Company originated a construction loan secured by the property and improvements to be constructed thereon for six retail outparcels in Lawrenceville, Georgia for $7.2 million. The construction loan matures on January 30, 2026, bears a fixed interest rate of 11.25% and requires interest-only payments prior to maturity. Funding of the loan will occur as the borrower completes the underlying construction. As of March 31, 2024, the Company has disbursed $3.6 million to the borrower.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25, 2023, the Company originated a construction loan secured by the property and improvements to be constructed thereon for a 33-acre Wawa-anchored land development project in Greenwood, Indiana for $7.8 million. The construction loan matures on July 25, 2025, bears a fixed interest rate of 8.50% that increases to 9.25% on July 25, 2024, and requires interest-only payments prior to maturity. Funding of the loan will occur as the borrower completes the underlying construction. As of March 31, 2024, the Company has disbursed $7.1 million to the borrower. </w:t>
      </w:r>
    </w:p>
    <w:p>
      <w:pPr>
        <w:pStyle w:val="TextBody"/>
        <w:bidi w:val="0"/>
        <w:spacing w:lineRule="auto" w:line="256"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30, 2023, the Company originated a construction loan secured by the property and improvements to be constructed thereon for a 5-acre land development project anchored by Wawa and McDonalds in Antioch, Tennessee for $6.8 million with the same borrower as the construction loan secured by the 33-acre Wawa-anchored land development project in Greenwood, Indiana. The construction loan matures on October 30, 2025, bears a fixed interest rate of 11.00% that decreases to 9.50% on October 30, 2024, and requires interest-only payments prior to maturity. Funding of the loan will occur as the borrower completes the underlying construction. As of March 31, 2024, the Company has disbursed $4.6 million to the borrower.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15, 2023, the Company originated a $24.0 million first mortgage secured by a portfolio of 41 assets and related improvements (the “Mortgage Note”). The Mortgage Note matures on November 15, 2026, has two one-year extension options, bears a fixed interest rate of 8.75% at the time of acquisition, will increase by 0.25% annually during the initial term, and requires interest-only payments prior to maturity. During the three months ended March 31, 2024, the Company received $0.6 million in principal repayments from the borrower.</w:t>
      </w:r>
    </w:p>
    <w:p>
      <w:pPr>
        <w:pStyle w:val="TextBody"/>
        <w:bidi w:val="0"/>
        <w:spacing w:lineRule="auto" w:line="256"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March 31, 2024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289"/>
        <w:gridCol w:w="326"/>
        <w:gridCol w:w="1076"/>
        <w:gridCol w:w="326"/>
        <w:gridCol w:w="962"/>
        <w:gridCol w:w="326"/>
        <w:gridCol w:w="265"/>
        <w:gridCol w:w="814"/>
        <w:gridCol w:w="326"/>
        <w:gridCol w:w="263"/>
        <w:gridCol w:w="807"/>
        <w:gridCol w:w="326"/>
        <w:gridCol w:w="229"/>
        <w:gridCol w:w="702"/>
        <w:gridCol w:w="326"/>
        <w:gridCol w:w="842"/>
      </w:tblGrid>
      <w:tr>
        <w:trPr/>
        <w:tc>
          <w:tcPr>
            <w:tcW w:w="22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83260" cy="175260"/>
                      <wp:effectExtent l="0" t="0" r="0" b="0"/>
                      <wp:wrapNone/>
                      <wp:docPr id="84" name="Frame84"/>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10870" cy="175260"/>
                      <wp:effectExtent l="0" t="0" r="0" b="0"/>
                      <wp:wrapNone/>
                      <wp:docPr id="86" name="Frame8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8275" cy="175260"/>
                      <wp:effectExtent l="0" t="0" r="0" b="0"/>
                      <wp:wrapNone/>
                      <wp:docPr id="88" name="Frame8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16890" cy="175260"/>
                      <wp:effectExtent l="0" t="0" r="0" b="0"/>
                      <wp:wrapNone/>
                      <wp:docPr id="89" name="Frame8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7005" cy="175260"/>
                      <wp:effectExtent l="0" t="0" r="0" b="0"/>
                      <wp:wrapNone/>
                      <wp:docPr id="91" name="Frame9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12445" cy="175260"/>
                      <wp:effectExtent l="0" t="0" r="0" b="0"/>
                      <wp:wrapNone/>
                      <wp:docPr id="92" name="Frame92"/>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5415" cy="175260"/>
                      <wp:effectExtent l="0" t="0" r="0" b="0"/>
                      <wp:wrapNone/>
                      <wp:docPr id="94" name="Frame9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45770" cy="175260"/>
                      <wp:effectExtent l="0" t="0" r="0" b="0"/>
                      <wp:wrapNone/>
                      <wp:docPr id="95" name="Frame95"/>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4670" cy="175260"/>
                      <wp:effectExtent l="0" t="0" r="0" b="0"/>
                      <wp:wrapNone/>
                      <wp:docPr id="97" name="Frame97"/>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1"/>
              <w:ind w:left="0" w:right="0" w:hanging="0"/>
              <w:jc w:val="left"/>
              <w:rPr/>
            </w:pPr>
            <w:r>
              <w:rPr/>
              <w:t>    </w:t>
            </w:r>
          </w:p>
        </w:tc>
        <w:tc>
          <w:tcPr>
            <w:tcW w:w="10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1"/>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1"/>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8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26" w:type="dxa"/>
            <w:tcBorders/>
            <w:shd w:fill="CCEEFF" w:val="clear"/>
            <w:vAlign w:val="center"/>
          </w:tcPr>
          <w:p>
            <w:pPr>
              <w:pStyle w:val="TableContents"/>
              <w:bidi w:val="0"/>
              <w:spacing w:before="0" w:after="1"/>
              <w:ind w:left="0" w:right="0" w:hanging="0"/>
              <w:jc w:val="left"/>
              <w:rPr/>
            </w:pPr>
            <w:r>
              <w:rPr/>
              <w:t>​</w:t>
            </w:r>
          </w:p>
        </w:tc>
        <w:tc>
          <w:tcPr>
            <w:tcW w:w="1076"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7,800</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7,082</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7,057</w:t>
            </w:r>
          </w:p>
        </w:tc>
        <w:tc>
          <w:tcPr>
            <w:tcW w:w="32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8.50%</w:t>
            </w:r>
          </w:p>
        </w:tc>
      </w:tr>
      <w:tr>
        <w:trPr/>
        <w:tc>
          <w:tcPr>
            <w:tcW w:w="228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26" w:type="dxa"/>
            <w:tcBorders/>
            <w:vAlign w:val="center"/>
          </w:tcPr>
          <w:p>
            <w:pPr>
              <w:pStyle w:val="TableContents"/>
              <w:bidi w:val="0"/>
              <w:spacing w:before="0" w:after="1"/>
              <w:ind w:left="0" w:right="0" w:hanging="0"/>
              <w:jc w:val="left"/>
              <w:rPr/>
            </w:pPr>
            <w:r>
              <w:rPr/>
              <w:t>​</w:t>
            </w:r>
          </w:p>
        </w:tc>
        <w:tc>
          <w:tcPr>
            <w:tcW w:w="1076"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6,825</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4,633</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4,592</w:t>
            </w:r>
          </w:p>
        </w:tc>
        <w:tc>
          <w:tcPr>
            <w:tcW w:w="32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228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26" w:type="dxa"/>
            <w:tcBorders/>
            <w:shd w:fill="CCEEFF" w:val="clear"/>
            <w:vAlign w:val="center"/>
          </w:tcPr>
          <w:p>
            <w:pPr>
              <w:pStyle w:val="TableContents"/>
              <w:bidi w:val="0"/>
              <w:spacing w:before="0" w:after="1"/>
              <w:ind w:left="0" w:right="0" w:hanging="0"/>
              <w:jc w:val="left"/>
              <w:rPr/>
            </w:pPr>
            <w:r>
              <w:rPr/>
              <w:t>​</w:t>
            </w:r>
          </w:p>
        </w:tc>
        <w:tc>
          <w:tcPr>
            <w:tcW w:w="1076"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23,370</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23,265</w:t>
            </w:r>
          </w:p>
        </w:tc>
        <w:tc>
          <w:tcPr>
            <w:tcW w:w="32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28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Construction Loan – Retail Outparcels – Lawrenceville, GA</w:t>
            </w:r>
          </w:p>
        </w:tc>
        <w:tc>
          <w:tcPr>
            <w:tcW w:w="326" w:type="dxa"/>
            <w:tcBorders/>
            <w:vAlign w:val="center"/>
          </w:tcPr>
          <w:p>
            <w:pPr>
              <w:pStyle w:val="TableContents"/>
              <w:bidi w:val="0"/>
              <w:spacing w:before="0" w:after="1"/>
              <w:ind w:left="0" w:right="0" w:hanging="0"/>
              <w:jc w:val="left"/>
              <w:rPr/>
            </w:pPr>
            <w:r>
              <w:rPr/>
              <w:t>​</w:t>
            </w:r>
          </w:p>
        </w:tc>
        <w:tc>
          <w:tcPr>
            <w:tcW w:w="1076"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7,200</w:t>
            </w:r>
          </w:p>
        </w:tc>
        <w:tc>
          <w:tcPr>
            <w:tcW w:w="32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3,601</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3,519</w:t>
            </w:r>
          </w:p>
        </w:tc>
        <w:tc>
          <w:tcPr>
            <w:tcW w:w="32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11.25%</w:t>
            </w:r>
          </w:p>
        </w:tc>
      </w:tr>
      <w:tr>
        <w:trPr/>
        <w:tc>
          <w:tcPr>
            <w:tcW w:w="228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45,825</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38,686</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38,433</w:t>
            </w:r>
          </w:p>
        </w:tc>
        <w:tc>
          <w:tcPr>
            <w:tcW w:w="32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center"/>
              <w:rPr/>
            </w:pPr>
            <w:r>
              <w:rPr/>
              <w:t>​</w:t>
            </w:r>
          </w:p>
        </w:tc>
      </w:tr>
      <w:tr>
        <w:trPr/>
        <w:tc>
          <w:tcPr>
            <w:tcW w:w="228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vAlign w:val="center"/>
          </w:tcPr>
          <w:p>
            <w:pPr>
              <w:pStyle w:val="TableContents"/>
              <w:bidi w:val="0"/>
              <w:spacing w:before="0" w:after="1"/>
              <w:ind w:left="0" w:right="0" w:hanging="0"/>
              <w:jc w:val="left"/>
              <w:rPr/>
            </w:pPr>
            <w:r>
              <w:rPr/>
              <w:t>​</w:t>
            </w:r>
          </w:p>
        </w:tc>
        <w:tc>
          <w:tcPr>
            <w:tcW w:w="1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(387)</w:t>
            </w:r>
          </w:p>
        </w:tc>
        <w:tc>
          <w:tcPr>
            <w:tcW w:w="32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228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0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38,046</w:t>
            </w:r>
          </w:p>
        </w:tc>
        <w:tc>
          <w:tcPr>
            <w:tcW w:w="32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32"/>
        <w:jc w:val="left"/>
        <w:rPr>
          <w:rFonts w:ascii="Times New Roman;Times;serif" w:hAnsi="Times New Roman;Times;serif"/>
          <w:sz w:val="20"/>
        </w:rPr>
      </w:pPr>
      <w:bookmarkStart w:id="664" w:name="Tc_EgmRKpN4CEeXh5l0YJnW2A_6_5"/>
      <w:bookmarkStart w:id="665" w:name="Tc_JTbj9NZztUOr5miM-hiPQw_6_2"/>
      <w:bookmarkStart w:id="666" w:name="Tc_96py6gomXUai5Ke0QfEbsA_6_0"/>
      <w:bookmarkStart w:id="667" w:name="Tc_4iNK69QBi0iNTxF_UyP4mg_5_0"/>
      <w:bookmarkStart w:id="668" w:name="Tc_GalGQx_9AESnIRIgz5KlGQ_4_0"/>
      <w:bookmarkStart w:id="669" w:name="Tc_8JS2o1SFWkmXETuCojcrMA_3_5"/>
      <w:bookmarkStart w:id="670" w:name="Tc_hj5F4IMoYUms2c7QfhLaBQ_3_2"/>
      <w:bookmarkStart w:id="671" w:name="Tc_Jlb39jeFzEqpCJwQHwp6oA_3_0"/>
      <w:bookmarkStart w:id="672" w:name="Tc_FP_0gwwAA02xBVvrN9c7cg_2_5"/>
      <w:bookmarkStart w:id="673" w:name="Tc_lvBv86B_7USHhKuyu4eviA_2_2"/>
      <w:bookmarkStart w:id="674" w:name="Tc_Rwq_QPUKN0-pf6okbyqQBQ_1_2"/>
      <w:bookmarkStart w:id="675" w:name="_f1147354_6f40_4d0f_af5b_a56592e8a870"/>
      <w:bookmarkStart w:id="676" w:name="Tc_sSg6p7Q3QEWFimxivBR-HA_7_12"/>
      <w:bookmarkStart w:id="677" w:name="Tc_k_eNEs4NfUeVRf3zKeYCkQ_7_0"/>
      <w:bookmarkStart w:id="678" w:name="Tc_HNIeA1ZZrEG0lNDhaE6pyw_6_0"/>
      <w:bookmarkStart w:id="679" w:name="Tc_gvBo4sfUT0KjdNyQzug6OA_5_12"/>
      <w:bookmarkStart w:id="680" w:name="Tc_gnJugFrpskOoPsFJRw58QQ_5_9"/>
      <w:bookmarkStart w:id="681" w:name="Tc_-bRRTkJsl0OSCZCfTsoVKg_5_6"/>
      <w:bookmarkStart w:id="682" w:name="Tc_DLu1AFovaUa6Gv_MrLlQHQ_4_4"/>
      <w:bookmarkStart w:id="683" w:name="Tc_BDsqFSYdXEWRTLBUoF1aQw_4_2"/>
      <w:bookmarkStart w:id="684" w:name="Tc_THanImSZ8Em3tG_XzWnDyQ_4_0"/>
      <w:bookmarkStart w:id="685" w:name="Tc_Efpd7-8cKkS231JcRh-fJw_3_4"/>
      <w:bookmarkStart w:id="686" w:name="Tc__lb6Li3EzkykFHcbVnl2OQ_3_2"/>
      <w:bookmarkStart w:id="687" w:name="Tc__edqUFUi-U24acUSoiVOLA_3_0"/>
      <w:bookmarkStart w:id="688" w:name="Tc_y3PsrDMD8U6JEQqBcN67Pw_2_12"/>
      <w:bookmarkStart w:id="689" w:name="Tc_OYi7oLLhc0mxfi4yF96KBg_2_9"/>
      <w:bookmarkStart w:id="690" w:name="Tc_4zyuh7rB_E6Ivvh7xJ7Evw_2_6"/>
      <w:bookmarkStart w:id="691" w:name="Tc_XUpWFOwgGkOqVpACClsdsQ_2_4"/>
      <w:bookmarkStart w:id="692" w:name="Tc_zZ5GM2UHMUKLwJMFJdj2Vw_2_2"/>
      <w:bookmarkStart w:id="693" w:name="Tc_pADfmRWY5UW5oudH68S-1w_2_0"/>
      <w:bookmarkStart w:id="694" w:name="Tc_Or_7X3eR3EK25Z6zL7ybVw_1_15"/>
      <w:bookmarkStart w:id="695" w:name="Tc_HX5qrVU_PUamdBQJaEPVBQ_1_12"/>
      <w:bookmarkStart w:id="696" w:name="Tc_6gZZ7LGYbESvf1x5y7qEXg_1_9"/>
      <w:bookmarkStart w:id="697" w:name="Tc_R4nCjWbiLUq1VaMyo3eheA_1_6"/>
      <w:bookmarkStart w:id="698" w:name="Tc_I6oFfR7xF0ilYcEqZ2W9jg_1_4"/>
      <w:bookmarkStart w:id="699" w:name="Tc_K9aLSnkGjUahIecaYxJSSA_1_2"/>
      <w:bookmarkStart w:id="700" w:name="Tc_EtPnYQO6w0aCnPxjNypJVA_1_0"/>
      <w:bookmarkStart w:id="701" w:name="_cc3ff1ad_78de_4316_9946_a82910a4af2d"/>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rFonts w:ascii="Times New Roman;Times;serif" w:hAnsi="Times New Roman;Times;serif"/>
          <w:sz w:val="20"/>
        </w:rPr>
        <w:t>The Company’s commercial loans and investments were comprised of the following at December 31, 2023 (in thousands):</w:t>
      </w:r>
    </w:p>
    <w:tbl>
      <w:tblPr>
        <w:tblW w:w="10205" w:type="dxa"/>
        <w:jc w:val="left"/>
        <w:tblInd w:w="0" w:type="dxa"/>
        <w:tblLayout w:type="fixed"/>
        <w:tblCellMar>
          <w:top w:w="0" w:type="dxa"/>
          <w:left w:w="0" w:type="dxa"/>
          <w:bottom w:w="0" w:type="dxa"/>
          <w:right w:w="0" w:type="dxa"/>
        </w:tblCellMar>
      </w:tblPr>
      <w:tblGrid>
        <w:gridCol w:w="2230"/>
        <w:gridCol w:w="326"/>
        <w:gridCol w:w="1085"/>
        <w:gridCol w:w="326"/>
        <w:gridCol w:w="969"/>
        <w:gridCol w:w="326"/>
        <w:gridCol w:w="269"/>
        <w:gridCol w:w="825"/>
        <w:gridCol w:w="326"/>
        <w:gridCol w:w="266"/>
        <w:gridCol w:w="818"/>
        <w:gridCol w:w="326"/>
        <w:gridCol w:w="230"/>
        <w:gridCol w:w="707"/>
        <w:gridCol w:w="326"/>
        <w:gridCol w:w="850"/>
      </w:tblGrid>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88975" cy="175260"/>
                      <wp:effectExtent l="0" t="0" r="0" b="0"/>
                      <wp:wrapNone/>
                      <wp:docPr id="98" name="Frame98"/>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15315" cy="175260"/>
                      <wp:effectExtent l="0" t="0" r="0" b="0"/>
                      <wp:wrapNone/>
                      <wp:docPr id="100" name="Frame100"/>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0815" cy="175260"/>
                      <wp:effectExtent l="0" t="0" r="0" b="0"/>
                      <wp:wrapNone/>
                      <wp:docPr id="102" name="Frame102"/>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23875" cy="175260"/>
                      <wp:effectExtent l="0" t="0" r="0" b="0"/>
                      <wp:wrapNone/>
                      <wp:docPr id="103" name="Frame103"/>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8910" cy="175260"/>
                      <wp:effectExtent l="0" t="0" r="0" b="0"/>
                      <wp:wrapNone/>
                      <wp:docPr id="105" name="Frame10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19430" cy="175260"/>
                      <wp:effectExtent l="0" t="0" r="0" b="0"/>
                      <wp:wrapNone/>
                      <wp:docPr id="106" name="Frame106"/>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6050" cy="175260"/>
                      <wp:effectExtent l="0" t="0" r="0" b="0"/>
                      <wp:wrapNone/>
                      <wp:docPr id="108" name="Frame10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48945" cy="175260"/>
                      <wp:effectExtent l="0" t="0" r="0" b="0"/>
                      <wp:wrapNone/>
                      <wp:docPr id="109" name="Frame109"/>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9750" cy="175260"/>
                      <wp:effectExtent l="0" t="0" r="0" b="0"/>
                      <wp:wrapNone/>
                      <wp:docPr id="111" name="Frame111"/>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7,014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6,984</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8.50%</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6,825</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4,615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4,568</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23,885</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38,625</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35,629</w:t>
            </w:r>
          </w:p>
        </w:tc>
        <w:tc>
          <w:tcPr>
            <w:tcW w:w="326" w:type="dxa"/>
            <w:tcBorders/>
            <w:vAlign w:val="center"/>
          </w:tcPr>
          <w:p>
            <w:pPr>
              <w:pStyle w:val="TableContents"/>
              <w:bidi w:val="0"/>
              <w:spacing w:before="0" w:after="0"/>
              <w:ind w:left="0" w:right="0" w:hanging="0"/>
              <w:jc w:val="left"/>
              <w:rPr/>
            </w:pPr>
            <w:r>
              <w:rPr/>
              <w:t>​</w:t>
            </w:r>
          </w:p>
        </w:tc>
        <w:tc>
          <w:tcPr>
            <w:tcW w:w="2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35,437</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35,080</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The carrying value of the commercial loans and investments consisted of the following at March 31, 2024 and December 31, 2023 (in thousands).</w:t>
      </w:r>
    </w:p>
    <w:p>
      <w:pPr>
        <w:pStyle w:val="TextBody"/>
        <w:bidi w:val="0"/>
        <w:spacing w:before="0" w:after="240"/>
        <w:ind w:left="0" w:right="0" w:firstLine="720"/>
        <w:jc w:val="left"/>
        <w:rPr/>
      </w:pPr>
      <w:r>
        <w:rPr/>
        <w:t>​</w:t>
      </w:r>
    </w:p>
    <w:tbl>
      <w:tblPr>
        <w:tblW w:w="7358" w:type="dxa"/>
        <w:jc w:val="left"/>
        <w:tblInd w:w="0" w:type="dxa"/>
        <w:tblLayout w:type="fixed"/>
        <w:tblCellMar>
          <w:top w:w="0" w:type="dxa"/>
          <w:left w:w="0" w:type="dxa"/>
          <w:bottom w:w="0" w:type="dxa"/>
          <w:right w:w="0" w:type="dxa"/>
        </w:tblCellMar>
      </w:tblPr>
      <w:tblGrid>
        <w:gridCol w:w="3496"/>
        <w:gridCol w:w="326"/>
        <w:gridCol w:w="342"/>
        <w:gridCol w:w="1098"/>
        <w:gridCol w:w="326"/>
        <w:gridCol w:w="375"/>
        <w:gridCol w:w="1395"/>
      </w:tblGrid>
      <w:tr>
        <w:trPr/>
        <w:tc>
          <w:tcPr>
            <w:tcW w:w="3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95" w:type="dxa"/>
            <w:tcBorders/>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1"/>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38,686</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35,629</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1"/>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38,046</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35,080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02" w:name="Tc_QbTO41fwV0mf4pU-7kf0hA_6_11"/>
      <w:bookmarkStart w:id="703" w:name="Tc_SuiaST-UaUWXMpLXh4Kpaw_6_8"/>
      <w:bookmarkStart w:id="704" w:name="Tc_jeZWPNMNhk-873ctwqjKfw_6_5"/>
      <w:bookmarkStart w:id="705" w:name="Tc_Nj12_k4AR0Op7md_pXqX5A_6_2"/>
      <w:bookmarkStart w:id="706" w:name="Tc_O_6QEXvrxUmI4gVWBRnRzQ_6_0"/>
      <w:bookmarkStart w:id="707" w:name="Tc_Z9r0RGjQmEOGkbLxDYg94A_5_11"/>
      <w:bookmarkStart w:id="708" w:name="Tc_10dB60bOqUWsa9ghL3R6Fg_5_8"/>
      <w:bookmarkStart w:id="709" w:name="Tc_RleCnyaPdk-KCzv3aIjLGg_5_5"/>
      <w:bookmarkStart w:id="710" w:name="Tc_WwNWJ8TNWk-5tYDQIupQug_5_2"/>
      <w:bookmarkStart w:id="711" w:name="Tc_uxpKXLlx_061uMoeGxmS6w_5_0"/>
      <w:bookmarkStart w:id="712" w:name="Tc_XEkFdn7guEyaKSBLdbDYdQ_4_11"/>
      <w:bookmarkStart w:id="713" w:name="Tc_m0MNw7TGjUCo-YyFJHzvTA_4_8"/>
      <w:bookmarkStart w:id="714" w:name="Tc_luLI8aHwhkyzjQMrE4IK1g_4_5"/>
      <w:bookmarkStart w:id="715" w:name="Tc_zcO8fM06ck-qFk4h4WFtVA_4_2"/>
      <w:bookmarkStart w:id="716" w:name="Tc_Na9K7j0rVU2NOxoVxo3Dfw_4_0"/>
      <w:bookmarkStart w:id="717" w:name="Tc_dkN-pamLLUWxOMkhZKbs_A_3_11"/>
      <w:bookmarkStart w:id="718" w:name="Tc_8ILq-PBXdE2DYbtChF_5tg_3_8"/>
      <w:bookmarkStart w:id="719" w:name="Tc_dhVMtmbXcku1ddKD4-adEQ_3_5"/>
      <w:bookmarkStart w:id="720" w:name="Tc_ZDtKkxvA702bVJadP9t-lg_3_2"/>
      <w:bookmarkStart w:id="721" w:name="Tc_W6Utpk__e0mmjuY34_u5pA_3_0"/>
      <w:bookmarkStart w:id="722" w:name="Tc_2n3DyEV5P0OCISSTKMyOlg_2_11"/>
      <w:bookmarkStart w:id="723" w:name="Tc_CYf8T1GdM06a8UozqxGI8A_2_8"/>
      <w:bookmarkStart w:id="724" w:name="Tc_HPYntOhynE-5Pxf1CJZSjQ_2_5"/>
      <w:bookmarkStart w:id="725" w:name="Tc_BCjTLo0nIEuYETx-ZO0GzA_2_2"/>
      <w:bookmarkStart w:id="726" w:name="Tc_XVxm2HK5aEWCpYOfExTuKQ_1_8"/>
      <w:bookmarkStart w:id="727" w:name="Tc_sgTktrcVjEaYOyqy6RrjYA_1_2"/>
      <w:bookmarkStart w:id="728" w:name="_05634ae2_d568_437c_a720_3b9b2ba7704b"/>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rPr>
          <w:rFonts w:ascii="Times New Roman;Times;serif" w:hAnsi="Times New Roman;Times;serif"/>
          <w:b/>
          <w:sz w:val="20"/>
        </w:rPr>
        <w:t>NOTE 5. FAIR VALUE OF FINANCIAL INSTRUMENTS</w:t>
      </w:r>
    </w:p>
    <w:p>
      <w:pPr>
        <w:pStyle w:val="TextBody"/>
        <w:bidi w:val="0"/>
        <w:spacing w:lineRule="auto" w:line="256"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March 31, 2024 and December 31, 2023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911"/>
        <w:gridCol w:w="326"/>
        <w:gridCol w:w="281"/>
        <w:gridCol w:w="1042"/>
        <w:gridCol w:w="326"/>
        <w:gridCol w:w="351"/>
        <w:gridCol w:w="1305"/>
        <w:gridCol w:w="326"/>
        <w:gridCol w:w="281"/>
        <w:gridCol w:w="1042"/>
        <w:gridCol w:w="326"/>
        <w:gridCol w:w="323"/>
        <w:gridCol w:w="1365"/>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78435" cy="175260"/>
                      <wp:effectExtent l="0" t="0" r="0" b="0"/>
                      <wp:wrapNone/>
                      <wp:docPr id="113" name="Frame11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1670" cy="175260"/>
                      <wp:effectExtent l="0" t="0" r="0" b="0"/>
                      <wp:wrapNone/>
                      <wp:docPr id="114" name="Frame114"/>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22885" cy="175260"/>
                      <wp:effectExtent l="0" t="0" r="0" b="0"/>
                      <wp:wrapNone/>
                      <wp:docPr id="116" name="Frame116"/>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828675" cy="175260"/>
                      <wp:effectExtent l="0" t="0" r="0" b="0"/>
                      <wp:wrapNone/>
                      <wp:docPr id="117" name="Frame117"/>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8435" cy="175260"/>
                      <wp:effectExtent l="0" t="0" r="0" b="0"/>
                      <wp:wrapNone/>
                      <wp:docPr id="119" name="Frame11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1670" cy="175260"/>
                      <wp:effectExtent l="0" t="0" r="0" b="0"/>
                      <wp:wrapNone/>
                      <wp:docPr id="120" name="Frame120"/>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5105" cy="175260"/>
                      <wp:effectExtent l="0" t="0" r="0" b="0"/>
                      <wp:wrapNone/>
                      <wp:docPr id="122" name="Frame12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66775" cy="175260"/>
                      <wp:effectExtent l="0" t="0" r="0" b="0"/>
                      <wp:wrapNone/>
                      <wp:docPr id="123" name="Frame123"/>
                      <a:graphic xmlns:a="http://schemas.openxmlformats.org/drawingml/2006/main">
                        <a:graphicData uri="http://schemas.microsoft.com/office/word/2010/wordprocessingShape">
                          <wps:wsp>
                            <wps:cNvSpPr txBox="1"/>
                            <wps:spPr>
                              <a:xfrm>
                                <a:off x="0" y="0"/>
                                <a:ext cx="86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left"/>
              <w:rPr/>
            </w:pPr>
            <w:r>
              <w:rPr/>
              <w:t>​</w:t>
            </w:r>
          </w:p>
        </w:tc>
        <w:tc>
          <w:tcPr>
            <w:tcW w:w="33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6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Estimated Fair Value </w:t>
            </w:r>
          </w:p>
        </w:tc>
        <w:tc>
          <w:tcPr>
            <w:tcW w:w="326" w:type="dxa"/>
            <w:tcBorders/>
            <w:vAlign w:val="center"/>
          </w:tcPr>
          <w:p>
            <w:pPr>
              <w:pStyle w:val="TableContents"/>
              <w:bidi w:val="0"/>
              <w:spacing w:before="0" w:after="0"/>
              <w:ind w:left="0" w:right="0" w:hanging="0"/>
              <w:jc w:val="left"/>
              <w:rPr/>
            </w:pPr>
            <w:r>
              <w:rPr/>
              <w:t>    </w:t>
            </w:r>
          </w:p>
        </w:tc>
        <w:tc>
          <w:tcPr>
            <w:tcW w:w="13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5,145</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38,046</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272,256</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256,895</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258,613</w:t>
            </w:r>
          </w:p>
        </w:tc>
      </w:tr>
    </w:tbl>
    <w:p>
      <w:pPr>
        <w:pStyle w:val="TextBody"/>
        <w:bidi w:val="0"/>
        <w:spacing w:lineRule="auto" w:line="256" w:before="0" w:after="0"/>
        <w:ind w:left="0" w:right="0" w:hanging="0"/>
        <w:jc w:val="both"/>
        <w:rPr/>
      </w:pPr>
      <w:r>
        <w:rPr/>
        <w:t> </w:t>
      </w:r>
    </w:p>
    <w:p>
      <w:pPr>
        <w:pStyle w:val="TextBody"/>
        <w:bidi w:val="0"/>
        <w:spacing w:lineRule="auto" w:line="256" w:before="0" w:after="240"/>
        <w:ind w:left="0" w:right="0" w:hanging="0"/>
        <w:jc w:val="both"/>
        <w:rPr/>
      </w:pPr>
      <w:r>
        <w:rPr/>
        <w:t> </w:t>
      </w:r>
    </w:p>
    <w:p>
      <w:pPr>
        <w:pStyle w:val="TextBody"/>
        <w:bidi w:val="0"/>
        <w:spacing w:lineRule="auto" w:line="256" w:before="240" w:after="240"/>
        <w:ind w:left="0" w:right="0" w:firstLine="360"/>
        <w:jc w:val="both"/>
        <w:rPr>
          <w:rFonts w:ascii="Times New Roman;Times;serif" w:hAnsi="Times New Roman;Times;serif"/>
          <w:sz w:val="20"/>
        </w:rPr>
      </w:pPr>
      <w:r>
        <w:rPr>
          <w:rFonts w:ascii="Times New Roman;Times;serif" w:hAnsi="Times New Roman;Times;serif"/>
          <w:sz w:val="20"/>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0"/>
        <w:ind w:left="0" w:right="0" w:firstLine="360"/>
        <w:jc w:val="both"/>
        <w:rPr>
          <w:rFonts w:ascii="Times New Roman;Times;serif" w:hAnsi="Times New Roman;Times;serif"/>
          <w:sz w:val="20"/>
        </w:rPr>
      </w:pPr>
      <w:bookmarkStart w:id="729" w:name="Tc_Kz2u5Ea380-2WQJQOhac6g_10_12"/>
      <w:bookmarkStart w:id="730" w:name="Tc_y_KR_YMY90CIttkGhy9hAA_10_11"/>
      <w:bookmarkStart w:id="731" w:name="Tc_cjixbDwpI0KA987JmCQj1Q_10_8"/>
      <w:bookmarkStart w:id="732" w:name="Tc_krI07gFaJEOySYdG21W0nA_10_6"/>
      <w:bookmarkStart w:id="733" w:name="Tc_OO23FcCAyk6HM4ugCYqWBg_10_5"/>
      <w:bookmarkStart w:id="734" w:name="Tc_vtC9esdPu02OgaJmaL28LA_10_2"/>
      <w:bookmarkStart w:id="735" w:name="Tc_4aCgps9ZbkuhxAE4d4qeLA_10_0"/>
      <w:bookmarkStart w:id="736" w:name="Tc_ERGOfnDaOEapkOMZwUnY6g_9_12"/>
      <w:bookmarkStart w:id="737" w:name="Tc_nwkiGulKHEmSwWJDH15sqg_9_11"/>
      <w:bookmarkStart w:id="738" w:name="Tc_Z2rVcDJX7EGOnVzhBe0rOQ_9_8"/>
      <w:bookmarkStart w:id="739" w:name="Tc_ddnUsEHbfEa1Qz4KIaaHtw_9_6"/>
      <w:bookmarkStart w:id="740" w:name="Tc_5AzJm_-6P0S2EcuqZBo5Yw_9_5"/>
      <w:bookmarkStart w:id="741" w:name="Tc_Kwbq8lafDkq8C_CESRHc9g_9_2"/>
      <w:bookmarkStart w:id="742" w:name="Tc_rb-zVDzPbEq-7sq0WJWOQw_9_0"/>
      <w:bookmarkStart w:id="743" w:name="Tc_ZMz3vlmsRk2voviAR1GDJQ_8_12"/>
      <w:bookmarkStart w:id="744" w:name="Tc_D4ilE5cyBEeofAZSDiBRUw_8_11"/>
      <w:bookmarkStart w:id="745" w:name="Tc_CEW-x1z1RkagHhEGzA74BQ_8_8"/>
      <w:bookmarkStart w:id="746" w:name="Tc_kkVk5BOlE0S6JjxPsMZuDg_8_6"/>
      <w:bookmarkStart w:id="747" w:name="Tc_aa6KN1KNA0msB0zu9zWMCA_8_5"/>
      <w:bookmarkStart w:id="748" w:name="Tc_cjfv6KcbgUWSeJj7_B5dZA_8_2"/>
      <w:bookmarkStart w:id="749" w:name="Tc_Yi1M3EUL4E6t_CciDOY0-w_8_0"/>
      <w:bookmarkStart w:id="750" w:name="Tc_kY6b5R9aSk2TCxTDjTRuIw_7_0"/>
      <w:bookmarkStart w:id="751" w:name="Tc_3AhYSTjcKU-_wwkWWf60hA_6_12"/>
      <w:bookmarkStart w:id="752" w:name="Tc_xynt0O5VFEedxIOaueS0BQ_6_11"/>
      <w:bookmarkStart w:id="753" w:name="Tc_S76MceMV0kyqUqOsALIaWA_6_8"/>
      <w:bookmarkStart w:id="754" w:name="Tc_-Jd0dMrtt0GCywZkGZku_A_6_6"/>
      <w:bookmarkStart w:id="755" w:name="Tc_KDqRpIJ-gkaxsUUNhV4lKQ_6_5"/>
      <w:bookmarkStart w:id="756" w:name="Tc_xd9t-boLJEWWOKVkDeBtpg_6_2"/>
      <w:bookmarkStart w:id="757" w:name="Tc__3mA4qy280yFX3Pt9fVC1g_6_0"/>
      <w:bookmarkStart w:id="758" w:name="Tc_cTVK1IB6w02iUXnyao9zVA_5_12"/>
      <w:bookmarkStart w:id="759" w:name="Tc_DzvktHwOjESchB494zazVg_5_11"/>
      <w:bookmarkStart w:id="760" w:name="Tc_5OFLi-OlxUiNXOsZahjc9g_5_8"/>
      <w:bookmarkStart w:id="761" w:name="Tc_kfujxgebxUu6Sz8YG1YKgg_5_6"/>
      <w:bookmarkStart w:id="762" w:name="Tc_Gj52Q-bNWEGwfC4-pO-vsQ_5_5"/>
      <w:bookmarkStart w:id="763" w:name="Tc_UGZD_zC1kEapYBE1E2ImoA_5_2"/>
      <w:bookmarkStart w:id="764" w:name="Tc_Myv5jC_V2kaT17QQMhJEXw_5_0"/>
      <w:bookmarkStart w:id="765" w:name="Tc_KWvizuJdVE2If7NSG19hew_4_12"/>
      <w:bookmarkStart w:id="766" w:name="Tc_fnA6LvEI9EaimgNMp8mLww_4_11"/>
      <w:bookmarkStart w:id="767" w:name="Tc_xf2pr5p7tkekIcJJJQ4elA_4_8"/>
      <w:bookmarkStart w:id="768" w:name="Tc_bIJM9IYLe0aKoMHZieyrhg_4_6"/>
      <w:bookmarkStart w:id="769" w:name="Tc_GEdLVPzIzU2xvrpxODAewA_4_5"/>
      <w:bookmarkStart w:id="770" w:name="Tc_Uk7HgmDfwUubpqfPOdK4kQ_4_2"/>
      <w:bookmarkStart w:id="771" w:name="Tc_k2P8cw-1Wkewix6_TwipHg_4_0"/>
      <w:bookmarkStart w:id="772" w:name="Tc_oXcXTzFiL0KIRixGIgQ9XA_3_0"/>
      <w:bookmarkStart w:id="773" w:name="Tc_nTibH1FZJU-vkVEtFYXOxw_2_11"/>
      <w:bookmarkStart w:id="774" w:name="Tc_7eGQ5lwJskiMJh4JrlJwUg_2_8"/>
      <w:bookmarkStart w:id="775" w:name="Tc_ER3qkWrxY0q6iH-qS2srbA_2_5"/>
      <w:bookmarkStart w:id="776" w:name="Tc_BfRGmWxSQEezu3fQvxBhsA_2_2"/>
      <w:bookmarkStart w:id="777" w:name="Tc_gI6YmJdGfUGUzEw-3srGHw_1_5"/>
      <w:bookmarkStart w:id="778" w:name="_d2a09599_84f9_4581_9e8b_b5b5a67ed9f7"/>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ascii="Times New Roman;Times;serif" w:hAnsi="Times New Roman;Times;serif"/>
          <w:sz w:val="20"/>
        </w:rPr>
        <w:t>The following tables present the fair value of assets measured on a recurring basis by level as of March 31, 2024 and December 31, 2023 (in thousands). See Note 13, “Interest Rate Swaps” for further disclosure related to the Company’s interest rate swaps.</w:t>
      </w:r>
    </w:p>
    <w:p>
      <w:pPr>
        <w:pStyle w:val="TextBody"/>
        <w:bidi w:val="0"/>
        <w:spacing w:lineRule="auto" w:line="256"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862"/>
        <w:gridCol w:w="326"/>
        <w:gridCol w:w="230"/>
        <w:gridCol w:w="623"/>
        <w:gridCol w:w="326"/>
        <w:gridCol w:w="827"/>
        <w:gridCol w:w="1359"/>
        <w:gridCol w:w="343"/>
        <w:gridCol w:w="522"/>
        <w:gridCol w:w="1419"/>
        <w:gridCol w:w="343"/>
        <w:gridCol w:w="631"/>
        <w:gridCol w:w="1394"/>
      </w:tblGrid>
      <w:tr>
        <w:trPr/>
        <w:tc>
          <w:tcPr>
            <w:tcW w:w="1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82370" cy="175260"/>
                      <wp:effectExtent l="0" t="0" r="0" b="0"/>
                      <wp:wrapNone/>
                      <wp:docPr id="124" name="Frame124"/>
                      <a:graphic xmlns:a="http://schemas.openxmlformats.org/drawingml/2006/main">
                        <a:graphicData uri="http://schemas.microsoft.com/office/word/2010/wordprocessingShape">
                          <wps:wsp>
                            <wps:cNvSpPr txBox="1"/>
                            <wps:spPr>
                              <a:xfrm>
                                <a:off x="0" y="0"/>
                                <a:ext cx="1182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6050" cy="175260"/>
                      <wp:effectExtent l="0" t="0" r="0" b="0"/>
                      <wp:wrapNone/>
                      <wp:docPr id="126" name="Frame12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95605" cy="175260"/>
                      <wp:effectExtent l="0" t="0" r="0" b="0"/>
                      <wp:wrapNone/>
                      <wp:docPr id="127" name="Frame127"/>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25145" cy="175260"/>
                      <wp:effectExtent l="0" t="0" r="0" b="0"/>
                      <wp:wrapNone/>
                      <wp:docPr id="129" name="Frame129"/>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62965" cy="175260"/>
                      <wp:effectExtent l="0" t="0" r="0" b="0"/>
                      <wp:wrapNone/>
                      <wp:docPr id="130" name="Frame130"/>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7805" cy="175260"/>
                      <wp:effectExtent l="0" t="0" r="0" b="0"/>
                      <wp:wrapNone/>
                      <wp:docPr id="131" name="Frame131"/>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31470" cy="175260"/>
                      <wp:effectExtent l="0" t="0" r="0" b="0"/>
                      <wp:wrapNone/>
                      <wp:docPr id="132" name="Frame132"/>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01065" cy="175260"/>
                      <wp:effectExtent l="0" t="0" r="0" b="0"/>
                      <wp:wrapNone/>
                      <wp:docPr id="133" name="Frame133"/>
                      <a:graphic xmlns:a="http://schemas.openxmlformats.org/drawingml/2006/main">
                        <a:graphicData uri="http://schemas.microsoft.com/office/word/2010/wordprocessingShape">
                          <wps:wsp>
                            <wps:cNvSpPr txBox="1"/>
                            <wps:spPr>
                              <a:xfrm>
                                <a:off x="0" y="0"/>
                                <a:ext cx="901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7805" cy="175260"/>
                      <wp:effectExtent l="0" t="0" r="0" b="0"/>
                      <wp:wrapNone/>
                      <wp:docPr id="134" name="Frame13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00685" cy="175260"/>
                      <wp:effectExtent l="0" t="0" r="0" b="0"/>
                      <wp:wrapNone/>
                      <wp:docPr id="135" name="Frame1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85190" cy="175260"/>
                      <wp:effectExtent l="0" t="0" r="0" b="0"/>
                      <wp:wrapNone/>
                      <wp:docPr id="136" name="Frame136"/>
                      <a:graphic xmlns:a="http://schemas.openxmlformats.org/drawingml/2006/main">
                        <a:graphicData uri="http://schemas.microsoft.com/office/word/2010/wordprocessingShape">
                          <wps:wsp>
                            <wps:cNvSpPr txBox="1"/>
                            <wps:spPr>
                              <a:xfrm>
                                <a:off x="0" y="0"/>
                                <a:ext cx="885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 Reporting Date Using</w:t>
            </w:r>
          </w:p>
        </w:tc>
      </w:tr>
      <w:tr>
        <w:trPr/>
        <w:tc>
          <w:tcPr>
            <w:tcW w:w="1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left"/>
              <w:rPr/>
            </w:pPr>
            <w:r>
              <w:rPr/>
              <w:t>    </w:t>
            </w:r>
          </w:p>
        </w:tc>
        <w:tc>
          <w:tcPr>
            <w:tcW w:w="2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for Identical Assets (Level 1)</w:t>
            </w:r>
          </w:p>
        </w:tc>
        <w:tc>
          <w:tcPr>
            <w:tcW w:w="343" w:type="dxa"/>
            <w:tcBorders/>
            <w:vAlign w:val="center"/>
          </w:tcPr>
          <w:p>
            <w:pPr>
              <w:pStyle w:val="TableContents"/>
              <w:bidi w:val="0"/>
              <w:spacing w:before="0" w:after="0"/>
              <w:ind w:left="0" w:right="0" w:hanging="0"/>
              <w:jc w:val="left"/>
              <w:rPr/>
            </w:pPr>
            <w:r>
              <w:rPr/>
              <w:t>    </w:t>
            </w:r>
          </w:p>
        </w:tc>
        <w:tc>
          <w:tcPr>
            <w:tcW w:w="1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343" w:type="dxa"/>
            <w:tcBorders/>
            <w:vAlign w:val="center"/>
          </w:tcPr>
          <w:p>
            <w:pPr>
              <w:pStyle w:val="TableContents"/>
              <w:bidi w:val="0"/>
              <w:spacing w:before="0" w:after="0"/>
              <w:ind w:left="0" w:right="0" w:hanging="0"/>
              <w:jc w:val="left"/>
              <w:rPr/>
            </w:pPr>
            <w:r>
              <w:rPr/>
              <w:t>    </w:t>
            </w:r>
          </w:p>
        </w:tc>
        <w:tc>
          <w:tcPr>
            <w:tcW w:w="2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 (Level 3)</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394"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Interest Rate Swap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394" w:type="dxa"/>
            <w:tcBorders/>
            <w:shd w:fill="CCEEFF" w:val="clear"/>
            <w:vAlign w:val="center"/>
          </w:tcPr>
          <w:p>
            <w:pPr>
              <w:pStyle w:val="TableContents"/>
              <w:bidi w:val="0"/>
              <w:spacing w:before="0" w:after="0"/>
              <w:ind w:left="0" w:right="0" w:hanging="0"/>
              <w:jc w:val="lef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Interest Rate Swap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72"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13,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interest rate swaps to fix SOFR and achieve a weighted average fixed interest rate of 1.18%</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13, “Interest Rate Swaps” for further disclosure related to the Company’s interest rate swaps. The $6.6</w:t>
            </w:r>
            <w:r>
              <w:rPr>
                <w:caps w:val="false"/>
                <w:smallCaps w:val="false"/>
              </w:rPr>
              <w:t xml:space="preserve"> </w:t>
            </w:r>
            <w:r>
              <w:rPr>
                <w:rFonts w:ascii="Times New Roman;Times;serif" w:hAnsi="Times New Roman;Times;serif"/>
                <w:b w:val="false"/>
                <w:i w:val="false"/>
                <w:caps w:val="false"/>
                <w:smallCaps w:val="false"/>
                <w:sz w:val="16"/>
              </w:rPr>
              <w:t>million fair value includes $3.9</w:t>
            </w:r>
            <w:r>
              <w:rPr>
                <w:caps w:val="false"/>
                <w:smallCaps w:val="false"/>
              </w:rPr>
              <w:t xml:space="preserve"> </w:t>
            </w:r>
            <w:r>
              <w:rPr>
                <w:rFonts w:ascii="Times New Roman;Times;serif" w:hAnsi="Times New Roman;Times;serif"/>
                <w:b w:val="false"/>
                <w:i w:val="false"/>
                <w:caps w:val="false"/>
                <w:smallCaps w:val="false"/>
                <w:sz w:val="16"/>
              </w:rPr>
              <w:t>million attributable to an $80.0</w:t>
            </w:r>
            <w:r>
              <w:rPr>
                <w:caps w:val="false"/>
                <w:smallCaps w:val="false"/>
              </w:rPr>
              <w:t xml:space="preserve"> </w:t>
            </w:r>
            <w:r>
              <w:rPr>
                <w:rFonts w:ascii="Times New Roman;Times;serif" w:hAnsi="Times New Roman;Times;serif"/>
                <w:b w:val="false"/>
                <w:i w:val="false"/>
                <w:caps w:val="false"/>
                <w:smallCaps w:val="false"/>
                <w:sz w:val="16"/>
              </w:rPr>
              <w:t>million forward starting swap effective November 29, 2024 as seen in Note 13,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13, “Interest Rate Swaps” for further disclosure related to the Company’s interest rate swaps.</w:t>
            </w:r>
            <w:r>
              <w:rPr>
                <w:caps w:val="false"/>
                <w:smallCaps w:val="false"/>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hanging="0"/>
        <w:jc w:val="left"/>
        <w:rPr/>
      </w:pPr>
      <w:bookmarkStart w:id="779" w:name="Tc_JNBkig1vUUOrqwb-1r39tA_15_5"/>
      <w:bookmarkStart w:id="780" w:name="Tc_msJ206w2E0OBtBV1o915WQ_15_2"/>
      <w:bookmarkStart w:id="781" w:name="Tc_RXjDtrYAUEeItV1lVin4JQ_15_0"/>
      <w:bookmarkStart w:id="782" w:name="Tc_wEW8NRHgHESuYY6i3mOgPQ_14_0"/>
      <w:bookmarkStart w:id="783" w:name="Tc_X1qYkxcE0kSxEUrX3WWfoQ_13_0"/>
      <w:bookmarkStart w:id="784" w:name="Tc_d2Fb_AuHxkCGQjqQLnT00g_12_0"/>
      <w:bookmarkStart w:id="785" w:name="Tc_kJAJWef2jUa0TnNJIbsfFg_11_0"/>
      <w:bookmarkStart w:id="786" w:name="Tc_5ePZa0rVKE6nKtdfJHUrCw_10_0"/>
      <w:bookmarkStart w:id="787" w:name="Tc_o4nq085xoUqMcxN_ZRdHuA_9_0"/>
      <w:bookmarkStart w:id="788" w:name="Tc_X0l2DqpN6US-fCTP3xxIag_8_0"/>
      <w:bookmarkStart w:id="789" w:name="Tc_D2ouMVHCi0uUZdVEJXpcMA_7_0"/>
      <w:bookmarkStart w:id="790" w:name="Tc_Jobq33NwL06kpql0L-k7FQ_6_0"/>
      <w:bookmarkStart w:id="791" w:name="Tc_tMu_PxJF1kWkF9UrqubOvQ_5_0"/>
      <w:bookmarkStart w:id="792" w:name="Tc_oNHxFElzJ0CXJ0cfgwP0Xw_4_5"/>
      <w:bookmarkStart w:id="793" w:name="Tc_KTPvi28mHU-0T06ZWB5pPQ_4_2"/>
      <w:bookmarkStart w:id="794" w:name="Tc_uOp1l7rn40qhID4pFtZ8gg_4_0"/>
      <w:bookmarkStart w:id="795" w:name="Tc_NEYdxrose0SY8wDmYFr9OA_3_0"/>
      <w:bookmarkStart w:id="796" w:name="Tc_F3u3Ew6S_kmp4wW3HtSHYw_2_5"/>
      <w:bookmarkStart w:id="797" w:name="Tc_O2iU9g4JRESaU2j0oh7Nvg_2_2"/>
      <w:bookmarkStart w:id="798" w:name="Tc_TUTf4E4Z70aJcjcLUu81nw_1_2"/>
      <w:bookmarkStart w:id="799" w:name="_5e6ec2aa_8662_461b_8886_8ad6e2defde2"/>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INTANGIBLE ASSETS AND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Intangible assets and liabilities consisted of the following as of March 31, 2024 and December 31, 2023 (in thousands):</w:t>
      </w:r>
    </w:p>
    <w:p>
      <w:pPr>
        <w:pStyle w:val="TextBody"/>
        <w:bidi w:val="0"/>
        <w:spacing w:before="0" w:after="0"/>
        <w:ind w:left="0" w:right="0" w:firstLine="360"/>
        <w:jc w:val="both"/>
        <w:rPr/>
      </w:pPr>
      <w:r>
        <w:rPr/>
        <w:t>​</w:t>
      </w:r>
    </w:p>
    <w:tbl>
      <w:tblPr>
        <w:tblW w:w="7134" w:type="dxa"/>
        <w:jc w:val="left"/>
        <w:tblInd w:w="0" w:type="dxa"/>
        <w:tblLayout w:type="fixed"/>
        <w:tblCellMar>
          <w:top w:w="0" w:type="dxa"/>
          <w:left w:w="0" w:type="dxa"/>
          <w:bottom w:w="0" w:type="dxa"/>
          <w:right w:w="0" w:type="dxa"/>
        </w:tblCellMar>
      </w:tblPr>
      <w:tblGrid>
        <w:gridCol w:w="3706"/>
        <w:gridCol w:w="109"/>
        <w:gridCol w:w="301"/>
        <w:gridCol w:w="1139"/>
        <w:gridCol w:w="109"/>
        <w:gridCol w:w="375"/>
        <w:gridCol w:w="1395"/>
      </w:tblGrid>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91135" cy="175260"/>
                      <wp:effectExtent l="0" t="0" r="0" b="0"/>
                      <wp:wrapNone/>
                      <wp:docPr id="138" name="Frame13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23265" cy="175260"/>
                      <wp:effectExtent l="0" t="0" r="0" b="0"/>
                      <wp:wrapNone/>
                      <wp:docPr id="139" name="Frame139"/>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38125" cy="175260"/>
                      <wp:effectExtent l="0" t="0" r="0" b="0"/>
                      <wp:wrapNone/>
                      <wp:docPr id="141" name="Frame14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85825" cy="175260"/>
                      <wp:effectExtent l="0" t="0" r="0" b="0"/>
                      <wp:wrapNone/>
                      <wp:docPr id="142" name="Frame142"/>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48,267</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18,865</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70,074</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(23,055)</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(20,782)</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47,019</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(4,689)</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44,385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32"/>
        <w:jc w:val="left"/>
        <w:rPr>
          <w:rFonts w:ascii="Times New Roman;Times;serif" w:hAnsi="Times New Roman;Times;serif"/>
          <w:sz w:val="20"/>
        </w:rPr>
      </w:pPr>
      <w:bookmarkStart w:id="800" w:name="Tc_7e-qEIBwBUaFrsfs2bmciw_9_8"/>
      <w:bookmarkStart w:id="801" w:name="Tc_uiUyn4-tNky3WPiOW0DYHQ_9_5"/>
      <w:bookmarkStart w:id="802" w:name="Tc_fBzf1BZHn066TUR3MuhNwQ_9_2"/>
      <w:bookmarkStart w:id="803" w:name="Tc_pWcRde4hREu6yr4B9cSvsg_9_0"/>
      <w:bookmarkStart w:id="804" w:name="Tc_HbpVfzrmjESl7d3rLESPYg_8_0"/>
      <w:bookmarkStart w:id="805" w:name="Tc_vdwJuBmY7E6LxXI8vwo4PA_7_0"/>
      <w:bookmarkStart w:id="806" w:name="Tc_88EViRXHAUurmLrS9TqRnQ_6_0"/>
      <w:bookmarkStart w:id="807" w:name="Tc_kb65uO53WUm83bFer8yL5A_5_0"/>
      <w:bookmarkStart w:id="808" w:name="Tc_ZqY3bhPlQkaFAMygF_Fuuw_4_0"/>
      <w:bookmarkStart w:id="809" w:name="Tc_QA6TTKWFqkC4eqNJ6kgPQQ_3_0"/>
      <w:bookmarkStart w:id="810" w:name="Tc_92uYGqNmY0SkjeL8JUG1dw_2_8"/>
      <w:bookmarkStart w:id="811" w:name="Tc_uZzXjxzfS0ywm9I23agtGA_2_5"/>
      <w:bookmarkStart w:id="812" w:name="Tc__PrylSFHx0mgl5QP3RWJyQ_2_2"/>
      <w:bookmarkStart w:id="813" w:name="Tc_G3v46r68Y0Wfia2LBPfwwQ_2_0"/>
      <w:bookmarkStart w:id="814" w:name="Tc_VRdADgEoIU26ocVgM8NG-A_1_8"/>
      <w:bookmarkStart w:id="815" w:name="Tc_qtJuzx3AfkG6X_8zGO9Bng_1_5"/>
      <w:bookmarkStart w:id="816" w:name="Tc_DMdhSTsw_kKXZA1hhuQOiw_1_2"/>
      <w:bookmarkStart w:id="817" w:name="Tc_jwtbBCWMm0qgJtamzeUx8g_1_0"/>
      <w:bookmarkStart w:id="818" w:name="_17e6c836_3b17_4013_b10f_717c0dd87205"/>
      <w:bookmarkStart w:id="819" w:name="Tc_vqfI37093kKuMEZHlJlvOA_5_5"/>
      <w:bookmarkStart w:id="820" w:name="Tc_FHWkh03pnEO-IlxSn9_VEQ_5_2"/>
      <w:bookmarkStart w:id="821" w:name="Tc_8yztb2LYHEK9mbVw9YU5zg_5_0"/>
      <w:bookmarkStart w:id="822" w:name="Tc_uKqlgSiFD0yg40mlfW5MxQ_4_0"/>
      <w:bookmarkStart w:id="823" w:name="Tc_WCNvGYkhq0-ICs1AftmfwQ_3_5"/>
      <w:bookmarkStart w:id="824" w:name="Tc_Go1TFvyNX06RGJAnYOO0lg_3_2"/>
      <w:bookmarkStart w:id="825" w:name="Tc_dbQsNgwifkyNri9TQQ1nHA_3_0"/>
      <w:bookmarkStart w:id="826" w:name="Tc_ImBqPat52UqkXfBhicWV6A_2_5"/>
      <w:bookmarkStart w:id="827" w:name="Tc_C_s95_ikS0yX_t8N3qPocg_2_2"/>
      <w:bookmarkStart w:id="828" w:name="Tc_WSVWNyvbXUGpXZg4PD0N9Q_1_2"/>
      <w:bookmarkStart w:id="829" w:name="_1fd82911_41be_4a19_903e_b5fea5ca3c4e"/>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sz w:val="20"/>
        </w:rPr>
        <w:t>The following table reflects the net amortization of intangible assets and liabilities during the three months ended March 31, 2024 and 2023 (in thousands):</w:t>
      </w:r>
    </w:p>
    <w:p>
      <w:pPr>
        <w:pStyle w:val="TextBody"/>
        <w:bidi w:val="0"/>
        <w:spacing w:before="0" w:after="0"/>
        <w:ind w:left="0" w:right="0" w:hanging="0"/>
        <w:jc w:val="left"/>
        <w:rPr/>
      </w:pPr>
      <w:r>
        <w:rPr/>
        <w:t>​</w:t>
      </w:r>
    </w:p>
    <w:tbl>
      <w:tblPr>
        <w:tblW w:w="7562" w:type="dxa"/>
        <w:jc w:val="left"/>
        <w:tblInd w:w="0" w:type="dxa"/>
        <w:tblLayout w:type="fixed"/>
        <w:tblCellMar>
          <w:top w:w="0" w:type="dxa"/>
          <w:left w:w="0" w:type="dxa"/>
          <w:bottom w:w="0" w:type="dxa"/>
          <w:right w:w="0" w:type="dxa"/>
        </w:tblCellMar>
      </w:tblPr>
      <w:tblGrid>
        <w:gridCol w:w="4411"/>
        <w:gridCol w:w="109"/>
        <w:gridCol w:w="388"/>
        <w:gridCol w:w="1052"/>
        <w:gridCol w:w="117"/>
        <w:gridCol w:w="352"/>
        <w:gridCol w:w="1133"/>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46380" cy="175260"/>
                      <wp:effectExtent l="0" t="0" r="0" b="0"/>
                      <wp:wrapNone/>
                      <wp:docPr id="144" name="Frame14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8020" cy="175260"/>
                      <wp:effectExtent l="0" t="0" r="0" b="0"/>
                      <wp:wrapNone/>
                      <wp:docPr id="145" name="Frame145"/>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4295" cy="175260"/>
                      <wp:effectExtent l="0" t="0" r="0" b="0"/>
                      <wp:wrapNone/>
                      <wp:docPr id="146" name="Frame146"/>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3520" cy="175260"/>
                      <wp:effectExtent l="0" t="0" r="0" b="0"/>
                      <wp:wrapNone/>
                      <wp:docPr id="147" name="Frame14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19455" cy="175260"/>
                      <wp:effectExtent l="0" t="0" r="0" b="0"/>
                      <wp:wrapNone/>
                      <wp:docPr id="148" name="Frame148"/>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17"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Properties Revenue</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17"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2,203</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77"/>
        <w:gridCol w:w="109"/>
        <w:gridCol w:w="451"/>
        <w:gridCol w:w="1447"/>
        <w:gridCol w:w="109"/>
        <w:gridCol w:w="606"/>
        <w:gridCol w:w="1815"/>
        <w:gridCol w:w="109"/>
        <w:gridCol w:w="674"/>
        <w:gridCol w:w="2508"/>
      </w:tblGrid>
      <w:tr>
        <w:trPr/>
        <w:tc>
          <w:tcPr>
            <w:tcW w:w="23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18845" cy="175260"/>
                      <wp:effectExtent l="0" t="0" r="0" b="0"/>
                      <wp:wrapNone/>
                      <wp:docPr id="149" name="Frame149"/>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52525" cy="175260"/>
                      <wp:effectExtent l="0" t="0" r="0" b="0"/>
                      <wp:wrapNone/>
                      <wp:docPr id="151" name="Frame151"/>
                      <a:graphic xmlns:a="http://schemas.openxmlformats.org/drawingml/2006/main">
                        <a:graphicData uri="http://schemas.microsoft.com/office/word/2010/wordprocessingShape">
                          <wps:wsp>
                            <wps:cNvSpPr txBox="1"/>
                            <wps:spPr>
                              <a:xfrm>
                                <a:off x="0" y="0"/>
                                <a:ext cx="115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92580" cy="175260"/>
                      <wp:effectExtent l="0" t="0" r="0" b="0"/>
                      <wp:wrapNone/>
                      <wp:docPr id="153" name="Frame153"/>
                      <a:graphic xmlns:a="http://schemas.openxmlformats.org/drawingml/2006/main">
                        <a:graphicData uri="http://schemas.microsoft.com/office/word/2010/wordprocessingShape">
                          <wps:wsp>
                            <wps:cNvSpPr txBox="1"/>
                            <wps:spPr>
                              <a:xfrm>
                                <a:off x="0" y="0"/>
                                <a:ext cx="159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109" w:type="dxa"/>
            <w:tcBorders/>
            <w:vAlign w:val="center"/>
          </w:tcPr>
          <w:p>
            <w:pPr>
              <w:pStyle w:val="TableContents"/>
              <w:bidi w:val="0"/>
              <w:spacing w:before="0" w:after="0"/>
              <w:ind w:left="0" w:right="0" w:hanging="0"/>
              <w:jc w:val="left"/>
              <w:rPr/>
            </w:pPr>
            <w:r>
              <w:rPr/>
              <w:t>​</w:t>
            </w:r>
          </w:p>
        </w:tc>
        <w:tc>
          <w:tcPr>
            <w:tcW w:w="2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Future Accretion to Property Revenue </w:t>
            </w:r>
          </w:p>
        </w:tc>
        <w:tc>
          <w:tcPr>
            <w:tcW w:w="109" w:type="dxa"/>
            <w:tcBorders/>
            <w:vAlign w:val="center"/>
          </w:tcPr>
          <w:p>
            <w:pPr>
              <w:pStyle w:val="TableContents"/>
              <w:bidi w:val="0"/>
              <w:spacing w:before="0" w:after="0"/>
              <w:ind w:left="0" w:right="0" w:hanging="0"/>
              <w:jc w:val="left"/>
              <w:rPr/>
            </w:pPr>
            <w:r>
              <w:rPr/>
              <w:t>​</w:t>
            </w:r>
          </w:p>
        </w:tc>
        <w:tc>
          <w:tcPr>
            <w:tcW w:w="3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Future Amortization of Intangible Assets and Liabilities </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7,423</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7,414</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6,972</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4,497</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8,614</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8,075</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45,150</w:t>
            </w:r>
          </w:p>
        </w:tc>
        <w:tc>
          <w:tcPr>
            <w:tcW w:w="10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42,330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2024, the weighted average amortization period of both the total intangible assets and liabilities was 8.8 years.</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PROVISION FOR IMPAIRMENT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three months ended March 31, 2024 or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The Company evaluates the collectability of its commercial loans and investments on a quarterly basis or whenever events or changes in circumstances indicate that the carrying amount of an asset may not be recoverable. The Company accounts for provisions for expected credit losses in accordance with ASC Topic 326, Measurement of Credit Losses on Financial Instruments. Changes in the Company’s allowance for credit losses are presented within change in provision for impairment in the accompanying consolidated statements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2024, the Company recorded a charge of less than $0.1 million representing the provision for credit losses related to our commercial loans and investments. The charge of less than $0.1 million was driven by the initial estimated CECL allowance based on our investment activity during the three months ended March 31, 2024.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such charges during the three months ended March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0" w:name="Tc_K6O7GAHzlEi3HMPeH4Z1yQ_10_5"/>
      <w:bookmarkStart w:id="831" w:name="Tc_qjA_fJtUzU6uCPg8Q6eODg_10_2"/>
      <w:bookmarkStart w:id="832" w:name="Tc_KAxtwLjkfk6-wHk7rb0iNA_10_0"/>
      <w:bookmarkStart w:id="833" w:name="Tc_-FoOZmtZ506f4Pz3IsE_Gw_9_0"/>
      <w:bookmarkStart w:id="834" w:name="Tc_EU_jfsA6LkOLsnj3Y4tVrQ_8_0"/>
      <w:bookmarkStart w:id="835" w:name="Tc_dB-uNdN_aEuxFSthutg3CQ_7_0"/>
      <w:bookmarkStart w:id="836" w:name="Tc_d3Z79yVhNky9UEg68x8dVA_6_0"/>
      <w:bookmarkStart w:id="837" w:name="Tc_kbhstGOG2kS93zJvvXTNhw_5_0"/>
      <w:bookmarkStart w:id="838" w:name="Tc_cQXgGQv84kWMC0BQIkNI6w_4_0"/>
      <w:bookmarkStart w:id="839" w:name="Tc_1Ry0W3L31U-7GGIDFJcfpQ_3_5"/>
      <w:bookmarkStart w:id="840" w:name="Tc_uio_OPYAokaMy5s0Ypq3PQ_3_2"/>
      <w:bookmarkStart w:id="841" w:name="Tc_D1pjpkQqMEOfP_ZaZKxAjg_3_0"/>
      <w:bookmarkStart w:id="842" w:name="Tc_D6jgTwkvX0a5pCvkzKTqug_2_5"/>
      <w:bookmarkStart w:id="843" w:name="Tc_DKIQb0ZSoEG-_PIf-2FiQg_2_2"/>
      <w:bookmarkStart w:id="844" w:name="Tc_lfCWEhZsHkK8k0V1wiFUqQ_1_2"/>
      <w:bookmarkStart w:id="845" w:name="_370ff305_a04d_43fc_835a_77b2e2ff6266"/>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Times New Roman;Times;serif" w:hAnsi="Times New Roman;Times;serif"/>
          <w:b/>
          <w:sz w:val="20"/>
        </w:rPr>
        <w:t>NOTE 8. OTHER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assets consisted of the following (in thousands):</w:t>
      </w:r>
    </w:p>
    <w:p>
      <w:pPr>
        <w:pStyle w:val="TextBody"/>
        <w:bidi w:val="0"/>
        <w:spacing w:before="0" w:after="0"/>
        <w:ind w:left="0" w:right="0" w:firstLine="360"/>
        <w:jc w:val="both"/>
        <w:rPr/>
      </w:pPr>
      <w:r>
        <w:rPr/>
        <w:t>​</w:t>
      </w:r>
    </w:p>
    <w:tbl>
      <w:tblPr>
        <w:tblW w:w="8829" w:type="dxa"/>
        <w:jc w:val="left"/>
        <w:tblInd w:w="0" w:type="dxa"/>
        <w:tblLayout w:type="fixed"/>
        <w:tblCellMar>
          <w:top w:w="0" w:type="dxa"/>
          <w:left w:w="0" w:type="dxa"/>
          <w:bottom w:w="0" w:type="dxa"/>
          <w:right w:w="0" w:type="dxa"/>
        </w:tblCellMar>
      </w:tblPr>
      <w:tblGrid>
        <w:gridCol w:w="5401"/>
        <w:gridCol w:w="109"/>
        <w:gridCol w:w="342"/>
        <w:gridCol w:w="1098"/>
        <w:gridCol w:w="109"/>
        <w:gridCol w:w="375"/>
        <w:gridCol w:w="1395"/>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429635" cy="175260"/>
                      <wp:effectExtent l="0" t="0" r="0" b="0"/>
                      <wp:wrapNone/>
                      <wp:docPr id="154" name="Frame154"/>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7170" cy="175260"/>
                      <wp:effectExtent l="0" t="0" r="0" b="0"/>
                      <wp:wrapNone/>
                      <wp:docPr id="156" name="Frame15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7230" cy="175260"/>
                      <wp:effectExtent l="0" t="0" r="0" b="0"/>
                      <wp:wrapNone/>
                      <wp:docPr id="157" name="Frame157"/>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38125" cy="175260"/>
                      <wp:effectExtent l="0" t="0" r="0" b="0"/>
                      <wp:wrapNone/>
                      <wp:docPr id="159" name="Frame15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885825" cy="175260"/>
                      <wp:effectExtent l="0" t="0" r="0" b="0"/>
                      <wp:wrapNone/>
                      <wp:docPr id="160" name="Frame160"/>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Tenant Receivables—Net of Allowance for Doubtful Accounts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Insurance </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on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Costs—Net</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13,177</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10,957</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Right-of-Use Asset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19,581</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17,045</w:t>
            </w:r>
          </w:p>
        </w:tc>
      </w:tr>
    </w:tbl>
    <w:tbl>
      <w:tblPr>
        <w:tblW w:w="9767" w:type="dxa"/>
        <w:jc w:val="left"/>
        <w:tblInd w:w="0" w:type="dxa"/>
        <w:tblLayout w:type="fixed"/>
        <w:tblCellMar>
          <w:top w:w="0" w:type="dxa"/>
          <w:left w:w="0" w:type="dxa"/>
          <w:bottom w:w="0" w:type="dxa"/>
          <w:right w:w="0" w:type="dxa"/>
        </w:tblCellMar>
      </w:tblPr>
      <w:tblGrid>
        <w:gridCol w:w="271"/>
        <w:gridCol w:w="949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4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a $0.2</w:t>
            </w:r>
            <w:r>
              <w:rPr>
                <w:caps w:val="false"/>
                <w:smallCaps w:val="false"/>
              </w:rPr>
              <w:t xml:space="preserve"> </w:t>
            </w:r>
            <w:r>
              <w:rPr>
                <w:rFonts w:ascii="Times New Roman;Times;serif" w:hAnsi="Times New Roman;Times;serif"/>
                <w:b w:val="false"/>
                <w:i w:val="false"/>
                <w:caps w:val="false"/>
                <w:smallCaps w:val="false"/>
                <w:sz w:val="16"/>
              </w:rPr>
              <w:t>million and $0.4</w:t>
            </w:r>
            <w:r>
              <w:rPr>
                <w:caps w:val="false"/>
                <w:smallCaps w:val="false"/>
              </w:rPr>
              <w:t xml:space="preserve"> </w:t>
            </w:r>
            <w:r>
              <w:rPr>
                <w:rFonts w:ascii="Times New Roman;Times;serif" w:hAnsi="Times New Roman;Times;serif"/>
                <w:b w:val="false"/>
                <w:i w:val="false"/>
                <w:caps w:val="false"/>
                <w:smallCaps w:val="false"/>
                <w:sz w:val="16"/>
              </w:rPr>
              <w:t>million allowance for doubtful accounts as of March 31, 2024 and December 31, 2023, respectively.</w:t>
            </w:r>
          </w:p>
        </w:tc>
      </w:tr>
    </w:tbl>
    <w:tbl>
      <w:tblPr>
        <w:tblW w:w="9692" w:type="dxa"/>
        <w:jc w:val="left"/>
        <w:tblInd w:w="0" w:type="dxa"/>
        <w:tblLayout w:type="fixed"/>
        <w:tblCellMar>
          <w:top w:w="0" w:type="dxa"/>
          <w:left w:w="0" w:type="dxa"/>
          <w:bottom w:w="0" w:type="dxa"/>
          <w:right w:w="0" w:type="dxa"/>
        </w:tblCellMar>
      </w:tblPr>
      <w:tblGrid>
        <w:gridCol w:w="271"/>
        <w:gridCol w:w="942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right-of-use asset balance as of March 31, 2024.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46" w:name="Tc_Qbaf3DfigkShrb4NiGxlWg_6_7"/>
      <w:bookmarkStart w:id="847" w:name="Tc_mXqamXgJzUK_wxOvQmPrwQ_6_4"/>
      <w:bookmarkStart w:id="848" w:name="Tc_vmXxdpQ4QEKDrnBh8E4RcQ_6_0"/>
      <w:bookmarkStart w:id="849" w:name="Tc_kqx0ZORWPkm3HE_G0RiwSQ_5_0"/>
      <w:bookmarkStart w:id="850" w:name="Tc_nl8CremHZUKYkM3OVrVW7g_4_5"/>
      <w:bookmarkStart w:id="851" w:name="Tc_GZusa7Xq4Eab6bnVZGWj9A_4_2"/>
      <w:bookmarkStart w:id="852" w:name="Tc_Xq5zn02w6EaE6S8bd05eIA_4_0"/>
      <w:bookmarkStart w:id="853" w:name="Tc_G4gSBKO_7UqnM8n7_KKPfQ_2_5"/>
      <w:bookmarkStart w:id="854" w:name="Tc_mWUT9pA4JUyEtOcsmdELXA_2_2"/>
      <w:bookmarkStart w:id="855" w:name="Tc_U6b-JKjxnUWrykT7A-QhAg_1_2"/>
      <w:bookmarkStart w:id="856" w:name="_fdfe900e_7b39_471a_ae66_fb7b6b0d54ec"/>
      <w:bookmarkStart w:id="857" w:name="_895381d2_b6c4_4200_bf6a_9f37dbff8aa6_3"/>
      <w:bookmarkStart w:id="858" w:name="_895381d2_b6c4_4200_bf6a_9f37dbff8aa6_2"/>
      <w:bookmarkStart w:id="859" w:name="_895381d2_b6c4_4200_bf6a_9f37dbff8aa6"/>
      <w:bookmarkStart w:id="860" w:name="_a9a923d1_25b1_4ea4_afa6_91e575908244_3"/>
      <w:bookmarkStart w:id="861" w:name="_a9a923d1_25b1_4ea4_afa6_91e575908244_2"/>
      <w:bookmarkStart w:id="862" w:name="_a9a923d1_25b1_4ea4_afa6_91e575908244"/>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Times New Roman;Times;serif" w:hAnsi="Times New Roman;Times;serif"/>
          <w:b/>
          <w:sz w:val="20"/>
        </w:rPr>
        <w:t>NOTE 9. OPERATING LAND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FASB ASC Topic 842, </w:t>
      </w:r>
      <w:r>
        <w:rPr>
          <w:rFonts w:ascii="Times New Roman;Times;serif" w:hAnsi="Times New Roman;Times;serif"/>
          <w:i/>
          <w:sz w:val="20"/>
        </w:rPr>
        <w:t>Leases</w:t>
      </w:r>
      <w:r>
        <w:rPr>
          <w:rFonts w:ascii="Times New Roman;Times;serif" w:hAnsi="Times New Roman;Times;serif"/>
          <w:sz w:val="20"/>
        </w:rPr>
        <w:t xml:space="preserve">, requires a lessee to recognize right-of-use assets and lease liabilities that arise from leases, whether qualifying as an operating or finance lease. As of March 31, 2024 and December 31, 2023, the Company’s right-of-use assets totaled $1.3 million and $1.4 million, respectively, and the corresponding lease liabilities totaled $1.4 million and $1.5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Amortization of right-of-use assets for operating land leases is recognized on a straight-line basis over the term of the lease and is included within real estate expenses in the consolidated statements of operations. Amortization totaled less than $0.1 million during each of the three month periods ended March 31, 2024 and 2023. </w:t>
      </w:r>
    </w:p>
    <w:p>
      <w:pPr>
        <w:pStyle w:val="TextBody"/>
        <w:bidi w:val="0"/>
        <w:spacing w:before="0" w:after="0"/>
        <w:ind w:left="0" w:right="0" w:firstLine="360"/>
        <w:jc w:val="both"/>
        <w:rPr/>
      </w:pPr>
      <w:r>
        <w:rPr/>
        <w:t>​</w:t>
      </w:r>
    </w:p>
    <w:p>
      <w:pPr>
        <w:pStyle w:val="TextBody"/>
        <w:bidi w:val="0"/>
        <w:spacing w:lineRule="auto" w:line="256"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operating land leases, under which the Company is the lessee, for the three months ended March 31, 2024 and 2023 (in thousands):</w:t>
      </w:r>
    </w:p>
    <w:p>
      <w:pPr>
        <w:pStyle w:val="TextBody"/>
        <w:bidi w:val="0"/>
        <w:spacing w:before="0" w:after="0"/>
        <w:ind w:left="0" w:right="0" w:firstLine="360"/>
        <w:jc w:val="both"/>
        <w:rPr>
          <w:shd w:fill="FFFFFF" w:val="clear"/>
        </w:rPr>
      </w:pPr>
      <w:r>
        <w:rPr>
          <w:shd w:fill="FFFFFF" w:val="clear"/>
        </w:rPr>
        <w:t>​</w:t>
      </w:r>
    </w:p>
    <w:tbl>
      <w:tblPr>
        <w:tblW w:w="7220" w:type="dxa"/>
        <w:jc w:val="left"/>
        <w:tblInd w:w="0" w:type="dxa"/>
        <w:tblLayout w:type="fixed"/>
        <w:tblCellMar>
          <w:top w:w="0" w:type="dxa"/>
          <w:left w:w="0" w:type="dxa"/>
          <w:bottom w:w="0" w:type="dxa"/>
          <w:right w:w="0" w:type="dxa"/>
        </w:tblCellMar>
      </w:tblPr>
      <w:tblGrid>
        <w:gridCol w:w="3556"/>
        <w:gridCol w:w="109"/>
        <w:gridCol w:w="531"/>
        <w:gridCol w:w="909"/>
        <w:gridCol w:w="359"/>
        <w:gridCol w:w="531"/>
        <w:gridCol w:w="909"/>
        <w:gridCol w:w="31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58060" cy="175260"/>
                      <wp:effectExtent l="0" t="0" r="0" b="0"/>
                      <wp:wrapNone/>
                      <wp:docPr id="161" name="Frame16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37185" cy="175260"/>
                      <wp:effectExtent l="0" t="0" r="0" b="0"/>
                      <wp:wrapNone/>
                      <wp:docPr id="163" name="Frame163"/>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77215" cy="175260"/>
                      <wp:effectExtent l="0" t="0" r="0" b="0"/>
                      <wp:wrapNone/>
                      <wp:docPr id="164" name="Frame164"/>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7965" cy="175260"/>
                      <wp:effectExtent l="0" t="0" r="0" b="0"/>
                      <wp:wrapNone/>
                      <wp:docPr id="165" name="Frame165"/>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37185" cy="175260"/>
                      <wp:effectExtent l="0" t="0" r="0" b="0"/>
                      <wp:wrapNone/>
                      <wp:docPr id="166" name="Frame166"/>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7215" cy="175260"/>
                      <wp:effectExtent l="0" t="0" r="0" b="0"/>
                      <wp:wrapNone/>
                      <wp:docPr id="167" name="Frame167"/>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0660" cy="175260"/>
                      <wp:effectExtent l="0" t="0" r="0" b="0"/>
                      <wp:wrapNone/>
                      <wp:docPr id="168" name="Frame1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16" w:type="dxa"/>
            <w:tcBorders/>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59" w:type="dxa"/>
            <w:tcBorders/>
            <w:vAlign w:val="center"/>
          </w:tcPr>
          <w:p>
            <w:pPr>
              <w:pStyle w:val="TableContents"/>
              <w:bidi w:val="0"/>
              <w:spacing w:before="0" w:after="0"/>
              <w:ind w:left="0" w:right="0" w:hanging="0"/>
              <w:jc w:val="righ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16" w:type="dxa"/>
            <w:tcBorders/>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w:t>
            </w:r>
          </w:p>
        </w:tc>
        <w:tc>
          <w:tcPr>
            <w:tcW w:w="109"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59" w:type="dxa"/>
            <w:tcBorders/>
            <w:shd w:fill="CCEEFF" w:val="clear"/>
            <w:vAlign w:val="center"/>
          </w:tcPr>
          <w:p>
            <w:pPr>
              <w:pStyle w:val="TableContents"/>
              <w:bidi w:val="0"/>
              <w:spacing w:before="0" w:after="0"/>
              <w:ind w:left="0" w:right="0" w:hanging="0"/>
              <w:jc w:val="right"/>
              <w:rPr/>
            </w:pPr>
            <w:r>
              <w:rPr/>
              <w:t>​</w:t>
            </w:r>
          </w:p>
        </w:tc>
        <w:tc>
          <w:tcPr>
            <w:tcW w:w="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59" w:type="dxa"/>
            <w:tcBorders/>
            <w:vAlign w:val="center"/>
          </w:tcPr>
          <w:p>
            <w:pPr>
              <w:pStyle w:val="TableContents"/>
              <w:bidi w:val="0"/>
              <w:spacing w:before="0" w:after="0"/>
              <w:ind w:left="0" w:right="0" w:hanging="0"/>
              <w:jc w:val="right"/>
              <w:rPr/>
            </w:pPr>
            <w:r>
              <w:rPr/>
              <w:t>​</w:t>
            </w:r>
          </w:p>
        </w:tc>
        <w:tc>
          <w:tcPr>
            <w:tcW w:w="53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863" w:name="Tc_lUrx4Mka-U-uAnMasSPJgQ_11_2"/>
      <w:bookmarkStart w:id="864" w:name="Tc_P-c__G-nAE-PgbFb-D-A9w_11_0"/>
      <w:bookmarkStart w:id="865" w:name="Tc_Nh1A3D0c9kGg_JW1c1D1tQ_10_0"/>
      <w:bookmarkStart w:id="866" w:name="Tc_ZHSV-uAJy0eVtGz37G6L7Q_9_2"/>
      <w:bookmarkStart w:id="867" w:name="Tc_fa4kpMkyQUWs3I7i9E2Rqw_9_0"/>
      <w:bookmarkStart w:id="868" w:name="Tc_lwkNfvF3TEC-kE5U7qnSww_8_0"/>
      <w:bookmarkStart w:id="869" w:name="Tc_cFSfa_hHB0isqpFGGS33-A_7_0"/>
      <w:bookmarkStart w:id="870" w:name="Tc_cSj9rOLIUUuCqiKp7HrapA_6_0"/>
      <w:bookmarkStart w:id="871" w:name="Tc_-XPMu5uzXk2J_-UuWbm7Tw_5_0"/>
      <w:bookmarkStart w:id="872" w:name="Tc_gc6rEo15sEWuiZbKYRqWeA_4_0"/>
      <w:bookmarkStart w:id="873" w:name="Tc_uZoOBxAmVUqdU3aziOuFyA_3_0"/>
      <w:bookmarkStart w:id="874" w:name="Tc_-6XDwxX-REacp_ctoYcOCQ_2_2"/>
      <w:bookmarkStart w:id="875" w:name="Tc_GaskVxVhwkuQm6K9IjY4hw_2_0"/>
      <w:bookmarkStart w:id="876" w:name="Tc_gwlI5ey0Q0WZ_IlYEwqLYg_1_0"/>
      <w:bookmarkStart w:id="877" w:name="_11dce88e_b412_4def_b957_34a9b82f070e"/>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rFonts w:ascii="Times New Roman;Times;serif" w:hAnsi="Times New Roman;Times;serif"/>
          <w:sz w:val="20"/>
        </w:rPr>
        <w:t xml:space="preserve">Minimum future lease payments under non-cancelable operating land leases, having remaining terms in excess of one year subsequent to March 31, 2024, are summarized as follows (in thousands):   </w:t>
      </w:r>
    </w:p>
    <w:p>
      <w:pPr>
        <w:pStyle w:val="TextBody"/>
        <w:bidi w:val="0"/>
        <w:spacing w:before="0" w:after="0"/>
        <w:ind w:left="0" w:right="0" w:firstLine="360"/>
        <w:jc w:val="both"/>
        <w:rPr>
          <w:shd w:fill="FFFF00" w:val="clear"/>
        </w:rPr>
      </w:pPr>
      <w:r>
        <w:rPr>
          <w:shd w:fill="FFFF00" w:val="clear"/>
        </w:rPr>
        <w:t>​</w:t>
      </w:r>
    </w:p>
    <w:tbl>
      <w:tblPr>
        <w:tblW w:w="3427" w:type="dxa"/>
        <w:jc w:val="left"/>
        <w:tblInd w:w="0" w:type="dxa"/>
        <w:tblLayout w:type="fixed"/>
        <w:tblCellMar>
          <w:top w:w="0" w:type="dxa"/>
          <w:left w:w="0" w:type="dxa"/>
          <w:bottom w:w="0" w:type="dxa"/>
          <w:right w:w="0" w:type="dxa"/>
        </w:tblCellMar>
      </w:tblPr>
      <w:tblGrid>
        <w:gridCol w:w="2431"/>
        <w:gridCol w:w="109"/>
        <w:gridCol w:w="211"/>
        <w:gridCol w:w="67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543685" cy="175260"/>
                      <wp:effectExtent l="0" t="0" r="0" b="0"/>
                      <wp:wrapNone/>
                      <wp:docPr id="169" name="Frame169"/>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240" w:after="0"/>
        <w:ind w:left="0" w:right="0" w:hanging="0"/>
        <w:jc w:val="both"/>
        <w:rPr>
          <w:rFonts w:ascii="Times New Roman;Times;serif" w:hAnsi="Times New Roman;Times;serif"/>
          <w:b/>
          <w:sz w:val="20"/>
        </w:rPr>
      </w:pPr>
      <w:bookmarkStart w:id="878" w:name="Tc_PxC7a7X5Ckyrov5RNX7VGA_10_5"/>
      <w:bookmarkStart w:id="879" w:name="Tc_HqVlDzM140GckPkw5qUNhg_10_2"/>
      <w:bookmarkStart w:id="880" w:name="Tc_DcYSi1qLmkGk4yr41xkDUQ_10_0"/>
      <w:bookmarkStart w:id="881" w:name="Tc_PIJHCqePJEa3GR5fjKCXlw_9_0"/>
      <w:bookmarkStart w:id="882" w:name="Tc_GX_lBASghkSro6-vpcklOg_8_5"/>
      <w:bookmarkStart w:id="883" w:name="Tc_1HfZ_FGjLEuDTsEXZsDy5A_8_2"/>
      <w:bookmarkStart w:id="884" w:name="Tc_2-jeQg9rYUalJh789uS78Q_8_0"/>
      <w:bookmarkStart w:id="885" w:name="Tc__D7xMqcq8kiqhvMskIiitw_7_0"/>
      <w:bookmarkStart w:id="886" w:name="Tc_ybCNaCmbv0WJ-PvGwRQDWw_6_0"/>
      <w:bookmarkStart w:id="887" w:name="Tc_2wDSm4wcvE-HmCRRIID0qw_5_0"/>
      <w:bookmarkStart w:id="888" w:name="Tc_ERBd0bzQeUqWY-sLlWr2iQ_4_0"/>
      <w:bookmarkStart w:id="889" w:name="Tc_Jzp3_f6suk6mprBfgrSIKw_3_5"/>
      <w:bookmarkStart w:id="890" w:name="Tc_G6C0TFvxpEKSRvfTwt0eoQ_3_2"/>
      <w:bookmarkStart w:id="891" w:name="Tc_HYnFo8AswkOpgsZnw-9pjA_3_0"/>
      <w:bookmarkStart w:id="892" w:name="Tc_mdovmsbnY0Osu_Erq_TftA_2_5"/>
      <w:bookmarkStart w:id="893" w:name="Tc_Z4kr2qT7jUKyI7b1c_vnTg_2_2"/>
      <w:bookmarkStart w:id="894" w:name="Tc_U3ehhbNCNkinBr5Nge1FVA_1_2"/>
      <w:bookmarkStart w:id="895" w:name="_b310b152_b0cf_421a_bc06_35bab80b82da"/>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Pr>
          <w:rFonts w:ascii="Times New Roman;Times;serif" w:hAnsi="Times New Roman;Times;serif"/>
          <w:b/>
          <w:sz w:val="20"/>
        </w:rPr>
        <w:t>NOTE 10. ASSETS HELD FOR SALE</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Assets held for sale consisted of the following (in thousands):</w:t>
      </w:r>
    </w:p>
    <w:tbl>
      <w:tblPr>
        <w:tblW w:w="6774" w:type="dxa"/>
        <w:jc w:val="left"/>
        <w:tblInd w:w="0" w:type="dxa"/>
        <w:tblLayout w:type="fixed"/>
        <w:tblCellMar>
          <w:top w:w="0" w:type="dxa"/>
          <w:left w:w="0" w:type="dxa"/>
          <w:bottom w:w="0" w:type="dxa"/>
          <w:right w:w="0" w:type="dxa"/>
        </w:tblCellMar>
      </w:tblPr>
      <w:tblGrid>
        <w:gridCol w:w="3346"/>
        <w:gridCol w:w="109"/>
        <w:gridCol w:w="360"/>
        <w:gridCol w:w="1080"/>
        <w:gridCol w:w="109"/>
        <w:gridCol w:w="420"/>
        <w:gridCol w:w="1350"/>
      </w:tblGrid>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8600" cy="175260"/>
                      <wp:effectExtent l="0" t="0" r="0" b="0"/>
                      <wp:wrapNone/>
                      <wp:docPr id="174" name="Frame1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85800" cy="175260"/>
                      <wp:effectExtent l="0" t="0" r="0" b="0"/>
                      <wp:wrapNone/>
                      <wp:docPr id="175" name="Frame175"/>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66700" cy="175260"/>
                      <wp:effectExtent l="0" t="0" r="0" b="0"/>
                      <wp:wrapNone/>
                      <wp:docPr id="177" name="Frame17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57250" cy="175260"/>
                      <wp:effectExtent l="0" t="0" r="0" b="0"/>
                      <wp:wrapNone/>
                      <wp:docPr id="178" name="Frame178"/>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of</w:t>
            </w:r>
          </w:p>
        </w:tc>
      </w:tr>
      <w:tr>
        <w:trPr/>
        <w:tc>
          <w:tcPr>
            <w:tcW w:w="3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6,374</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Prior to Provision for Impairment</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Held for Sale</w:t>
            </w:r>
          </w:p>
        </w:tc>
        <w:tc>
          <w:tcPr>
            <w:tcW w:w="109"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4,410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96" w:name="Tc_tkhWos4DbkiYp9SjjA2ixg_10_5"/>
      <w:bookmarkStart w:id="897" w:name="Tc_6rAUV6etmECIORsE9_sEPQ_10_2"/>
      <w:bookmarkStart w:id="898" w:name="Tc_C9BDMrQ680edjFcr452GJg_10_0"/>
      <w:bookmarkStart w:id="899" w:name="Tc_m5VvRo8p6kGvkvR3NT4N_w_9_0"/>
      <w:bookmarkStart w:id="900" w:name="Tc_uoEETFdaU0eDZWFdKXZTUQ_8_0"/>
      <w:bookmarkStart w:id="901" w:name="Tc_dE7uB1I080a1j7ZPaU00ow_7_3"/>
      <w:bookmarkStart w:id="902" w:name="Tc_GzRte988vk69jpGUvaI2YA_7_0"/>
      <w:bookmarkStart w:id="903" w:name="Tc_0ohNkM_P8ECC53E6Sl4Gxw_5_0"/>
      <w:bookmarkStart w:id="904" w:name="Tc_0fT9RRidcUmZ7gukC-yPgA_4_0"/>
      <w:bookmarkStart w:id="905" w:name="Tc_n6LX0z2beEu-SIaKq93o9Q_3_5"/>
      <w:bookmarkStart w:id="906" w:name="Tc_T1oEup3YWUux92LRGTD-TQ_3_2"/>
      <w:bookmarkStart w:id="907" w:name="Tc_TuuKZyc7qkazXpn6P-fJ1Q_3_0"/>
      <w:bookmarkStart w:id="908" w:name="Tc_iUDv4B9B90KUlWa2u3BmyQ_2_5"/>
      <w:bookmarkStart w:id="909" w:name="Tc_r1k1N00R_0yw0AcwkAZpHA_2_2"/>
      <w:bookmarkStart w:id="910" w:name="Tc_ypMAfqaCK066bUnAgI9n7w_1_2"/>
      <w:bookmarkStart w:id="911" w:name="_bd2245f6_a4c6_45f7_a7c0_b8e96619703f"/>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b/>
          <w:sz w:val="20"/>
        </w:rPr>
        <w:t>NOTE 11. ACCOUNTS PAYABLE, ACCRUED EXPENSES, AND OTHER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accrued expenses, and other liabilities consisted of the following (in thousands):</w:t>
      </w:r>
    </w:p>
    <w:p>
      <w:pPr>
        <w:pStyle w:val="TextBody"/>
        <w:bidi w:val="0"/>
        <w:spacing w:before="0" w:after="0"/>
        <w:ind w:left="0" w:right="0" w:firstLine="360"/>
        <w:jc w:val="both"/>
        <w:rPr/>
      </w:pPr>
      <w:r>
        <w:rPr/>
        <w:t>​</w:t>
      </w:r>
    </w:p>
    <w:tbl>
      <w:tblPr>
        <w:tblW w:w="8829" w:type="dxa"/>
        <w:jc w:val="left"/>
        <w:tblInd w:w="0" w:type="dxa"/>
        <w:tblLayout w:type="fixed"/>
        <w:tblCellMar>
          <w:top w:w="0" w:type="dxa"/>
          <w:left w:w="0" w:type="dxa"/>
          <w:bottom w:w="0" w:type="dxa"/>
          <w:right w:w="0" w:type="dxa"/>
        </w:tblCellMar>
      </w:tblPr>
      <w:tblGrid>
        <w:gridCol w:w="5401"/>
        <w:gridCol w:w="109"/>
        <w:gridCol w:w="388"/>
        <w:gridCol w:w="1052"/>
        <w:gridCol w:w="109"/>
        <w:gridCol w:w="420"/>
        <w:gridCol w:w="1350"/>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429635" cy="175260"/>
                      <wp:effectExtent l="0" t="0" r="0" b="0"/>
                      <wp:wrapNone/>
                      <wp:docPr id="179" name="Frame179"/>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46380" cy="175260"/>
                      <wp:effectExtent l="0" t="0" r="0" b="0"/>
                      <wp:wrapNone/>
                      <wp:docPr id="181" name="Frame181"/>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68020" cy="175260"/>
                      <wp:effectExtent l="0" t="0" r="0" b="0"/>
                      <wp:wrapNone/>
                      <wp:docPr id="182" name="Frame182"/>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66700" cy="175260"/>
                      <wp:effectExtent l="0" t="0" r="0" b="0"/>
                      <wp:wrapNone/>
                      <wp:docPr id="184" name="Frame184"/>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57250" cy="175260"/>
                      <wp:effectExtent l="0" t="0" r="0" b="0"/>
                      <wp:wrapNone/>
                      <wp:docPr id="185" name="Frame185"/>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CTO</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Reserves</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Liability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5,736</w:t>
            </w:r>
          </w:p>
        </w:tc>
      </w:tr>
    </w:tbl>
    <w:tbl>
      <w:tblPr>
        <w:tblW w:w="10112" w:type="dxa"/>
        <w:jc w:val="left"/>
        <w:tblInd w:w="0" w:type="dxa"/>
        <w:tblLayout w:type="fixed"/>
        <w:tblCellMar>
          <w:top w:w="0" w:type="dxa"/>
          <w:left w:w="0" w:type="dxa"/>
          <w:bottom w:w="0" w:type="dxa"/>
          <w:right w:w="0" w:type="dxa"/>
        </w:tblCellMar>
      </w:tblPr>
      <w:tblGrid>
        <w:gridCol w:w="271"/>
        <w:gridCol w:w="984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operating lease liability balance as of March 31, 2024.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2" w:name="Tc_nANpmlggNkuIzjczC0W3pQ_5_2"/>
      <w:bookmarkStart w:id="913" w:name="Tc_7Oxrr0WjlUmKIIHwT5valA_5_0"/>
      <w:bookmarkStart w:id="914" w:name="Tc_sX1-O-gBek6SAddDq7j0Lw_4_7"/>
      <w:bookmarkStart w:id="915" w:name="Tc_6FIKi6DhWkqZW2N1DAwWIA_4_5"/>
      <w:bookmarkStart w:id="916" w:name="Tc_-AESeXVYgUahvuzvHnic3A_4_0"/>
      <w:bookmarkStart w:id="917" w:name="Tc_bq96NX-sy0CIAiorjqZ-Eg_3_7"/>
      <w:bookmarkStart w:id="918" w:name="Tc_b-piyf5QVE2anQayEymNZg_3_5"/>
      <w:bookmarkStart w:id="919" w:name="Tc_PAVFDKRK-EOms97s6xvBUA_3_0"/>
      <w:bookmarkStart w:id="920" w:name="Tc_tuHNqXHG-0y9DyXxOWiBtg_2_7"/>
      <w:bookmarkStart w:id="921" w:name="Tc_-il0x9Z79k6ELdWLA5PM-Q_2_5"/>
      <w:bookmarkStart w:id="922" w:name="Tc_Hz1DQMyK10qVusdZhpolBg_2_2"/>
      <w:bookmarkStart w:id="923" w:name="Tc__o2_8bD1O0ieM1AgWgfVQA_2_0"/>
      <w:bookmarkStart w:id="924" w:name="Tc_ARTd2hUhBkmWY44velC0gQ_1_7"/>
      <w:bookmarkStart w:id="925" w:name="Tc_4eUdssGYfUO1uCtnYEB9EA_1_5"/>
      <w:bookmarkStart w:id="926" w:name="Tc_pOUbbJooHky-w_NHZy257Q_1_2"/>
      <w:bookmarkStart w:id="927" w:name="_cf9818a2_5bc2_45b1_8aa6_30dcfe31daf2"/>
      <w:bookmarkStart w:id="928" w:name="LT_DEBT"/>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Pr>
          <w:rFonts w:ascii="Times New Roman;Times;serif" w:hAnsi="Times New Roman;Times;serif"/>
          <w:b/>
          <w:sz w:val="20"/>
        </w:rPr>
        <w:t>NOTE 12. LONG-TERM DEBT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March 31, 2024, the Company’s outstanding indebtedness, at face value, was as follows (in thousands):</w:t>
      </w:r>
    </w:p>
    <w:p>
      <w:pPr>
        <w:pStyle w:val="TextBody"/>
        <w:bidi w:val="0"/>
        <w:spacing w:before="0" w:after="0"/>
        <w:ind w:left="0" w:right="0" w:firstLine="490"/>
        <w:jc w:val="both"/>
        <w:rPr/>
      </w:pPr>
      <w:r>
        <w:rPr/>
        <w:t>​</w:t>
      </w:r>
    </w:p>
    <w:tbl>
      <w:tblPr>
        <w:tblW w:w="7965" w:type="dxa"/>
        <w:jc w:val="left"/>
        <w:tblInd w:w="0" w:type="dxa"/>
        <w:tblLayout w:type="fixed"/>
        <w:tblCellMar>
          <w:top w:w="0" w:type="dxa"/>
          <w:left w:w="0" w:type="dxa"/>
          <w:bottom w:w="0" w:type="dxa"/>
          <w:right w:w="0" w:type="dxa"/>
        </w:tblCellMar>
      </w:tblPr>
      <w:tblGrid>
        <w:gridCol w:w="3001"/>
        <w:gridCol w:w="109"/>
        <w:gridCol w:w="325"/>
        <w:gridCol w:w="1205"/>
        <w:gridCol w:w="109"/>
        <w:gridCol w:w="1756"/>
        <w:gridCol w:w="109"/>
        <w:gridCol w:w="135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905635" cy="175260"/>
                      <wp:effectExtent l="0" t="0" r="0" b="0"/>
                      <wp:wrapNone/>
                      <wp:docPr id="186" name="Frame186"/>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6375" cy="175260"/>
                      <wp:effectExtent l="0" t="0" r="0" b="0"/>
                      <wp:wrapNone/>
                      <wp:docPr id="188" name="Frame188"/>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65175" cy="175260"/>
                      <wp:effectExtent l="0" t="0" r="0" b="0"/>
                      <wp:wrapNone/>
                      <wp:docPr id="189" name="Frame189"/>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115060" cy="175260"/>
                      <wp:effectExtent l="0" t="0" r="0" b="0"/>
                      <wp:wrapNone/>
                      <wp:docPr id="191" name="Frame191"/>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57885" cy="175260"/>
                      <wp:effectExtent l="0" t="0" r="0" b="0"/>
                      <wp:wrapNone/>
                      <wp:docPr id="193" name="Frame19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Face Value Debt </w:t>
            </w:r>
          </w:p>
        </w:tc>
        <w:tc>
          <w:tcPr>
            <w:tcW w:w="109" w:type="dxa"/>
            <w:tcBorders/>
            <w:vAlign w:val="center"/>
          </w:tcPr>
          <w:p>
            <w:pPr>
              <w:pStyle w:val="TableContents"/>
              <w:bidi w:val="0"/>
              <w:spacing w:before="0" w:after="0"/>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30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[1.35% - 1.95%]</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2026</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273,000</w:t>
            </w:r>
          </w:p>
        </w:tc>
        <w:tc>
          <w:tcPr>
            <w:tcW w:w="109" w:type="dxa"/>
            <w:tcBorders/>
            <w:vAlign w:val="center"/>
          </w:tcPr>
          <w:p>
            <w:pPr>
              <w:pStyle w:val="TableContents"/>
              <w:bidi w:val="0"/>
              <w:spacing w:before="0" w:after="0"/>
              <w:ind w:left="0" w:right="0" w:hanging="0"/>
              <w:jc w:val="left"/>
              <w:rPr/>
            </w:pPr>
            <w:r>
              <w:rPr/>
              <w:t>​</w:t>
            </w:r>
          </w:p>
        </w:tc>
        <w:tc>
          <w:tcPr>
            <w:tcW w:w="175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3.80%</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13, “Interest Rate Swaps” for further disclosure related to the Company’s interest rate swap.</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13,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interest rate swaps to fix SOFR and achieve a weighted average fixed interest rate of 1.18%</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13, “Interest Rate Swaps” for further disclosure related to the Company’s interest rate swaps.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On September 30, 2022, the Company and the Operating Partnership entered into a credit agreement (the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a new senior unsecured revolving credit facility in the amount of $250</w:t>
            </w:r>
            <w:r>
              <w:rPr>
                <w:caps w:val="false"/>
                <w:smallCaps w:val="false"/>
              </w:rPr>
              <w:t xml:space="preserve"> </w:t>
            </w:r>
            <w:r>
              <w:rPr>
                <w:rFonts w:ascii="Times New Roman;Times;serif" w:hAnsi="Times New Roman;Times;serif"/>
                <w:b w:val="false"/>
                <w:i w:val="false"/>
                <w:caps w:val="false"/>
                <w:smallCaps w:val="false"/>
                <w:sz w:val="20"/>
              </w:rPr>
              <w:t>million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March 31, 2024, the commitment level under the Credit Facility was $250.0 million and the Company had an outstanding balance of $73.0 million.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2026 Term Loan. </w:t>
      </w:r>
      <w:r>
        <w:rPr>
          <w:rFonts w:ascii="Times New Roman;Times;serif" w:hAnsi="Times New Roman;Times;serif"/>
          <w:sz w:val="20"/>
        </w:rPr>
        <w:t xml:space="preserve">On May 21, 2021, the Operating Partnership, the Company and certain subsidiaries of the Company entered into a credit agreement (the “2026 Term Loan Credit Agreement”) with Truist Bank, N.A. as administrative agent,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29" w:name="Tc_Gcq9nqsayEmhy8cIAj8XSA_4_2"/>
      <w:bookmarkStart w:id="930" w:name="Tc_kuJe06S29EO-yA1CH_hfng_4_0"/>
      <w:bookmarkStart w:id="931" w:name="Tc_NuorZiOd8Eqlc0I25YjLvw_3_0"/>
      <w:bookmarkStart w:id="932" w:name="Tc_vWWYhA3lTUKoksNIIM1FnQ_2_2"/>
      <w:bookmarkStart w:id="933" w:name="Tc_Oov1SoZvhEifIhw4VnZfiw_2_0"/>
      <w:bookmarkStart w:id="934" w:name="Tc_ePukC42PaUaSJVDD5mSRUg_1_2"/>
      <w:bookmarkStart w:id="935" w:name="_2aa53051_1d01_47c0_904e_4c7337dd095a"/>
      <w:bookmarkStart w:id="936" w:name="Tc_Lm-7DWJ8IU6mXkygmpCLGQ_9_2"/>
      <w:bookmarkStart w:id="937" w:name="Tc_v84o9aw1l0CiqanzpTg_eg_9_0"/>
      <w:bookmarkStart w:id="938" w:name="Tc_jbs_64EX8EqbMZzQALIQqQ_8_0"/>
      <w:bookmarkStart w:id="939" w:name="Tc_YZZXGxZzPkO6p7vQfdiBPg_7_0"/>
      <w:bookmarkStart w:id="940" w:name="Tc_hFSVGXYEp0W4EEGDJlfGhQ_6_0"/>
      <w:bookmarkStart w:id="941" w:name="Tc_PqltlOzvmUStEKfqsABHvw_5_0"/>
      <w:bookmarkStart w:id="942" w:name="Tc_1Wxay8_0wEelo6noacg_wg_4_0"/>
      <w:bookmarkStart w:id="943" w:name="Tc_S_Xxluf6fkCVIoI0xwpfQw_3_0"/>
      <w:bookmarkStart w:id="944" w:name="Tc_oWNFzF0NzkSwGdkSd-MQbw_2_2"/>
      <w:bookmarkStart w:id="945" w:name="Tc_sCyGsip7m0O4toYdl_m61Q_2_0"/>
      <w:bookmarkStart w:id="946" w:name="Tc_UOXZAVehSES_6CIWpuBXJQ_1_2"/>
      <w:bookmarkStart w:id="947" w:name="Tc_nDhvvZvdhkG1FfrOM091iw_1_0"/>
      <w:bookmarkStart w:id="948" w:name="_b4206277_e1fe_40ae_bf59_217b6338544c"/>
      <w:bookmarkStart w:id="949" w:name="Tc_iXruErvL80uM39m0H38ZKw_7_12"/>
      <w:bookmarkStart w:id="950" w:name="Tc_k1zVr5e-_EeJZhbRinsFxw_7_11"/>
      <w:bookmarkStart w:id="951" w:name="Tc_cmIzisr6l0-oqcNFdrnYyw_7_8"/>
      <w:bookmarkStart w:id="952" w:name="Tc_j6wmVGZrE0qYs3qltYebQA_7_6"/>
      <w:bookmarkStart w:id="953" w:name="Tc_O6cZcXwwV0qHGjPGM0CcFg_7_5"/>
      <w:bookmarkStart w:id="954" w:name="Tc_9RxVR3aOx0-QB-zQGvEfTQ_7_2"/>
      <w:bookmarkStart w:id="955" w:name="Tc_VgN28tcwZEG42we3XZyLzg_7_0"/>
      <w:bookmarkStart w:id="956" w:name="Tc_9xvu_RQBeEu_tAQcSgDTog_6_12"/>
      <w:bookmarkStart w:id="957" w:name="Tc_8BP4VeEL_UOag8xAiAxgUA_6_6"/>
      <w:bookmarkStart w:id="958" w:name="Tc_7bZcrtsxuUeE3Z0lIxmUmw_6_0"/>
      <w:bookmarkStart w:id="959" w:name="Tc_MfqbSUbMbUS0Pt1Q_5LDbA_5_12"/>
      <w:bookmarkStart w:id="960" w:name="Tc_MM4mHA_BtUWAjjVKBABcsA_5_6"/>
      <w:bookmarkStart w:id="961" w:name="Tc_zNUyvl5ed0Oxufa1B6cV_g_5_0"/>
      <w:bookmarkStart w:id="962" w:name="Tc_N5uAtinWgEOZL_pff0MYNw_4_12"/>
      <w:bookmarkStart w:id="963" w:name="Tc_AKiOpR0JWEitBaNzel8AIw_4_6"/>
      <w:bookmarkStart w:id="964" w:name="Tc_ZWEEA5KnqUGc_f1c-vxRXg_4_0"/>
      <w:bookmarkStart w:id="965" w:name="Tc_jU4p9KuEC06erNRH6k6afA_3_12"/>
      <w:bookmarkStart w:id="966" w:name="Tc_XC04hmY7_063LCL1NThoOA_3_11"/>
      <w:bookmarkStart w:id="967" w:name="Tc_kpA30EJQDUmzk6USJd56MQ_3_8"/>
      <w:bookmarkStart w:id="968" w:name="Tc_U2BOkUw-Dka1XqVK-ndT1A_3_6"/>
      <w:bookmarkStart w:id="969" w:name="Tc_OxLh3a6arkifVSlptFP6Cg_3_5"/>
      <w:bookmarkStart w:id="970" w:name="Tc_8R3D639Ee0yRqMXgVJAjng_3_2"/>
      <w:bookmarkStart w:id="971" w:name="Tc_yNbj_gA6-kuYgeCJjeiQYA_3_0"/>
      <w:bookmarkStart w:id="972" w:name="Tc_bfxaBBXVpkGuCXuXUrqZBg_2_11"/>
      <w:bookmarkStart w:id="973" w:name="Tc_zbCPAfAu1EaSggdchJzSIQ_2_8"/>
      <w:bookmarkStart w:id="974" w:name="Tc_jpS3MZ7O9kC9XjXp6P_kUA_2_5"/>
      <w:bookmarkStart w:id="975" w:name="Tc_z7kXI4dF0Uy5I8pX9qB8Rw_2_2"/>
      <w:bookmarkStart w:id="976" w:name="Tc_W41PPbxMsE-LOUYEktXRVg_1_8"/>
      <w:bookmarkStart w:id="977" w:name="Tc_CYby7xl55kWrWKV2XBfwNg_1_2"/>
      <w:bookmarkStart w:id="978" w:name="_6709eafc_69c2_4a1e_9d81_62dff49d7e25"/>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r>
        <w:rPr>
          <w:rFonts w:ascii="Times New Roman;Times;serif" w:hAnsi="Times New Roman;Times;serif"/>
          <w:sz w:val="20"/>
        </w:rPr>
        <w:t xml:space="preserve">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2027 Term Loan. </w:t>
      </w:r>
      <w:r>
        <w:rPr>
          <w:rFonts w:ascii="Times New Roman;Times;serif" w:hAnsi="Times New Roman;Times;serif"/>
          <w:sz w:val="20"/>
        </w:rPr>
        <w:t xml:space="preserve">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Long-term debt as of March 31, 2024 and December 31, 2023 consisted of the following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53"/>
        <w:gridCol w:w="109"/>
        <w:gridCol w:w="211"/>
        <w:gridCol w:w="781"/>
        <w:gridCol w:w="326"/>
        <w:gridCol w:w="663"/>
        <w:gridCol w:w="1093"/>
        <w:gridCol w:w="146"/>
        <w:gridCol w:w="211"/>
        <w:gridCol w:w="781"/>
        <w:gridCol w:w="326"/>
        <w:gridCol w:w="574"/>
        <w:gridCol w:w="1231"/>
      </w:tblGrid>
      <w:tr>
        <w:trPr/>
        <w:tc>
          <w:tcPr>
            <w:tcW w:w="3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5935" cy="175260"/>
                      <wp:effectExtent l="0" t="0" r="0" b="0"/>
                      <wp:wrapNone/>
                      <wp:docPr id="196" name="Frame1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1005" cy="175260"/>
                      <wp:effectExtent l="0" t="0" r="0" b="0"/>
                      <wp:wrapNone/>
                      <wp:docPr id="198" name="Frame198"/>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4055" cy="175260"/>
                      <wp:effectExtent l="0" t="0" r="0" b="0"/>
                      <wp:wrapNone/>
                      <wp:docPr id="199" name="Frame199"/>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2710" cy="175260"/>
                      <wp:effectExtent l="0" t="0" r="0" b="0"/>
                      <wp:wrapNone/>
                      <wp:docPr id="200" name="Frame20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95935" cy="175260"/>
                      <wp:effectExtent l="0" t="0" r="0" b="0"/>
                      <wp:wrapNone/>
                      <wp:docPr id="202"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4490" cy="175260"/>
                      <wp:effectExtent l="0" t="0" r="0" b="0"/>
                      <wp:wrapNone/>
                      <wp:docPr id="204" name="Frame204"/>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81685" cy="175260"/>
                      <wp:effectExtent l="0" t="0" r="0" b="0"/>
                      <wp:wrapNone/>
                      <wp:docPr id="205" name="Frame20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46" w:type="dxa"/>
            <w:tcBorders/>
            <w:vAlign w:val="center"/>
          </w:tcPr>
          <w:p>
            <w:pPr>
              <w:pStyle w:val="TableContents"/>
              <w:bidi w:val="0"/>
              <w:spacing w:before="0" w:after="0"/>
              <w:ind w:left="0" w:right="0" w:hanging="0"/>
              <w:jc w:val="left"/>
              <w:rPr/>
            </w:pPr>
            <w:r>
              <w:rPr/>
              <w:t>​</w:t>
            </w:r>
          </w:p>
        </w:tc>
        <w:tc>
          <w:tcPr>
            <w:tcW w:w="3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vAlign w:val="center"/>
          </w:tcPr>
          <w:p>
            <w:pPr>
              <w:pStyle w:val="TableContents"/>
              <w:bidi w:val="0"/>
              <w:spacing w:before="0" w:after="0"/>
              <w:ind w:left="0" w:right="0" w:hanging="0"/>
              <w:jc w:val="left"/>
              <w:rPr/>
            </w:pPr>
            <w:r>
              <w:rPr/>
              <w:t>    </w:t>
            </w:r>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76,500</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26" w:type="dxa"/>
            <w:tcBorders/>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272,256</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Payments applicable to reduction of principal amounts as of March 31, 2024 will be required as follows (in thousands):</w:t>
      </w:r>
    </w:p>
    <w:p>
      <w:pPr>
        <w:pStyle w:val="TextBody"/>
        <w:bidi w:val="0"/>
        <w:spacing w:before="0" w:after="0"/>
        <w:ind w:left="0" w:right="0" w:firstLine="360"/>
        <w:jc w:val="both"/>
        <w:rPr/>
      </w:pPr>
      <w:r>
        <w:rPr/>
        <w:t>​</w:t>
      </w:r>
    </w:p>
    <w:tbl>
      <w:tblPr>
        <w:tblW w:w="4207" w:type="dxa"/>
        <w:jc w:val="left"/>
        <w:tblInd w:w="0" w:type="dxa"/>
        <w:tblLayout w:type="fixed"/>
        <w:tblCellMar>
          <w:top w:w="0" w:type="dxa"/>
          <w:left w:w="0" w:type="dxa"/>
          <w:bottom w:w="0" w:type="dxa"/>
          <w:right w:w="0" w:type="dxa"/>
        </w:tblCellMar>
      </w:tblPr>
      <w:tblGrid>
        <w:gridCol w:w="3001"/>
        <w:gridCol w:w="109"/>
        <w:gridCol w:w="211"/>
        <w:gridCol w:w="886"/>
      </w:tblGrid>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62610" cy="175260"/>
                      <wp:effectExtent l="0" t="0" r="0" b="0"/>
                      <wp:wrapNone/>
                      <wp:docPr id="208" name="Frame2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273,000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value of long-term debt as of March 31, 2024 consisted of the following (in thousands):</w:t>
      </w:r>
    </w:p>
    <w:p>
      <w:pPr>
        <w:pStyle w:val="TextBody"/>
        <w:bidi w:val="0"/>
        <w:spacing w:before="0" w:after="0"/>
        <w:ind w:left="0" w:right="0" w:firstLine="360"/>
        <w:jc w:val="both"/>
        <w:rPr/>
      </w:pPr>
      <w:r>
        <w:rPr/>
        <w:t>​</w:t>
      </w:r>
    </w:p>
    <w:tbl>
      <w:tblPr>
        <w:tblW w:w="5452" w:type="dxa"/>
        <w:jc w:val="left"/>
        <w:tblInd w:w="0" w:type="dxa"/>
        <w:tblLayout w:type="fixed"/>
        <w:tblCellMar>
          <w:top w:w="0" w:type="dxa"/>
          <w:left w:w="0" w:type="dxa"/>
          <w:bottom w:w="0" w:type="dxa"/>
          <w:right w:w="0" w:type="dxa"/>
        </w:tblCellMar>
      </w:tblPr>
      <w:tblGrid>
        <w:gridCol w:w="4246"/>
        <w:gridCol w:w="109"/>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62610" cy="175260"/>
                      <wp:effectExtent l="0" t="0" r="0" b="0"/>
                      <wp:wrapNone/>
                      <wp:docPr id="211" name="Frame2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272,256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979" w:name="Tc_MTvb2Iw9U06xPxWJ6LNw4w_7_5"/>
      <w:bookmarkStart w:id="980" w:name="Tc_tFYuN2-H106hfmZ1X9ZzMg_7_2"/>
      <w:bookmarkStart w:id="981" w:name="Tc_9yahdZs-1ECc0BrVgxb4wQ_7_0"/>
      <w:bookmarkStart w:id="982" w:name="Tc_Jgb4wjSTMkG-m2PmYVDzTg_5_5"/>
      <w:bookmarkStart w:id="983" w:name="Tc_pmn5WohrE0OsTllX8Y5hSw_5_2"/>
      <w:bookmarkStart w:id="984" w:name="Tc_BNVp4TPckEWNNwl64kdBdA_5_0"/>
      <w:bookmarkStart w:id="985" w:name="Tc__7nXePMcf0St_de7OIS32Q_4_0"/>
      <w:bookmarkStart w:id="986" w:name="Tc_NtmT5ykWBUigHw8J_oqWgA_3_5"/>
      <w:bookmarkStart w:id="987" w:name="Tc_Km1kGxC0bUqV__I1-6LMhw_3_2"/>
      <w:bookmarkStart w:id="988" w:name="Tc_uq0BpQYZgUKitm6Uprtjgg_3_0"/>
      <w:bookmarkStart w:id="989" w:name="Tc_s_oKkbaC6E-CCO64ee-zyw_2_5"/>
      <w:bookmarkStart w:id="990" w:name="Tc_aw4f3VBVjUyPZg9RutN95w_2_2"/>
      <w:bookmarkStart w:id="991" w:name="Tc_YI5_tDM6GEGRyLM20kvaaQ_1_2"/>
      <w:bookmarkStart w:id="992" w:name="_a76e5768_ef1a_4639_bce5_a48a9ece102b"/>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sz w:val="20"/>
        </w:rPr>
        <w:t xml:space="preserve">In addition to the $0.7 million of financing costs, net of accumulated amortization included in the table above, as of March 31, 2024, the Company also had financing costs, net of accumulated amortization related to the Credit Facility of $1.1 million which is included in other assets on the consolidated balance sheets. These costs are amortized on a straight-line basis over the term of the Credit Facility and are included in interest expense in the consolidated statements of operations.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months ended March 31, 2024 and 2023 (in thousands):</w:t>
      </w:r>
    </w:p>
    <w:p>
      <w:pPr>
        <w:pStyle w:val="TextBody"/>
        <w:bidi w:val="0"/>
        <w:spacing w:before="0" w:after="0"/>
        <w:ind w:left="0" w:right="0" w:firstLine="360"/>
        <w:jc w:val="both"/>
        <w:rPr/>
      </w:pPr>
      <w:r>
        <w:rPr/>
        <w:t>​</w:t>
      </w:r>
    </w:p>
    <w:tbl>
      <w:tblPr>
        <w:tblW w:w="8252" w:type="dxa"/>
        <w:jc w:val="left"/>
        <w:tblInd w:w="0" w:type="dxa"/>
        <w:tblLayout w:type="fixed"/>
        <w:tblCellMar>
          <w:top w:w="0" w:type="dxa"/>
          <w:left w:w="0" w:type="dxa"/>
          <w:bottom w:w="0" w:type="dxa"/>
          <w:right w:w="0" w:type="dxa"/>
        </w:tblCellMar>
      </w:tblPr>
      <w:tblGrid>
        <w:gridCol w:w="5101"/>
        <w:gridCol w:w="109"/>
        <w:gridCol w:w="388"/>
        <w:gridCol w:w="1052"/>
        <w:gridCol w:w="117"/>
        <w:gridCol w:w="352"/>
        <w:gridCol w:w="1133"/>
      </w:tblGrid>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6380" cy="175260"/>
                      <wp:effectExtent l="0" t="0" r="0" b="0"/>
                      <wp:wrapNone/>
                      <wp:docPr id="213" name="Frame21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68020" cy="175260"/>
                      <wp:effectExtent l="0" t="0" r="0" b="0"/>
                      <wp:wrapNone/>
                      <wp:docPr id="214" name="Frame214"/>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4295" cy="175260"/>
                      <wp:effectExtent l="0" t="0" r="0" b="0"/>
                      <wp:wrapNone/>
                      <wp:docPr id="215" name="Frame215"/>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3520" cy="175260"/>
                      <wp:effectExtent l="0" t="0" r="0" b="0"/>
                      <wp:wrapNone/>
                      <wp:docPr id="216" name="Frame21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19455" cy="175260"/>
                      <wp:effectExtent l="0" t="0" r="0" b="0"/>
                      <wp:wrapNone/>
                      <wp:docPr id="217" name="Frame217"/>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17" w:type="dxa"/>
            <w:tcBorders/>
            <w:vAlign w:val="center"/>
          </w:tcPr>
          <w:p>
            <w:pPr>
              <w:pStyle w:val="TableContents"/>
              <w:bidi w:val="0"/>
              <w:spacing w:before="0" w:after="0"/>
              <w:ind w:left="0" w:right="0" w:hanging="0"/>
              <w:jc w:val="lef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117"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left"/>
              <w:rPr/>
            </w:pPr>
            <w:r>
              <w:rPr/>
              <w:t>​</w:t>
            </w:r>
          </w:p>
        </w:tc>
        <w:tc>
          <w:tcPr>
            <w:tcW w:w="117"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33" w:type="dxa"/>
            <w:tcBorders/>
            <w:vAlign w:val="center"/>
          </w:tcPr>
          <w:p>
            <w:pPr>
              <w:pStyle w:val="TableContents"/>
              <w:bidi w:val="0"/>
              <w:spacing w:before="0" w:after="0"/>
              <w:ind w:left="0" w:right="0" w:hanging="0"/>
              <w:jc w:val="lef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2,544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was in compliance with all of its debt covenants as of March 31, 2024.</w:t>
      </w:r>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120"/>
        <w:ind w:left="0" w:right="0" w:hanging="0"/>
        <w:jc w:val="left"/>
        <w:rPr>
          <w:rFonts w:ascii="Times New Roman;Times;serif" w:hAnsi="Times New Roman;Times;serif"/>
          <w:b/>
          <w:sz w:val="20"/>
        </w:rPr>
      </w:pPr>
      <w:bookmarkStart w:id="993" w:name="Tc_2H4768xcw0Oh7i7ptesqwg_6_11"/>
      <w:bookmarkStart w:id="994" w:name="Tc_cK97KeOPtUqNF3pyn0eIWA_6_8"/>
      <w:bookmarkStart w:id="995" w:name="Tc_eV_pZUtFZkWUM2YewUnSDQ_6_6"/>
      <w:bookmarkStart w:id="996" w:name="Tc_nCiEcEmsJ06EmI_MdxjQ7A_6_4"/>
      <w:bookmarkStart w:id="997" w:name="Tc_PsruMootKUuIBkOYYHRDPA_6_2"/>
      <w:bookmarkStart w:id="998" w:name="Tc__0FBC0rxNEOhKq7gII0etA_6_0"/>
      <w:bookmarkStart w:id="999" w:name="Tc_AtBXAiPDjUO6Qg5SxSMoZw_5_11"/>
      <w:bookmarkStart w:id="1000" w:name="Tc_Kfw91FdMmEKejYlgzk-BCw_5_8"/>
      <w:bookmarkStart w:id="1001" w:name="Tc_nF1nKdcOekmpklKOradqZw_5_6"/>
      <w:bookmarkStart w:id="1002" w:name="Tc_oOMmhU9ehUKSg7-NV0NOXg_5_4"/>
      <w:bookmarkStart w:id="1003" w:name="Tc_AEqCsBhmTUiWQ3H_hvbu0g_5_2"/>
      <w:bookmarkStart w:id="1004" w:name="Tc_25JVT45ypkSr6dhR4TQvfw_5_0"/>
      <w:bookmarkStart w:id="1005" w:name="Tc_T6PJUAd3h0G5vRZ4DrPevg_4_11"/>
      <w:bookmarkStart w:id="1006" w:name="Tc_rjC4ND3CXEGqG6PnU3kzzw_4_8"/>
      <w:bookmarkStart w:id="1007" w:name="Tc_cGxaMacC20eD_-9u7ikSjA_4_6"/>
      <w:bookmarkStart w:id="1008" w:name="Tc_P6VOHD89DU2qdGsrX0cdIA_4_4"/>
      <w:bookmarkStart w:id="1009" w:name="Tc_ByxkLWl5u0mxl70sNpkG4Q_4_2"/>
      <w:bookmarkStart w:id="1010" w:name="Tc_-PbmypVEOUKIi_UANDbjXg_4_0"/>
      <w:bookmarkStart w:id="1011" w:name="Tc_FGc86fBH30Ky8unMof5eFw_3_11"/>
      <w:bookmarkStart w:id="1012" w:name="Tc_qo0Lf730CEK64d6ucejyAQ_3_8"/>
      <w:bookmarkStart w:id="1013" w:name="Tc_4IXgYg-aXUGHDTtI4GH2hQ_3_6"/>
      <w:bookmarkStart w:id="1014" w:name="Tc_MS6Qym0ULEO04aj1V-G0Vw_3_4"/>
      <w:bookmarkStart w:id="1015" w:name="Tc_YIEF4TrODk6A9tXGyV-hcQ_3_2"/>
      <w:bookmarkStart w:id="1016" w:name="Tc_xveB1KYlEEaccrCjt8qNJg_3_0"/>
      <w:bookmarkStart w:id="1017" w:name="Tc_6psBs5UAu0WslLXQLZizJA_2_11"/>
      <w:bookmarkStart w:id="1018" w:name="Tc_2Y-LXo4No0CRUnCVFPDYVA_2_8"/>
      <w:bookmarkStart w:id="1019" w:name="Tc_6pypsLLvv0-P2L6Hr0LT0A_2_6"/>
      <w:bookmarkStart w:id="1020" w:name="Tc_KwoQXCoc2UG4tWtbnhIBRA_2_4"/>
      <w:bookmarkStart w:id="1021" w:name="Tc_YzSCsv3KHkKTWkheYGWABQ_2_2"/>
      <w:bookmarkStart w:id="1022" w:name="Tc_KSJ4PKkDnkKqDYGk6ytsNA_2_0"/>
      <w:bookmarkStart w:id="1023" w:name="Tc_czoNkdMSuk-sqwjFzoWxTA_1_11"/>
      <w:bookmarkStart w:id="1024" w:name="Tc_3tLVDL3d_0mqiz3yjjtsyw_1_8"/>
      <w:bookmarkStart w:id="1025" w:name="Tc_9eOs2E3WiU6YefXFZBFAfw_1_6"/>
      <w:bookmarkStart w:id="1026" w:name="Tc_F0sAwCakSUe1wEj7LLtmMg_1_4"/>
      <w:bookmarkStart w:id="1027" w:name="Tc_PnzeSdFZ8UWrPXCpsPnjjA_1_2"/>
      <w:bookmarkStart w:id="1028" w:name="Tc_CaHfvVQnVkC28heFv_Tnfw_1_0"/>
      <w:bookmarkStart w:id="1029" w:name="_74484431_3b0f_490e_951f_c25d3556ac26"/>
      <w:bookmarkStart w:id="1030" w:name="_09eaf1c3_0225_4fb6_8d5a_25f8db097179_3"/>
      <w:bookmarkStart w:id="1031" w:name="_09eaf1c3_0225_4fb6_8d5a_25f8db097179_2"/>
      <w:bookmarkStart w:id="1032" w:name="_09eaf1c3_0225_4fb6_8d5a_25f8db097179"/>
      <w:bookmarkStart w:id="1033" w:name="_62902eb1_fd48_4707_bde7_fa315518d41b_3"/>
      <w:bookmarkStart w:id="1034" w:name="_62902eb1_fd48_4707_bde7_fa315518d41b_2"/>
      <w:bookmarkStart w:id="1035" w:name="_62902eb1_fd48_4707_bde7_fa315518d41b"/>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sz w:val="20"/>
        </w:rPr>
        <w:t>NOTE 13. INTEREST RATE SWAPS</w:t>
      </w:r>
    </w:p>
    <w:p>
      <w:pPr>
        <w:pStyle w:val="TextBody"/>
        <w:bidi w:val="0"/>
        <w:spacing w:before="120" w:after="0"/>
        <w:ind w:left="0" w:right="0" w:firstLine="432"/>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months ended March 31, 2024 and 2023. Accordingly, the changes in fair value on the interest rate swaps have been classified in accumulated other comprehensive income. The fair value of the interest rate swap agreements are included in other assets and accounts payable, accrued expenses and other liabilities, respectively, on the consolidated balance sheets. </w:t>
      </w:r>
    </w:p>
    <w:p>
      <w:pPr>
        <w:pStyle w:val="TextBody"/>
        <w:bidi w:val="0"/>
        <w:spacing w:before="120" w:after="0"/>
        <w:ind w:left="0" w:right="0" w:firstLine="432"/>
        <w:jc w:val="both"/>
        <w:rPr>
          <w:rFonts w:ascii="Times New Roman;Times;serif" w:hAnsi="Times New Roman;Times;serif"/>
          <w:sz w:val="20"/>
        </w:rPr>
      </w:pPr>
      <w:r>
        <w:rPr>
          <w:rFonts w:ascii="Times New Roman;Times;serif" w:hAnsi="Times New Roman;Times;serif"/>
          <w:sz w:val="20"/>
        </w:rPr>
        <w:t>Information related to the Company’s interest rate swap agreements is noted below (in thousands):</w:t>
      </w:r>
    </w:p>
    <w:p>
      <w:pPr>
        <w:pStyle w:val="TextBody"/>
        <w:bidi w:val="0"/>
        <w:spacing w:before="0" w:after="0"/>
        <w:ind w:left="0" w:right="0" w:firstLine="547"/>
        <w:jc w:val="both"/>
        <w:rPr/>
      </w:pPr>
      <w:r>
        <w:rPr/>
        <w:t>​</w:t>
      </w:r>
    </w:p>
    <w:tbl>
      <w:tblPr>
        <w:tblW w:w="9296" w:type="dxa"/>
        <w:jc w:val="left"/>
        <w:tblInd w:w="0" w:type="dxa"/>
        <w:tblLayout w:type="fixed"/>
        <w:tblCellMar>
          <w:top w:w="0" w:type="dxa"/>
          <w:left w:w="0" w:type="dxa"/>
          <w:bottom w:w="0" w:type="dxa"/>
          <w:right w:w="0" w:type="dxa"/>
        </w:tblCellMar>
      </w:tblPr>
      <w:tblGrid>
        <w:gridCol w:w="1516"/>
        <w:gridCol w:w="109"/>
        <w:gridCol w:w="1171"/>
        <w:gridCol w:w="109"/>
        <w:gridCol w:w="1201"/>
        <w:gridCol w:w="109"/>
        <w:gridCol w:w="1381"/>
        <w:gridCol w:w="109"/>
        <w:gridCol w:w="196"/>
        <w:gridCol w:w="691"/>
        <w:gridCol w:w="109"/>
        <w:gridCol w:w="624"/>
        <w:gridCol w:w="197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62660" cy="175260"/>
                      <wp:effectExtent l="0" t="0" r="0" b="0"/>
                      <wp:wrapNone/>
                      <wp:docPr id="218" name="Frame218"/>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43585" cy="175260"/>
                      <wp:effectExtent l="0" t="0" r="0" b="0"/>
                      <wp:wrapNone/>
                      <wp:docPr id="220" name="Frame22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62635" cy="175260"/>
                      <wp:effectExtent l="0" t="0" r="0" b="0"/>
                      <wp:wrapNone/>
                      <wp:docPr id="222" name="Frame22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876935" cy="175260"/>
                      <wp:effectExtent l="0" t="0" r="0" b="0"/>
                      <wp:wrapNone/>
                      <wp:docPr id="224" name="Frame224"/>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26" name="Frame2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38785" cy="175260"/>
                      <wp:effectExtent l="0" t="0" r="0" b="0"/>
                      <wp:wrapNone/>
                      <wp:docPr id="227" name="Frame2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96240" cy="175260"/>
                      <wp:effectExtent l="0" t="0" r="0" b="0"/>
                      <wp:wrapNone/>
                      <wp:docPr id="229" name="Frame229"/>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51585" cy="175260"/>
                      <wp:effectExtent l="0" t="0" r="0" b="0"/>
                      <wp:wrapNone/>
                      <wp:docPr id="230" name="Frame230"/>
                      <a:graphic xmlns:a="http://schemas.openxmlformats.org/drawingml/2006/main">
                        <a:graphicData uri="http://schemas.microsoft.com/office/word/2010/wordprocessingShape">
                          <wps:wsp>
                            <wps:cNvSpPr txBox="1"/>
                            <wps:spPr>
                              <a:xfrm>
                                <a:off x="0" y="0"/>
                                <a:ext cx="1251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March 31, 2024</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5/21/2021</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5/21/2026</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2.05% + 0.10%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5,012</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9/30/2021</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11/29/2024</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0.51%+ 0.10%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2,499</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3.84%+ 0.10%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11/29/2024</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1.61%+ 0.10%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3,912</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3/1/2023</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3/1/2028</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3.21%+ 0.10%+</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7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1,550</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2026 Term Loan balance. The weighted average fixed interest rate of 2.05%, is comprised of: (i) rate swaps on $60.0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May 21, 2021, as amended on April 14, 2022 in connection with the 2026 Term Loan Amendment, to fix SOFR (prior to April 14, 2022, the swap was to fix LIBOR), and (ii) a rate swap on $40.0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September 30, 2022, to fix SOFR.</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interest rate swaps to fix SOFR and achieve a weighted average fixed interest rate of 0.51%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$80.0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2027 Term Loan balance. The weighted average fixed interest rate of 0.51%, is comprised of two</w:t>
            </w:r>
            <w:r>
              <w:rPr>
                <w:caps w:val="false"/>
                <w:smallCaps w:val="false"/>
              </w:rPr>
              <w:t xml:space="preserve"> </w:t>
            </w:r>
            <w:r>
              <w:rPr>
                <w:rFonts w:ascii="Times New Roman;Times;serif" w:hAnsi="Times New Roman;Times;serif"/>
                <w:b w:val="false"/>
                <w:i w:val="false"/>
                <w:caps w:val="false"/>
                <w:smallCaps w:val="false"/>
                <w:sz w:val="16"/>
              </w:rPr>
              <w:t>rate swaps on $80.0</w:t>
            </w:r>
            <w:r>
              <w:rPr>
                <w:caps w:val="false"/>
                <w:smallCaps w:val="false"/>
              </w:rPr>
              <w:t xml:space="preserve"> </w:t>
            </w:r>
            <w:r>
              <w:rPr>
                <w:rFonts w:ascii="Times New Roman;Times;serif" w:hAnsi="Times New Roman;Times;serif"/>
                <w:b w:val="false"/>
                <w:i w:val="false"/>
                <w:caps w:val="false"/>
                <w:smallCaps w:val="false"/>
                <w:sz w:val="16"/>
              </w:rPr>
              <w:t>million of the 2027 Term Loan balance effective September 30, 2021, as amended on April 14, 2022 in connection with the 2027 Term Loan Amendment, to fix SOFR (prior to April 14, 2022, the swap was to fix LIBOR).</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an interest rate swap to fix SOFR and achieve a fixed interest rate of 3.84%</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$20.0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 xml:space="preserve">million 2027 Term Loan balance.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9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interest rate swap agreement hedges $80.0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2027 Term Loan balance under different terms and commences concurrent to the interest rate agreements maturing on November 29, 2024 to extend the fixed interest rate through maturity on January 31, 2027.</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99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March 31, 2024, the Company has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$50.0</w:t>
            </w:r>
            <w:r>
              <w:rPr>
                <w:caps w:val="false"/>
                <w:smallCaps w:val="false"/>
              </w:rPr>
              <w:t xml:space="preserve"> </w:t>
            </w:r>
            <w:r>
              <w:rPr>
                <w:rFonts w:ascii="Times New Roman;Times;serif" w:hAnsi="Times New Roman;Times;serif"/>
                <w:b w:val="false"/>
                <w:i w:val="false"/>
                <w:caps w:val="false"/>
                <w:smallCaps w:val="false"/>
                <w:sz w:val="16"/>
              </w:rPr>
              <w:t xml:space="preserve">million of the outstanding balance on the Credit Facility. The swap was effective on March 1, 2023.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March 31, 2024 and December 31, 2023, there were no events of default related to the Company's interest rate swap agreements.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 EQUITY </w:t>
      </w:r>
    </w:p>
    <w:p>
      <w:pPr>
        <w:pStyle w:val="TextBody"/>
        <w:bidi w:val="0"/>
        <w:spacing w:lineRule="auto" w:line="268" w:before="0" w:after="0"/>
        <w:ind w:left="0" w:right="0" w:hanging="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lineRule="auto" w:line="268"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FOLLOW-ON PUBLIC OFFERING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0" w:after="0"/>
        <w:ind w:left="0" w:right="0" w:firstLine="360"/>
        <w:jc w:val="both"/>
        <w:rPr>
          <w:shd w:fill="FFFFFF" w:val="clear"/>
        </w:rPr>
      </w:pPr>
      <w:r>
        <w:rPr>
          <w:shd w:fill="FFFFFF" w:val="clea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lineRule="auto" w:line="268"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three months ended March 31, 2023, the Company sold 665,929 shares under the 2022 ATM Program for gross proceeds of $12.6 million at a weighted average price of $18.96 per share, generating net proceeds of $12.4 million after deducting transaction fees totaling $0.2 million.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was not active under the 2022 ATM Program during the three months ended March 31, 2024.</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2024, CTO holds, directly and indirectly, an 8.2% noncontrolling ownership interest in the Operating Partnership as a result of 1,223,854 OP Units issued to CTO at the time of the Company’s IPO.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2024 and 2023, the Company declared and paid cash dividends on its common stock and OP Units of $0.275 per share. </w:t>
      </w:r>
    </w:p>
    <w:p>
      <w:pPr>
        <w:pStyle w:val="TextBody"/>
        <w:bidi w:val="0"/>
        <w:spacing w:before="0" w:after="0"/>
        <w:ind w:left="0" w:right="0" w:firstLine="360"/>
        <w:jc w:val="both"/>
        <w:rPr/>
      </w:pPr>
      <w:r>
        <w:rPr/>
        <w:t>​</w:t>
      </w:r>
    </w:p>
    <w:p>
      <w:pPr>
        <w:pStyle w:val="TextBody"/>
        <w:bidi w:val="0"/>
        <w:spacing w:lineRule="auto" w:line="256" w:before="0" w:after="240"/>
        <w:ind w:left="0" w:right="0" w:hanging="0"/>
        <w:jc w:val="left"/>
        <w:rPr>
          <w:rFonts w:ascii="Times New Roman;Times;serif" w:hAnsi="Times New Roman;Times;serif"/>
          <w:b/>
          <w:sz w:val="20"/>
        </w:rPr>
      </w:pPr>
      <w:bookmarkStart w:id="1036" w:name="Tc_k5dk9-7QIUC16kN28fyJ5g_12_5"/>
      <w:bookmarkStart w:id="1037" w:name="Tc_GeOsY9VFl0mkjK9_ulKTXQ_12_2"/>
      <w:bookmarkStart w:id="1038" w:name="Tc_ACH4l8XEi0ulVvqpTGljwA_12_0"/>
      <w:bookmarkStart w:id="1039" w:name="Tc_hOAVgQtB2kSY8lPk9wYmzQ_11_5"/>
      <w:bookmarkStart w:id="1040" w:name="Tc_cZBvFiUEq0u49IrkQzVrhw_11_2"/>
      <w:bookmarkStart w:id="1041" w:name="Tc_vuUWgKYmeEKPXSdrMqb5yw_11_0"/>
      <w:bookmarkStart w:id="1042" w:name="Tc_4LAQQ9orn0GbLi0M0rIn2Q_10_0"/>
      <w:bookmarkStart w:id="1043" w:name="Tc_yRlgMsnNEk-PCd5UwOQwEw_9_0"/>
      <w:bookmarkStart w:id="1044" w:name="Tc_PBExPbTQm0CXG2FS8hA0Aw_7_0"/>
      <w:bookmarkStart w:id="1045" w:name="Tc_ZHIVpcj2iEOU6SuJVosB3g_6_0"/>
      <w:bookmarkStart w:id="1046" w:name="Tc_iQpDM54nqEOnDKuut_EUGA_5_0"/>
      <w:bookmarkStart w:id="1047" w:name="Tc_0-IU5PYnvEKT2RRG6MM9JA_3_5"/>
      <w:bookmarkStart w:id="1048" w:name="Tc_yQ7S1T4MfEeL1hr-vd1mng_3_2"/>
      <w:bookmarkStart w:id="1049" w:name="Tc_WNRBgTUrZ0OOSsvYqoBrhA_3_0"/>
      <w:bookmarkStart w:id="1050" w:name="Tc_YrzcaumL0ESfXXyWripnIg_2_5"/>
      <w:bookmarkStart w:id="1051" w:name="Tc_1iotyCsf806d7DUCVUKhfA_2_2"/>
      <w:bookmarkStart w:id="1052" w:name="Tc_hei1Fj4ptUO3jLsyHIg19A_1_2"/>
      <w:bookmarkStart w:id="1053" w:name="_0626e53b_9dc9_43c0_bcdf_e18fd575388d"/>
      <w:bookmarkStart w:id="1054" w:name="_05de662d_cd7c_4f5e_a1ec_d168be590536"/>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Fonts w:ascii="Times New Roman;Times;serif" w:hAnsi="Times New Roman;Times;serif"/>
          <w:b/>
          <w:sz w:val="20"/>
        </w:rPr>
        <w:t>NOTE 15. COMMON STOCK AND 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redemption of OP Units on a one-for-one basis using the treasury stock method at average market prices for the periods.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is a reconciliation of basic and diluted earnings per common share (in thousands, except share and per share data):</w:t>
      </w:r>
    </w:p>
    <w:p>
      <w:pPr>
        <w:pStyle w:val="TextBody"/>
        <w:bidi w:val="0"/>
        <w:spacing w:before="0" w:after="0"/>
        <w:ind w:left="0" w:right="0" w:firstLine="36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7132"/>
        <w:gridCol w:w="109"/>
        <w:gridCol w:w="237"/>
        <w:gridCol w:w="1167"/>
        <w:gridCol w:w="109"/>
        <w:gridCol w:w="236"/>
        <w:gridCol w:w="1215"/>
      </w:tblGrid>
      <w:tr>
        <w:trPr/>
        <w:tc>
          <w:tcPr>
            <w:tcW w:w="71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0495" cy="175260"/>
                      <wp:effectExtent l="0" t="0" r="0" b="0"/>
                      <wp:wrapNone/>
                      <wp:docPr id="232" name="Frame23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41045" cy="175260"/>
                      <wp:effectExtent l="0" t="0" r="0" b="0"/>
                      <wp:wrapNone/>
                      <wp:docPr id="233" name="Frame233"/>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9860" cy="175260"/>
                      <wp:effectExtent l="0" t="0" r="0" b="0"/>
                      <wp:wrapNone/>
                      <wp:docPr id="235" name="Frame23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71525" cy="175260"/>
                      <wp:effectExtent l="0" t="0" r="0" b="0"/>
                      <wp:wrapNone/>
                      <wp:docPr id="236" name="Frame236"/>
                      <a:graphic xmlns:a="http://schemas.openxmlformats.org/drawingml/2006/main">
                        <a:graphicData uri="http://schemas.microsoft.com/office/word/2010/wordprocessingShape">
                          <wps:wsp>
                            <wps:cNvSpPr txBox="1"/>
                            <wps:spPr>
                              <a:xfrm>
                                <a:off x="0" y="0"/>
                                <a:ext cx="771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32"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29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71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left"/>
              <w:rPr/>
            </w:pPr>
            <w:r>
              <w:rPr/>
              <w:t>​</w:t>
            </w:r>
          </w:p>
        </w:tc>
        <w:tc>
          <w:tcPr>
            <w:tcW w:w="14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71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r>
      <w:tr>
        <w:trPr/>
        <w:tc>
          <w:tcPr>
            <w:tcW w:w="71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pPr>
            <w:r>
              <w:rPr/>
              <w:t>​</w:t>
            </w:r>
          </w:p>
        </w:tc>
      </w:tr>
      <w:tr>
        <w:trPr/>
        <w:tc>
          <w:tcPr>
            <w:tcW w:w="71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13,621,208</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14,000,553</w:t>
            </w:r>
          </w:p>
        </w:tc>
      </w:tr>
      <w:tr>
        <w:trPr/>
        <w:tc>
          <w:tcPr>
            <w:tcW w:w="713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Applicable to OP Units using Treasury Stock Method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1,703,494</w:t>
            </w:r>
          </w:p>
        </w:tc>
      </w:tr>
      <w:tr>
        <w:trPr/>
        <w:tc>
          <w:tcPr>
            <w:tcW w:w="71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Applicable to 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14,845,062</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15,704,047</w:t>
            </w:r>
          </w:p>
        </w:tc>
      </w:tr>
      <w:tr>
        <w:trPr/>
        <w:tc>
          <w:tcPr>
            <w:tcW w:w="71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pPr>
            <w:r>
              <w:rPr/>
              <w:t>​</w:t>
            </w:r>
          </w:p>
        </w:tc>
      </w:tr>
      <w:tr>
        <w:trPr/>
        <w:tc>
          <w:tcPr>
            <w:tcW w:w="71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pPr>
            <w:r>
              <w:rPr/>
              <w:t>​</w:t>
            </w:r>
          </w:p>
        </w:tc>
      </w:tr>
      <w:tr>
        <w:trPr/>
        <w:tc>
          <w:tcPr>
            <w:tcW w:w="71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pPr>
            <w:r>
              <w:rPr/>
              <w:t>​</w:t>
            </w:r>
          </w:p>
        </w:tc>
      </w:tr>
      <w:tr>
        <w:trPr/>
        <w:tc>
          <w:tcPr>
            <w:tcW w:w="71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r>
      <w:tr>
        <w:trPr/>
        <w:tc>
          <w:tcPr>
            <w:tcW w:w="71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0.21</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the weighted average of 1,223,854</w:t>
            </w:r>
            <w:r>
              <w:rPr>
                <w:caps w:val="false"/>
                <w:smallCaps w:val="false"/>
              </w:rPr>
              <w:t xml:space="preserve"> </w:t>
            </w:r>
            <w:r>
              <w:rPr>
                <w:rFonts w:ascii="Times New Roman;Times;serif" w:hAnsi="Times New Roman;Times;serif"/>
                <w:b w:val="false"/>
                <w:i w:val="false"/>
                <w:caps w:val="false"/>
                <w:smallCaps w:val="false"/>
                <w:sz w:val="16"/>
              </w:rPr>
              <w:t>and 1,703,494</w:t>
            </w:r>
            <w:r>
              <w:rPr>
                <w:caps w:val="false"/>
                <w:smallCaps w:val="false"/>
              </w:rPr>
              <w:t xml:space="preserve"> </w:t>
            </w:r>
            <w:r>
              <w:rPr>
                <w:rFonts w:ascii="Times New Roman;Times;serif" w:hAnsi="Times New Roman;Times;serif"/>
                <w:b w:val="false"/>
                <w:i w:val="false"/>
                <w:caps w:val="false"/>
                <w:smallCaps w:val="false"/>
                <w:sz w:val="16"/>
              </w:rPr>
              <w:t>shares during the three months ended March 31, 2024 and 2023, respectively, underlying OP Units including (i) 1,223,854</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CTO and (ii) 479,640</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an unrelated third party, which OP Units were redeemed by PINE for an equivalent number of shares of common stock of PINE during the three months ended December 31, 2023.</w:t>
            </w:r>
          </w:p>
        </w:tc>
      </w:tr>
    </w:tbl>
    <w:p>
      <w:pPr>
        <w:pStyle w:val="TextBody"/>
        <w:bidi w:val="0"/>
        <w:spacing w:before="0" w:after="0"/>
        <w:ind w:left="36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 SHARE REPURCHASES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 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repurchases of the Company’s common stock during the three months ended March 31, 2023.</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55" w:name="Tc_nDnozsoqnUSKnP95MRFHFw_5_5"/>
      <w:bookmarkStart w:id="1056" w:name="Tc_PnSmBdtLnE2h2Og84wvNUQ_5_2"/>
      <w:bookmarkStart w:id="1057" w:name="Tc_oHwqrfNSVE-C8W9dOz7vwg_5_0"/>
      <w:bookmarkStart w:id="1058" w:name="Tc_BSgakNxWeUiOitTBDoeByQ_4_0"/>
      <w:bookmarkStart w:id="1059" w:name="Tc_qiRY3L_slEOwinPc99P5vw_3_6"/>
      <w:bookmarkStart w:id="1060" w:name="Tc_sSBe8XNoLU-G0Yc49HtIXw_3_5"/>
      <w:bookmarkStart w:id="1061" w:name="Tc_hzDhU_j0Xk2BbqAQF4E6Ng_3_3"/>
      <w:bookmarkStart w:id="1062" w:name="Tc_6k52uWjscUe7tNS02EbDAQ_3_2"/>
      <w:bookmarkStart w:id="1063" w:name="Tc_EEzBMXF2GkK_Gx0vni5ftQ_3_0"/>
      <w:bookmarkStart w:id="1064" w:name="Tc_NCS6zVxilEytJDpDzlkeJQ_2_5"/>
      <w:bookmarkStart w:id="1065" w:name="Tc_SXcd4vO-D0mJMwUguLvZ7A_2_2"/>
      <w:bookmarkStart w:id="1066" w:name="Tc_1n5S6OY0HkOJQ-dY6-RMAg_1_2"/>
      <w:bookmarkStart w:id="1067" w:name="_68013e69_f7bc_48f7_894e_17fc5046b23f"/>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b/>
          <w:sz w:val="20"/>
        </w:rPr>
        <w:t>NOTE 17. 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non-employee member of the Board has the option to receive his or her annual retainer fee in shares of Company common stock rather than cash. The number of shares issued to the directors making such election is calculated quarterly by dividing the amount of the quarterly retainer fee payment due to such director by the 20-day trailing average closing price of the Company’s common stock as of the last business day of the calendar quarter, rounded down to the nearest whole number of shares. During the three months ended March 31, 2024, the expense recognized for the value of the Company’s common stock received by non-employee directors totaled $0.08 million, or 5,131 shares, which were issued on April 1, 2024. During the three months ended March 31, 2023, the expense recognized for the value of the Company’s common stock received by non-employee directors totaled $0.08 million, or 4,776 shares, which were issued on April 3, 2023.</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Stock compensation expense for the three months ended March 31, 2024 and 2023 is summarized as follows (in thousands): </w:t>
      </w:r>
    </w:p>
    <w:p>
      <w:pPr>
        <w:pStyle w:val="TextBody"/>
        <w:bidi w:val="0"/>
        <w:spacing w:before="0" w:after="0"/>
        <w:ind w:left="0" w:right="0" w:hanging="0"/>
        <w:jc w:val="left"/>
        <w:rPr/>
      </w:pPr>
      <w:r>
        <w:rPr/>
        <w:t>​</w:t>
      </w:r>
    </w:p>
    <w:tbl>
      <w:tblPr>
        <w:tblW w:w="8536" w:type="dxa"/>
        <w:jc w:val="left"/>
        <w:tblInd w:w="0" w:type="dxa"/>
        <w:tblLayout w:type="fixed"/>
        <w:tblCellMar>
          <w:top w:w="0" w:type="dxa"/>
          <w:left w:w="0" w:type="dxa"/>
          <w:bottom w:w="0" w:type="dxa"/>
          <w:right w:w="0" w:type="dxa"/>
        </w:tblCellMar>
      </w:tblPr>
      <w:tblGrid>
        <w:gridCol w:w="5341"/>
        <w:gridCol w:w="109"/>
        <w:gridCol w:w="544"/>
        <w:gridCol w:w="896"/>
        <w:gridCol w:w="161"/>
        <w:gridCol w:w="494"/>
        <w:gridCol w:w="991"/>
      </w:tblGrid>
      <w:tr>
        <w:trPr/>
        <w:tc>
          <w:tcPr>
            <w:tcW w:w="5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45440" cy="175260"/>
                      <wp:effectExtent l="0" t="0" r="0" b="0"/>
                      <wp:wrapNone/>
                      <wp:docPr id="237" name="Frame237"/>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68960" cy="175260"/>
                      <wp:effectExtent l="0" t="0" r="0" b="0"/>
                      <wp:wrapNone/>
                      <wp:docPr id="238" name="Frame23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02235" cy="175260"/>
                      <wp:effectExtent l="0" t="0" r="0" b="0"/>
                      <wp:wrapNone/>
                      <wp:docPr id="239" name="Frame239"/>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13690" cy="175260"/>
                      <wp:effectExtent l="0" t="0" r="0" b="0"/>
                      <wp:wrapNone/>
                      <wp:docPr id="240" name="Frame240"/>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29285" cy="175260"/>
                      <wp:effectExtent l="0" t="0" r="0" b="0"/>
                      <wp:wrapNone/>
                      <wp:docPr id="241" name="Frame24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61" w:type="dxa"/>
            <w:tcBorders/>
            <w:vAlign w:val="center"/>
          </w:tcPr>
          <w:p>
            <w:pPr>
              <w:pStyle w:val="TableContents"/>
              <w:bidi w:val="0"/>
              <w:spacing w:before="0" w:after="0"/>
              <w:ind w:left="0" w:right="0" w:hanging="0"/>
              <w:jc w:val="lef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Restricted Stock</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Retainers Paid in Stock</w:t>
            </w:r>
          </w:p>
        </w:tc>
        <w:tc>
          <w:tcPr>
            <w:tcW w:w="109" w:type="dxa"/>
            <w:tcBorders/>
            <w:vAlign w:val="center"/>
          </w:tcPr>
          <w:p>
            <w:pPr>
              <w:pStyle w:val="TableContents"/>
              <w:bidi w:val="0"/>
              <w:spacing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61" w:type="dxa"/>
            <w:tcBorders/>
            <w:vAlign w:val="center"/>
          </w:tcPr>
          <w:p>
            <w:pPr>
              <w:pStyle w:val="TableContents"/>
              <w:bidi w:val="0"/>
              <w:spacing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 Compensation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61" w:type="dxa"/>
            <w:tcBorders/>
            <w:shd w:fill="CCEEFF" w:val="clear"/>
            <w:vAlign w:val="center"/>
          </w:tcPr>
          <w:p>
            <w:pPr>
              <w:pStyle w:val="TableContents"/>
              <w:bidi w:val="0"/>
              <w:spacing w:before="0" w:after="0"/>
              <w:ind w:left="0" w:right="0" w:hanging="0"/>
              <w:jc w:val="left"/>
              <w:rPr/>
            </w:pPr>
            <w:r>
              <w:rPr/>
              <w:t>​</w:t>
            </w:r>
          </w:p>
        </w:tc>
        <w:tc>
          <w:tcPr>
            <w:tcW w:w="4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Director retainers are issued through additional paid in capital in arrears. Therefore, the change in additional paid in capital during the three months ended March 31, 2024 and 2023 reported on the consolidated statements of stockholders’ equity does not agree to the total non-cash compensation reported on the consolidated statements of cash flows.</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NOTE 18. RELATED PARTY MANAGEMENT COMPANY</w:t>
      </w:r>
    </w:p>
    <w:p>
      <w:pPr>
        <w:pStyle w:val="TextBody"/>
        <w:bidi w:val="0"/>
        <w:spacing w:lineRule="auto" w:line="268"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externally managed by the Manager, a wholly owned subsidiary of CTO. Subsequent to the IPO, through March 31, 2024, CTO has purchased an aggregate of 293,024 shares of PINE common stock in the open market including (i) 129,271 shares purchased during the year ended December 31, 2023 for $2.1 million, or an average price per share of $16.21, (ii) 155,665 shares purchased during the year ended December 31, 2022 for $2.7 million, or an average price per share of $17.57 and (iii) 8,088 shares purchased during the year ended December 31, 2021 for $0.1 million, or an average price per share of $17.65. CTO did not purchase any shares of PINE common stock during the three months ended March 31,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2024, CTO owns, in the aggregate, 1,223,854 OP Units and 1,108,814 shares of PINE common stock, inclusive of (i) 394,737 shares of common stock totaling $7.5 million issued in connection with a private placement that closed concurrently with the IPO, (ii) 421,053 shares of common stock totaling $8.0 million issued in connection with the IPO, and (iii) 293,024 shares of common stock totaling $5.0 million purchased by CTO subsequent to the IPO. The aggregate 1,223,854 OP Units and 1,108,814 shares of PINE common stock held by CTO represent an investment totaling $35.6 million, or 15.7% of PINE’s outstanding equity, as of March 31, 2024.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bookmarkStart w:id="1068" w:name="Tc_k1bK8aX-BEygFpLmb8JfwA_5_5"/>
      <w:bookmarkStart w:id="1069" w:name="Tc_H7nM9Srt20CmhhsrbLSAGw_5_2"/>
      <w:bookmarkStart w:id="1070" w:name="Tc_GF8CbovbqEahFWYC32DC8A_5_0"/>
      <w:bookmarkStart w:id="1071" w:name="Tc_Vdcg5XRPH0C000bN95aOnQ_4_0"/>
      <w:bookmarkStart w:id="1072" w:name="Tc_AAI2gNxTG0qp6i2IEO1i4Q_3_5"/>
      <w:bookmarkStart w:id="1073" w:name="Tc_mS6cSi99bUGMbDjYh_8zVg_3_2"/>
      <w:bookmarkStart w:id="1074" w:name="Tc_zeE5FkE2U0-HOzaN-PT--A_3_0"/>
      <w:bookmarkStart w:id="1075" w:name="Tc_iSo3Gq16m0a--v5NJwDDjg_2_5"/>
      <w:bookmarkStart w:id="1076" w:name="Tc_vVlRPiq6e0q6X-l5GSduWQ_2_2"/>
      <w:bookmarkStart w:id="1077" w:name="Tc_8Rm_y72aekm3TpDsDs-SXg_2_0"/>
      <w:bookmarkStart w:id="1078" w:name="Tc_AheuoC_7n0iOl5jXwmwRuA_1_2"/>
      <w:bookmarkStart w:id="1079" w:name="_3beaee23_8fc3_462b_860c_5e95bab89bba"/>
      <w:bookmarkEnd w:id="1068"/>
      <w:bookmarkEnd w:id="1069"/>
      <w:bookmarkEnd w:id="1070"/>
      <w:bookmarkEnd w:id="1071"/>
      <w:bookmarkEnd w:id="1072"/>
      <w:bookmarkEnd w:id="1073"/>
      <w:bookmarkEnd w:id="1074"/>
      <w:bookmarkEnd w:id="1075"/>
      <w:bookmarkEnd w:id="1076"/>
      <w:bookmarkEnd w:id="1077"/>
      <w:bookmarkEnd w:id="1078"/>
      <w:bookmarkEnd w:id="1079"/>
      <w:r>
        <w:rPr>
          <w:rFonts w:ascii="Times New Roman;Times;serif" w:hAnsi="Times New Roman;Times;serif"/>
          <w:i/>
          <w:sz w:val="20"/>
        </w:rPr>
        <w:t>Management Agreement</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initial term of the Management Agreement will expire on November 26, 2024 and will automatically renew for an unlimited number of successive one-year periods thereafter, unless the agreement is not renewed or is terminated in accordance with its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independent directors review our Manager’s performance and the management fees annually and, following the initial term, the Management Agreement may be terminated annually upon the affirmative vote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incurred management fee expenses totaling $1.0 million and $1.1 million during the three months ended March 31, 2024 and 2023, respectively. The Company also paid dividends on the common stock and OP Units owned by affiliates of the Manager in the amount of $0.6 million for the three months ended March 31, 2024 and 2023.</w:t>
      </w:r>
      <w:r>
        <w:rPr>
          <w:rFonts w:ascii="Times New Roman;Times;serif" w:hAnsi="Times New Roman;Times;serif"/>
          <w:sz w:val="20"/>
          <w:shd w:fill="FFFFFF" w:val="clear"/>
        </w:rPr>
        <w:t xml:space="preserve"> </w:t>
      </w:r>
    </w:p>
    <w:p>
      <w:pPr>
        <w:pStyle w:val="TextBody"/>
        <w:bidi w:val="0"/>
        <w:spacing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amounts due to (from) CTO (in thousands):</w:t>
      </w:r>
    </w:p>
    <w:p>
      <w:pPr>
        <w:pStyle w:val="TextBody"/>
        <w:bidi w:val="0"/>
        <w:spacing w:lineRule="auto" w:line="268" w:before="0" w:after="0"/>
        <w:ind w:left="0" w:right="0" w:firstLine="360"/>
        <w:jc w:val="both"/>
        <w:rPr/>
      </w:pPr>
      <w:r>
        <w:rPr/>
        <w:t>​</w:t>
      </w:r>
    </w:p>
    <w:tbl>
      <w:tblPr>
        <w:tblW w:w="6368" w:type="dxa"/>
        <w:jc w:val="left"/>
        <w:tblInd w:w="0" w:type="dxa"/>
        <w:tblLayout w:type="fixed"/>
        <w:tblCellMar>
          <w:top w:w="0" w:type="dxa"/>
          <w:left w:w="0" w:type="dxa"/>
          <w:bottom w:w="0" w:type="dxa"/>
          <w:right w:w="0" w:type="dxa"/>
        </w:tblCellMar>
      </w:tblPr>
      <w:tblGrid>
        <w:gridCol w:w="2506"/>
        <w:gridCol w:w="326"/>
        <w:gridCol w:w="388"/>
        <w:gridCol w:w="1052"/>
        <w:gridCol w:w="326"/>
        <w:gridCol w:w="420"/>
        <w:gridCol w:w="1350"/>
      </w:tblGrid>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68020" cy="175260"/>
                      <wp:effectExtent l="0" t="0" r="0" b="0"/>
                      <wp:wrapNone/>
                      <wp:docPr id="242" name="Frame242"/>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857250" cy="175260"/>
                      <wp:effectExtent l="0" t="0" r="0" b="0"/>
                      <wp:wrapNone/>
                      <wp:docPr id="243" name="Frame243"/>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righ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due to CTO</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righ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1,052</w:t>
            </w:r>
          </w:p>
        </w:tc>
      </w:tr>
    </w:tbl>
    <w:tbl>
      <w:tblPr>
        <w:tblW w:w="7787" w:type="dxa"/>
        <w:jc w:val="left"/>
        <w:tblInd w:w="0" w:type="dxa"/>
        <w:tblLayout w:type="fixed"/>
        <w:tblCellMar>
          <w:top w:w="0" w:type="dxa"/>
          <w:left w:w="0" w:type="dxa"/>
          <w:bottom w:w="0" w:type="dxa"/>
          <w:right w:w="0" w:type="dxa"/>
        </w:tblCellMar>
      </w:tblPr>
      <w:tblGrid>
        <w:gridCol w:w="271"/>
        <w:gridCol w:w="751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7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Included in accrued expenses, see Note 11, “Accounts Payable, Accrued Expenses, and Other Liabilities”.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lineRule="auto" w:line="268"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6, 2021, the Company entered into a purchase and sale agreement with a certain subsidiary of CTO for the purchase of one net lease property for $11.5 million. The acquisition was completed on April 23, 2021.</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5, 2022, the Company entered into a purchase and sale agreement with a certain subsidiary of CTO for the purchase of one net lease property for $6.9 million. The acquisition was completed on January 7,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entry into these purchase and sale agreements, and subsequent completion of the related acquisitions, are a result of the Company exercising its right to purchase the aforementioned properties under the ROFO Agreement.   </w:t>
      </w:r>
    </w:p>
    <w:p>
      <w:pPr>
        <w:pStyle w:val="TextBody"/>
        <w:bidi w:val="0"/>
        <w:spacing w:lineRule="auto" w:line="268" w:before="0" w:after="0"/>
        <w:ind w:left="0" w:right="0" w:hanging="0"/>
        <w:jc w:val="both"/>
        <w:rPr/>
      </w:pPr>
      <w:r>
        <w:rPr/>
        <w:t> </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Conflicts of Interest </w:t>
      </w:r>
    </w:p>
    <w:p>
      <w:pPr>
        <w:pStyle w:val="TextBody"/>
        <w:bidi w:val="0"/>
        <w:spacing w:lineRule="auto" w:line="268"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acquire, sell, or finance net leased properties that would potentially fit the investment criteria for our Manager or its affiliates. Similarly, our Manager or its affiliates may acquire, sell, or finance net leased properties that would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0"/>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4" w:after="4"/>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Revenue Sharing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is expected to receive a share of the asset management fees, disposition management fees, leasing commissions, and other fees related to CTO’s management and administration of the portfolio (the “Revenue Sharing Agreement”). The Company’s share of the fees under the Revenue Sharing Agreement will be based on fees earned by CTO associated with the single tenant properties within the portfolio. During the three months ended March 31, 2024, the Company recognized $0.1 million of revenue pursuant to the Revenue Sharing Agreement, which is included in other revenue on the Company’s consolidated statement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NOTE 19. COMMITMENTS AND CONTINGENCIES</w:t>
      </w:r>
    </w:p>
    <w:p>
      <w:pPr>
        <w:pStyle w:val="TextBody"/>
        <w:bidi w:val="0"/>
        <w:spacing w:lineRule="auto" w:line="268" w:before="4" w:after="0"/>
        <w:ind w:left="0" w:right="0" w:hanging="0"/>
        <w:jc w:val="both"/>
        <w:rPr/>
      </w:pPr>
      <w:r>
        <w:rPr/>
        <w:t>​</w:t>
      </w:r>
    </w:p>
    <w:p>
      <w:pPr>
        <w:pStyle w:val="TextBody"/>
        <w:bidi w:val="0"/>
        <w:spacing w:lineRule="auto" w:line="268" w:before="4" w:after="0"/>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lineRule="auto" w:line="268" w:before="4" w:after="4"/>
        <w:ind w:left="0" w:right="0" w:hanging="0"/>
        <w:jc w:val="both"/>
        <w:rPr/>
      </w:pPr>
      <w:r>
        <w:rPr/>
        <w:t>​</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CONTRACTUAL COMMITMENTS – EXPENDITURES</w:t>
      </w:r>
    </w:p>
    <w:p>
      <w:pPr>
        <w:pStyle w:val="TextBody"/>
        <w:bidi w:val="0"/>
        <w:spacing w:before="0" w:after="24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Company is committed to fund three construction loans as described in Note 4, “Commercial Loans and Investments”. The unfunded portion of the construction loans totaled $6.5 million as of March 31, 2024.</w:t>
      </w:r>
    </w:p>
    <w:p>
      <w:pPr>
        <w:pStyle w:val="TextBody"/>
        <w:bidi w:val="0"/>
        <w:spacing w:before="0" w:after="0"/>
        <w:ind w:left="0" w:right="0" w:hanging="0"/>
        <w:jc w:val="left"/>
        <w:rPr/>
      </w:pPr>
      <w:r>
        <w:rPr/>
        <w:t>​</w:t>
      </w:r>
    </w:p>
    <w:p>
      <w:pPr>
        <w:pStyle w:val="TextBody"/>
        <w:bidi w:val="0"/>
        <w:spacing w:lineRule="auto" w:line="268" w:before="0" w:after="240"/>
        <w:ind w:left="0" w:right="0" w:hanging="0"/>
        <w:jc w:val="left"/>
        <w:rPr>
          <w:rFonts w:ascii="Times New Roman;Times;serif" w:hAnsi="Times New Roman;Times;serif"/>
          <w:b/>
          <w:sz w:val="20"/>
        </w:rPr>
      </w:pPr>
      <w:bookmarkStart w:id="1080" w:name="Tc_XTjml_IQ1Ua6AluhI5fi7w_23_5"/>
      <w:bookmarkStart w:id="1081" w:name="Tc_IvsQevPLC0GiEify25ZTug_23_2"/>
      <w:bookmarkStart w:id="1082" w:name="Tc_R4m1FvRgHEmwlgEgnrGvpQ_23_0"/>
      <w:bookmarkStart w:id="1083" w:name="Tc_W3isjLJhnUWwW_plRhG5Ag_22_6"/>
      <w:bookmarkStart w:id="1084" w:name="Tc_IkjYLcZMFEuBdP7K__fwyQ_22_0"/>
      <w:bookmarkStart w:id="1085" w:name="Tc_6GMNoT79Q0GdFJevOJgoFg_21_5"/>
      <w:bookmarkStart w:id="1086" w:name="Tc_sbB2PIXHxkiNJPImJdxBpA_21_2"/>
      <w:bookmarkStart w:id="1087" w:name="Tc_U1SLggBuOUGyNGAoco6fCA_21_0"/>
      <w:bookmarkStart w:id="1088" w:name="Tc_7tqT5gIQSkOGL5XzdcUa9w_20_0"/>
      <w:bookmarkStart w:id="1089" w:name="Tc_cDkVtshZkUyPrwwRX1Qu6g_19_5"/>
      <w:bookmarkStart w:id="1090" w:name="Tc_o-KOpcTD50G05qCXodXePQ_19_2"/>
      <w:bookmarkStart w:id="1091" w:name="Tc_5J0TFVwYck2ai3pe8oKflA_19_0"/>
      <w:bookmarkStart w:id="1092" w:name="Tc_tzl1BJ2nIUO9VFyfJ0VHbw_18_5"/>
      <w:bookmarkStart w:id="1093" w:name="Tc_iAuIuwADakKZlBMlhBnprg_18_2"/>
      <w:bookmarkStart w:id="1094" w:name="Tc_d4SnX4n7yEO4EuwVdV_FJg_18_0"/>
      <w:bookmarkStart w:id="1095" w:name="Tc_mp3SUAN9sE-eTqoVcoIQmQ_17_0"/>
      <w:bookmarkStart w:id="1096" w:name="Tc_pzpv0Ck1KUy_O-RtReVh7A_16_5"/>
      <w:bookmarkStart w:id="1097" w:name="Tc_Sa36OvCVCkWuPPKCpriATA_16_2"/>
      <w:bookmarkStart w:id="1098" w:name="Tc_JKZNKP13YUO0WxDY4SWZaw_16_0"/>
      <w:bookmarkStart w:id="1099" w:name="Tc_KJRZelaDekWtngTovj3OcQ_15_3"/>
      <w:bookmarkStart w:id="1100" w:name="Tc_g1LwvonKGkaV_BMBXDUsgQ_15_0"/>
      <w:bookmarkStart w:id="1101" w:name="Tc__U4A1tfbe0uqWWBFn_CVkg_14_3"/>
      <w:bookmarkStart w:id="1102" w:name="Tc_oTWpCSKih0SSbRNXKOO2Tg_14_0"/>
      <w:bookmarkStart w:id="1103" w:name="Tc_29noiogc6Eqvbesogvrt7g_13_6"/>
      <w:bookmarkStart w:id="1104" w:name="Tc_HSGA6JRQ9EyfF6ldNXhtKA_13_0"/>
      <w:bookmarkStart w:id="1105" w:name="Tc_4jcmj6StkUOBnK8Q4hEz1Q_12_0"/>
      <w:bookmarkStart w:id="1106" w:name="Tc_tzgVSmUZ3EWcJ6gCU44EIA_11_6"/>
      <w:bookmarkStart w:id="1107" w:name="Tc_VOKA3-jHPESWwz9QGJZn8Q_11_0"/>
      <w:bookmarkStart w:id="1108" w:name="Tc_F1zVw5f5xUi3yRHB1S0Yuw_10_6"/>
      <w:bookmarkStart w:id="1109" w:name="Tc__17LEwpGykSp7RN_MVYzCg_10_0"/>
      <w:bookmarkStart w:id="1110" w:name="Tc_D6tcex20E0-pZ8bOcsCiQQ_9_5"/>
      <w:bookmarkStart w:id="1111" w:name="Tc_LoIBryX1UUGlf5e-C0JMGQ_9_2"/>
      <w:bookmarkStart w:id="1112" w:name="Tc_QDqhxtiNek6Rv8OTKIUntw_9_0"/>
      <w:bookmarkStart w:id="1113" w:name="Tc_R4JblbsVvkiSNHmF3NKRfQ_8_0"/>
      <w:bookmarkStart w:id="1114" w:name="Tc__hobhuoBe0uQCx7qMkFSHg_7_5"/>
      <w:bookmarkStart w:id="1115" w:name="Tc_RU7fdUfc0UCQAeml-fEbpg_7_2"/>
      <w:bookmarkStart w:id="1116" w:name="Tc_eXPlxdPbUkSD_w4Ab9cTLg_7_0"/>
      <w:bookmarkStart w:id="1117" w:name="Tc_ysmnuUaWxUeJYIKSX9fyvQ_6_6"/>
      <w:bookmarkStart w:id="1118" w:name="Tc_hF1wj00CGUKDKfjQuWwPEw_6_0"/>
      <w:bookmarkStart w:id="1119" w:name="Tc_4qoI52XwaEONtmE_M44_Eg_5_6"/>
      <w:bookmarkStart w:id="1120" w:name="Tc_gpe5FxLKvk-Cyt6J1S3AaQ_5_0"/>
      <w:bookmarkStart w:id="1121" w:name="Tc_k_CDSBoVh0C2Qy8uO3_1vg_4_5"/>
      <w:bookmarkStart w:id="1122" w:name="Tc_JzUH2_CgwUazDj-O6tA1Og_4_2"/>
      <w:bookmarkStart w:id="1123" w:name="Tc_pMJ0eMpAUEWbMRIlFajueg_4_0"/>
      <w:bookmarkStart w:id="1124" w:name="Tc_3cWvC_CceE-xB8PfueK0AQ_3_0"/>
      <w:bookmarkStart w:id="1125" w:name="Tc_586D4Hy1LkyIOeanuEgLSg_2_5"/>
      <w:bookmarkStart w:id="1126" w:name="Tc_HMPSWsGGukm-AJrd5KNYxQ_2_2"/>
      <w:bookmarkStart w:id="1127" w:name="Tc_-VILC7_OMkONYL02BJeVFQ_1_2"/>
      <w:bookmarkStart w:id="1128" w:name="_e0f5c234_5583_42ed_9156_ddb58b01a76f"/>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Times New Roman;Times;serif" w:hAnsi="Times New Roman;Times;serif"/>
          <w:b/>
          <w:sz w:val="20"/>
        </w:rPr>
        <w:t xml:space="preserve">NOTE 20. BUSINESS SEGMENT DATA </w:t>
      </w:r>
    </w:p>
    <w:p>
      <w:pPr>
        <w:pStyle w:val="TextBody"/>
        <w:bidi w:val="0"/>
        <w:spacing w:before="0" w:after="200"/>
        <w:ind w:left="0" w:right="0" w:firstLine="360"/>
        <w:jc w:val="both"/>
        <w:rPr>
          <w:rFonts w:ascii="Times New Roman;Times;serif" w:hAnsi="Times New Roman;Times;serif"/>
          <w:b/>
          <w:sz w:val="20"/>
        </w:rPr>
      </w:pPr>
      <w:r>
        <w:rPr>
          <w:rFonts w:ascii="Times New Roman;Times;serif" w:hAnsi="Times New Roman;Times;serif"/>
          <w:b w:val="false"/>
          <w:sz w:val="20"/>
        </w:rPr>
        <w:t>The Company operates in two</w:t>
      </w:r>
      <w:r>
        <w:rPr>
          <w:rFonts w:ascii="Times New Roman;Times;serif" w:hAnsi="Times New Roman;Times;serif"/>
          <w:b/>
          <w:sz w:val="20"/>
        </w:rPr>
        <w:t xml:space="preserve"> </w:t>
      </w:r>
      <w:r>
        <w:rPr>
          <w:rFonts w:ascii="Times New Roman;Times;serif" w:hAnsi="Times New Roman;Times;serif"/>
          <w:b w:val="false"/>
          <w:sz w:val="20"/>
        </w:rPr>
        <w:t>primary business segments: income properties and 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property operations consist of lease income from income producing properties and our business plan is focused on investing in additional income-producing properties. Our income property operations accounted for 89% of our identifiable assets as of March 31, 2024 and December 31, 2023, and 92% and 100% of our consolidated revenues for the three months ended March 31, 2024 and 2023, respectively. As of March 31, 2024, our commercial loans investment portfolio consisted of four commercial loan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chief operating decision maker evaluates segment performance based on operating income. The Company’s reportable segments are strategic business units that offer different products. They are managed separately because each segment requires different management techniques, knowledge, and skill.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Information about the Company’s operations in different segments for the three months ended March 31, 2024 and 2023 is as follows (in thousands):</w:t>
      </w:r>
    </w:p>
    <w:tbl>
      <w:tblPr>
        <w:tblW w:w="7869" w:type="dxa"/>
        <w:jc w:val="left"/>
        <w:tblInd w:w="0" w:type="dxa"/>
        <w:tblLayout w:type="fixed"/>
        <w:tblCellMar>
          <w:top w:w="0" w:type="dxa"/>
          <w:left w:w="0" w:type="dxa"/>
          <w:bottom w:w="0" w:type="dxa"/>
          <w:right w:w="0" w:type="dxa"/>
        </w:tblCellMar>
      </w:tblPr>
      <w:tblGrid>
        <w:gridCol w:w="4726"/>
        <w:gridCol w:w="109"/>
        <w:gridCol w:w="342"/>
        <w:gridCol w:w="1098"/>
        <w:gridCol w:w="109"/>
        <w:gridCol w:w="336"/>
        <w:gridCol w:w="1149"/>
      </w:tblGrid>
      <w:tr>
        <w:trPr/>
        <w:tc>
          <w:tcPr>
            <w:tcW w:w="4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7170" cy="175260"/>
                      <wp:effectExtent l="0" t="0" r="0" b="0"/>
                      <wp:wrapNone/>
                      <wp:docPr id="245" name="Frame24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7230" cy="175260"/>
                      <wp:effectExtent l="0" t="0" r="0" b="0"/>
                      <wp:wrapNone/>
                      <wp:docPr id="246" name="Frame246"/>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3360" cy="175260"/>
                      <wp:effectExtent l="0" t="0" r="0" b="0"/>
                      <wp:wrapNone/>
                      <wp:docPr id="248" name="Frame248"/>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29615" cy="175260"/>
                      <wp:effectExtent l="0" t="0" r="0" b="0"/>
                      <wp:wrapNone/>
                      <wp:docPr id="249" name="Frame249"/>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30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center"/>
              <w:rPr/>
            </w:pPr>
            <w:r>
              <w:rPr/>
              <w:t>​</w:t>
            </w:r>
          </w:p>
        </w:tc>
        <w:tc>
          <w:tcPr>
            <w:tcW w:w="1098"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center"/>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w:t>
            </w:r>
          </w:p>
        </w:tc>
        <w:tc>
          <w:tcPr>
            <w:tcW w:w="10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11,156</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center"/>
              <w:rPr/>
            </w:pPr>
            <w:r>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12,466</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11,156</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10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center"/>
              <w:rPr/>
            </w:pPr>
            <w:r>
              <w:rPr/>
              <w:t>​</w:t>
            </w:r>
          </w:p>
        </w:tc>
        <w:tc>
          <w:tcPr>
            <w:tcW w:w="109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9,536</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9,722</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center"/>
              <w:rPr/>
            </w:pPr>
            <w:r>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10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center"/>
              <w:rPr/>
            </w:pPr>
            <w:r>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Corporate Expenses</w:t>
            </w:r>
          </w:p>
        </w:tc>
        <w:tc>
          <w:tcPr>
            <w:tcW w:w="10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center"/>
              <w:rPr/>
            </w:pPr>
            <w:r>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(7,924)</w:t>
            </w:r>
          </w:p>
        </w:tc>
        <w:tc>
          <w:tcPr>
            <w:tcW w:w="10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(7,850)</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center"/>
              <w:rPr/>
            </w:pPr>
            <w:r>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center"/>
              <w:rPr/>
            </w:pPr>
            <w:r>
              <w:rPr/>
              <w:t>​</w:t>
            </w:r>
          </w:p>
        </w:tc>
        <w:tc>
          <w:tcPr>
            <w:tcW w:w="109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4,453</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109" w:type="dxa"/>
            <w:tcBorders/>
            <w:vAlign w:val="center"/>
          </w:tcPr>
          <w:p>
            <w:pPr>
              <w:pStyle w:val="TableContents"/>
              <w:bidi w:val="0"/>
              <w:spacing w:before="0" w:after="1"/>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109"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6,348</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center"/>
              <w:rPr/>
            </w:pPr>
            <w:r>
              <w:rPr/>
              <w:t>​</w:t>
            </w:r>
          </w:p>
        </w:tc>
        <w:tc>
          <w:tcPr>
            <w:tcW w:w="109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6,382</w:t>
            </w:r>
          </w:p>
        </w:tc>
        <w:tc>
          <w:tcPr>
            <w:tcW w:w="109"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6,382</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center"/>
              <w:rPr/>
            </w:pPr>
            <w:r>
              <w:rPr/>
              <w:t>​</w:t>
            </w:r>
          </w:p>
        </w:tc>
        <w:tc>
          <w:tcPr>
            <w:tcW w:w="109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center"/>
              <w:rPr/>
            </w:pPr>
            <w:r>
              <w:rPr/>
              <w:t>​</w:t>
            </w:r>
          </w:p>
        </w:tc>
        <w:tc>
          <w:tcPr>
            <w:tcW w:w="1149"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3,597</w:t>
            </w:r>
          </w:p>
        </w:tc>
        <w:tc>
          <w:tcPr>
            <w:tcW w:w="109"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4,735</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129" w:name="Tc_hGYDpDDEA0mCFVfLcfFvbw_7_5"/>
      <w:bookmarkStart w:id="1130" w:name="Tc_ldDQ6DgugUum6DcgNuy73g_7_2"/>
      <w:bookmarkStart w:id="1131" w:name="Tc_h-I4Lp1RXU-h1Bb2tY6UGQ_7_0"/>
      <w:bookmarkStart w:id="1132" w:name="Tc_jqPB0BRx7E2s-TuDUG7K9A_6_0"/>
      <w:bookmarkStart w:id="1133" w:name="Tc_kpQ6F8qjlUWooYV6299UtQ_5_0"/>
      <w:bookmarkStart w:id="1134" w:name="Tc_LzeSUzQklUyVnSX5yE4VkA_4_5"/>
      <w:bookmarkStart w:id="1135" w:name="Tc_rtlm9PHGVkC8EIhopNMr0w_4_2"/>
      <w:bookmarkStart w:id="1136" w:name="Tc_DTcCGbTS3Uu72zpekAYMXA_4_0"/>
      <w:bookmarkStart w:id="1137" w:name="Tc_ZY9nzeWxc02xmL-VnCZGeg_3_0"/>
      <w:bookmarkStart w:id="1138" w:name="Tc_susbvTZprU-xfOpsa0yr0g_2_5"/>
      <w:bookmarkStart w:id="1139" w:name="Tc_sB1VQiewu0irKqntehLNAg_2_2"/>
      <w:bookmarkStart w:id="1140" w:name="Tc_htXzKWJlYkCOg0rTx5eehQ_1_2"/>
      <w:bookmarkStart w:id="1141" w:name="_6c0c659d_6ebf_4155_a98d_c909bf6d83ac"/>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ascii="Times New Roman;Times;serif" w:hAnsi="Times New Roman;Times;serif"/>
          <w:sz w:val="20"/>
        </w:rPr>
        <w:t>Identifiable assets of each segment as of March 31, 2024 and December 31, 2023 are as follows (in thousands):</w:t>
      </w:r>
    </w:p>
    <w:tbl>
      <w:tblPr>
        <w:tblW w:w="6444" w:type="dxa"/>
        <w:jc w:val="left"/>
        <w:tblInd w:w="0" w:type="dxa"/>
        <w:tblLayout w:type="fixed"/>
        <w:tblCellMar>
          <w:top w:w="0" w:type="dxa"/>
          <w:left w:w="0" w:type="dxa"/>
          <w:bottom w:w="0" w:type="dxa"/>
          <w:right w:w="0" w:type="dxa"/>
        </w:tblCellMar>
      </w:tblPr>
      <w:tblGrid>
        <w:gridCol w:w="3016"/>
        <w:gridCol w:w="109"/>
        <w:gridCol w:w="306"/>
        <w:gridCol w:w="1134"/>
        <w:gridCol w:w="109"/>
        <w:gridCol w:w="340"/>
        <w:gridCol w:w="1430"/>
      </w:tblGrid>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94310" cy="175260"/>
                      <wp:effectExtent l="0" t="0" r="0" b="0"/>
                      <wp:wrapNone/>
                      <wp:docPr id="250" name="Frame25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20090" cy="175260"/>
                      <wp:effectExtent l="0" t="0" r="0" b="0"/>
                      <wp:wrapNone/>
                      <wp:docPr id="251" name="Frame251"/>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5900" cy="175260"/>
                      <wp:effectExtent l="0" t="0" r="0" b="0"/>
                      <wp:wrapNone/>
                      <wp:docPr id="253" name="Frame25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08050" cy="175260"/>
                      <wp:effectExtent l="0" t="0" r="0" b="0"/>
                      <wp:wrapNone/>
                      <wp:docPr id="254" name="Frame254"/>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1"/>
              <w:ind w:left="0" w:right="0" w:hanging="0"/>
              <w:jc w:val="righ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497,944</w:t>
            </w:r>
          </w:p>
        </w:tc>
        <w:tc>
          <w:tcPr>
            <w:tcW w:w="109"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503,291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38,306</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1"/>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22,771</w:t>
            </w:r>
          </w:p>
        </w:tc>
        <w:tc>
          <w:tcPr>
            <w:tcW w:w="109"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26,189</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559,021</w:t>
            </w:r>
          </w:p>
        </w:tc>
        <w:tc>
          <w:tcPr>
            <w:tcW w:w="109" w:type="dxa"/>
            <w:tcBorders/>
            <w:shd w:fill="CCEEFF" w:val="clear"/>
            <w:vAlign w:val="center"/>
          </w:tcPr>
          <w:p>
            <w:pPr>
              <w:pStyle w:val="TableContents"/>
              <w:bidi w:val="0"/>
              <w:spacing w:before="0" w:after="1"/>
              <w:ind w:left="0" w:right="0" w:hanging="0"/>
              <w:jc w:val="righ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564,560</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income represents income from continuing operations before interest expense, and investment and other income. General and corporate expenses are an aggregate of general and administrative expenses and depreciation and amortization expense. Identifiable assets by segment are those assets that are used in the Company’s operations in each segment. Corporate and other assets consist primarily of cash and restricted cash as well as the interest rate swaps.</w:t>
      </w:r>
    </w:p>
    <w:p>
      <w:pPr>
        <w:pStyle w:val="TextBody"/>
        <w:bidi w:val="0"/>
        <w:spacing w:before="0" w:after="240"/>
        <w:ind w:left="0" w:right="0" w:hanging="0"/>
        <w:jc w:val="left"/>
        <w:rPr/>
      </w:pPr>
      <w:r>
        <w:rPr/>
        <w:t>​</w:t>
      </w:r>
    </w:p>
    <w:p>
      <w:pPr>
        <w:pStyle w:val="TextBody"/>
        <w:bidi w:val="0"/>
        <w:spacing w:before="8" w:after="8"/>
        <w:ind w:left="0" w:right="0" w:hanging="0"/>
        <w:jc w:val="left"/>
        <w:rPr>
          <w:rFonts w:ascii="Times New Roman;Times;serif" w:hAnsi="Times New Roman;Times;serif"/>
          <w:b/>
          <w:sz w:val="20"/>
        </w:rPr>
      </w:pPr>
      <w:r>
        <w:rPr>
          <w:rFonts w:ascii="Times New Roman;Times;serif" w:hAnsi="Times New Roman;Times;serif"/>
          <w:b/>
          <w:sz w:val="20"/>
        </w:rPr>
        <w:t>NOTE 21. SUBSEQUENT EVENTS</w:t>
      </w:r>
    </w:p>
    <w:p>
      <w:pPr>
        <w:pStyle w:val="TextBody"/>
        <w:bidi w:val="0"/>
        <w:spacing w:before="0" w:after="240"/>
        <w:ind w:left="0" w:right="0" w:hanging="0"/>
        <w:jc w:val="left"/>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Subsequent events and transactions were evaluated through April 18, 2024, the date the consolidated financial statements were issued.</w:t>
      </w:r>
    </w:p>
    <w:p>
      <w:pPr>
        <w:pStyle w:val="TextBody"/>
        <w:bidi w:val="0"/>
        <w:spacing w:before="4" w:after="4"/>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bookmarkStart w:id="1142" w:name="ITEM2MANAGEMENTSDISCUSSIONANDANALYSIS"/>
      <w:bookmarkStart w:id="1143" w:name="_58c00c80_5219_4ecd_be98_da61dae95218"/>
      <w:bookmarkEnd w:id="1142"/>
      <w:bookmarkEnd w:id="1143"/>
      <w:r>
        <w:rPr>
          <w:rFonts w:ascii="Times New Roman;Times;serif" w:hAnsi="Times New Roman;Times;serif"/>
          <w:b/>
          <w:sz w:val="20"/>
        </w:rPr>
        <w:t>ITEM 2.              MANAGEMENT’S DISCUSSION AND ANALYSIS OF FINANCIAL CONDITION AND RESULTS OF OPERATIONS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and rising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“Item 1A. Risk Factors” of the Company’s Annual Report on Form 10-K for the year ended December 31, 2023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is a Maryland corporation that conducts its operations so as to qualify as a REIT for U.S. federal income tax purposes. Substantially all of our operations are conducted through our Operating Partnership.</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2024, the Company acquired one land parcel, for which the Company already owned the property leased to CVS in Baton Rouge, Louisiana, for a purchase price of $1.0 million. No properties were sold during the three months ended March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2024, we owned 138 properties with an aggregate gross leasable area of 3.8 million square feet, located in 35 states, with a weighted average remaining lease term of 6.9 years. Our portfolio was 99% occupied as of March 31, 2024.</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During the three months ended March 31, 2024, the Company originated one commercial loan with a total funding commitment of $7.2 million. As of March 31, 2024, the Company’s commercial loan investments portfolio included three construction loans and one mortgage note with a total carrying value of $38.0 million.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pStyle w:val="TextBody"/>
        <w:bidi w:val="0"/>
        <w:spacing w:before="0" w:after="0"/>
        <w:ind w:left="0" w:right="0" w:firstLine="360"/>
        <w:jc w:val="both"/>
        <w:rPr/>
      </w:pPr>
      <w:r>
        <w:rPr/>
        <w:t>​</w:t>
      </w:r>
    </w:p>
    <w:p>
      <w:pPr>
        <w:pStyle w:val="TextBody"/>
        <w:bidi w:val="0"/>
        <w:spacing w:before="0" w:after="0"/>
        <w:ind w:left="0" w:right="0" w:hanging="0"/>
        <w:jc w:val="both"/>
        <w:rPr/>
      </w:pPr>
      <w:bookmarkStart w:id="1144" w:name="_bd349cc4_7e2c_4151_be69_966b80338b5d"/>
      <w:bookmarkEnd w:id="1144"/>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MARCH 31, 2024 AND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three months ended March 31, 2024, as compared to the three months ended March 31, 2023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859"/>
        <w:gridCol w:w="109"/>
        <w:gridCol w:w="320"/>
        <w:gridCol w:w="1030"/>
        <w:gridCol w:w="109"/>
        <w:gridCol w:w="320"/>
        <w:gridCol w:w="1030"/>
        <w:gridCol w:w="109"/>
        <w:gridCol w:w="259"/>
        <w:gridCol w:w="777"/>
        <w:gridCol w:w="109"/>
        <w:gridCol w:w="1174"/>
      </w:tblGrid>
      <w:tr>
        <w:trPr/>
        <w:tc>
          <w:tcPr>
            <w:tcW w:w="48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3200" cy="175260"/>
                      <wp:effectExtent l="0" t="0" r="0" b="0"/>
                      <wp:wrapNone/>
                      <wp:docPr id="256" name="Frame256"/>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54050" cy="175260"/>
                      <wp:effectExtent l="0" t="0" r="0" b="0"/>
                      <wp:wrapNone/>
                      <wp:docPr id="257" name="Frame257"/>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3200" cy="175260"/>
                      <wp:effectExtent l="0" t="0" r="0" b="0"/>
                      <wp:wrapNone/>
                      <wp:docPr id="259" name="Frame25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54050" cy="175260"/>
                      <wp:effectExtent l="0" t="0" r="0" b="0"/>
                      <wp:wrapNone/>
                      <wp:docPr id="260" name="Frame260"/>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4465" cy="175260"/>
                      <wp:effectExtent l="0" t="0" r="0" b="0"/>
                      <wp:wrapNone/>
                      <wp:docPr id="262" name="Frame26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93395" cy="175260"/>
                      <wp:effectExtent l="0" t="0" r="0" b="0"/>
                      <wp:wrapNone/>
                      <wp:docPr id="263" name="Frame263"/>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45490" cy="175260"/>
                      <wp:effectExtent l="0" t="0" r="0" b="0"/>
                      <wp:wrapNone/>
                      <wp:docPr id="265" name="Frame265"/>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319" w:type="dxa"/>
            <w:gridSpan w:val="4"/>
            <w:tcBorders/>
            <w:vAlign w:val="center"/>
          </w:tcPr>
          <w:p>
            <w:pPr>
              <w:pStyle w:val="TableContents"/>
              <w:bidi w:val="0"/>
              <w:spacing w:before="0" w:after="0"/>
              <w:ind w:left="0" w:right="0" w:hanging="0"/>
              <w:jc w:val="center"/>
              <w:rPr/>
            </w:pPr>
            <w:r>
              <w:rPr/>
              <w:t>​</w:t>
            </w:r>
          </w:p>
        </w:tc>
      </w:tr>
      <w:tr>
        <w:trPr/>
        <w:tc>
          <w:tcPr>
            <w:tcW w:w="4859"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103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103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left"/>
              <w:rPr/>
            </w:pPr>
            <w:r>
              <w:rPr/>
              <w:t>​</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11,464</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11,156</w:t>
            </w:r>
          </w:p>
        </w:tc>
        <w:tc>
          <w:tcPr>
            <w:tcW w:w="109"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109"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12,466</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11,156</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left"/>
              <w:rPr/>
            </w:pPr>
            <w:r>
              <w:rPr/>
              <w:t>​</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109"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6,382</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6,335</w:t>
            </w:r>
          </w:p>
        </w:tc>
        <w:tc>
          <w:tcPr>
            <w:tcW w:w="109"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9,883</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9,284</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w:t>
            </w:r>
          </w:p>
        </w:tc>
        <w:tc>
          <w:tcPr>
            <w:tcW w:w="109"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w:t>
            </w:r>
          </w:p>
        </w:tc>
        <w:tc>
          <w:tcPr>
            <w:tcW w:w="109"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109"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109"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w:t>
            </w:r>
          </w:p>
        </w:tc>
        <w:tc>
          <w:tcPr>
            <w:tcW w:w="109"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r>
      <w:tr>
        <w:trPr/>
        <w:tc>
          <w:tcPr>
            <w:tcW w:w="4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Loss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109"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109" w:type="dxa"/>
            <w:tcBorders/>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4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109" w:type="dxa"/>
            <w:tcBorders/>
            <w:shd w:fill="CCEEFF" w:val="clear"/>
            <w:vAlign w:val="center"/>
          </w:tcPr>
          <w:p>
            <w:pPr>
              <w:pStyle w:val="TableContents"/>
              <w:bidi w:val="0"/>
              <w:spacing w:before="0" w:after="0"/>
              <w:ind w:left="0" w:right="0" w:hanging="0"/>
              <w:jc w:val="righ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property operations during the three months ended March 31, 2024 and 2023, totaled $11.5 million and $11.2 million, respectively. The $0.3 million increase in lease income is primarily attributable to an increase in reimbursable revenue. The direct costs of revenues for our income properties totaled $1.9 million and $1.4 million during the three months ended March 31, 2024 and 2023, respectively. The $0.5 million increase in the direct cost of revenues is reflective of increased reimbursable expenses as well as a portion of portfolio expenses being non-recoverable pursuant to tenant leases.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Interest income from commercial loans and investments totaled $0.9 million for the three months ended March 31, 2024. The income is attributable to three loans originated by the Company during the year ended December 31, 2023 as well as one loan originated during the three months ended March 31, 2024. There were no commercial loans and investments generating interest income during the three months ended March 31,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$0.1 million for the three months ended March 31, 2024. The revenue is attributable to fees earned from a revenue sharing agreement the Company entered into with CTO as further described in Note 18, “Related Party Management Company” in the Notes to the Financial Statements. There were no revenue sharing agreements generating income during the three months ended March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three months ended March 31, 2024, as compared to the three months ended March 31, 2023 (in thousands):</w:t>
      </w:r>
    </w:p>
    <w:p>
      <w:pPr>
        <w:pStyle w:val="TextBody"/>
        <w:bidi w:val="0"/>
        <w:spacing w:before="0" w:after="0"/>
        <w:ind w:left="0" w:right="0" w:hanging="0"/>
        <w:jc w:val="left"/>
        <w:rPr/>
      </w:pPr>
      <w:r>
        <w:rPr/>
        <w:t>​</w:t>
      </w:r>
    </w:p>
    <w:tbl>
      <w:tblPr>
        <w:tblW w:w="9557" w:type="dxa"/>
        <w:jc w:val="left"/>
        <w:tblInd w:w="0" w:type="dxa"/>
        <w:tblLayout w:type="fixed"/>
        <w:tblCellMar>
          <w:top w:w="0" w:type="dxa"/>
          <w:left w:w="0" w:type="dxa"/>
          <w:bottom w:w="0" w:type="dxa"/>
          <w:right w:w="0" w:type="dxa"/>
        </w:tblCellMar>
      </w:tblPr>
      <w:tblGrid>
        <w:gridCol w:w="4021"/>
        <w:gridCol w:w="109"/>
        <w:gridCol w:w="388"/>
        <w:gridCol w:w="1052"/>
        <w:gridCol w:w="122"/>
        <w:gridCol w:w="388"/>
        <w:gridCol w:w="1052"/>
        <w:gridCol w:w="109"/>
        <w:gridCol w:w="372"/>
        <w:gridCol w:w="664"/>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46380" cy="175260"/>
                      <wp:effectExtent l="0" t="0" r="0" b="0"/>
                      <wp:wrapNone/>
                      <wp:docPr id="267" name="Frame267"/>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68020" cy="175260"/>
                      <wp:effectExtent l="0" t="0" r="0" b="0"/>
                      <wp:wrapNone/>
                      <wp:docPr id="268" name="Frame268"/>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7470" cy="175260"/>
                      <wp:effectExtent l="0" t="0" r="0" b="0"/>
                      <wp:wrapNone/>
                      <wp:docPr id="269" name="Frame269"/>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46380" cy="175260"/>
                      <wp:effectExtent l="0" t="0" r="0" b="0"/>
                      <wp:wrapNone/>
                      <wp:docPr id="270" name="Frame270"/>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68020" cy="175260"/>
                      <wp:effectExtent l="0" t="0" r="0" b="0"/>
                      <wp:wrapNone/>
                      <wp:docPr id="271" name="Frame271"/>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36220" cy="175260"/>
                      <wp:effectExtent l="0" t="0" r="0" b="0"/>
                      <wp:wrapNone/>
                      <wp:docPr id="273" name="Frame273"/>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1640" cy="175260"/>
                      <wp:effectExtent l="0" t="0" r="0" b="0"/>
                      <wp:wrapNone/>
                      <wp:docPr id="274" name="Frame274"/>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43585" cy="175260"/>
                      <wp:effectExtent l="0" t="0" r="0" b="0"/>
                      <wp:wrapNone/>
                      <wp:docPr id="276" name="Frame27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22"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122"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109" w:type="dxa"/>
            <w:tcBorders/>
            <w:shd w:fill="CCEEFF" w:val="clear"/>
            <w:vAlign w:val="center"/>
          </w:tcPr>
          <w:p>
            <w:pPr>
              <w:pStyle w:val="TableContents"/>
              <w:bidi w:val="0"/>
              <w:spacing w:before="0" w:after="0"/>
              <w:ind w:left="0" w:right="0" w:hanging="0"/>
              <w:jc w:val="center"/>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22"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22"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122"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109" w:type="dxa"/>
            <w:tcBorders/>
            <w:vAlign w:val="center"/>
          </w:tcPr>
          <w:p>
            <w:pPr>
              <w:pStyle w:val="TableContents"/>
              <w:bidi w:val="0"/>
              <w:spacing w:before="0" w:after="0"/>
              <w:ind w:left="0" w:right="0" w:hanging="0"/>
              <w:jc w:val="righ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w:t>
            </w:r>
          </w:p>
        </w:tc>
        <w:tc>
          <w:tcPr>
            <w:tcW w:w="122"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109" w:type="dxa"/>
            <w:tcBorders/>
            <w:shd w:fill="CCEEFF" w:val="clear"/>
            <w:vAlign w:val="center"/>
          </w:tcPr>
          <w:p>
            <w:pPr>
              <w:pStyle w:val="TableContents"/>
              <w:bidi w:val="0"/>
              <w:spacing w:before="0" w:after="0"/>
              <w:ind w:left="0" w:right="0" w:hanging="0"/>
              <w:jc w:val="righ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totaled $1.5 million during the three months ended March 31, 2024 and 2023. The $0.1 million decrease in the management fee is attributable to a decrease in the Company’s equity base. The $0.1 million increase in additional general and administrative expenses is attributable to increased activity in states with franchise fees as well as an increase in audit and tax fees.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2024, the Company recorded a $0.03 million impairment charge representing the provision for losses related to our income properties as further described in Note 7, “Provision for Impairment”. There were no impairment charges on the Company’s income property portfolio during the three months ended March 31,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hanging="0"/>
        <w:jc w:val="both"/>
        <w:rPr/>
      </w:pPr>
      <w:r>
        <w:rPr/>
        <w:t>​</w:t>
      </w:r>
    </w:p>
    <w:p>
      <w:pPr>
        <w:pStyle w:val="TextBody"/>
        <w:bidi w:val="0"/>
        <w:spacing w:before="0" w:after="0"/>
        <w:ind w:left="0" w:right="0" w:hanging="0"/>
        <w:jc w:val="both"/>
        <w:rPr/>
      </w:pPr>
      <w:r>
        <w:rPr/>
        <w:t xml:space="preserve">       </w:t>
      </w:r>
      <w:r>
        <w:rPr>
          <w:rFonts w:ascii="Times New Roman;Times;serif" w:hAnsi="Times New Roman;Times;serif"/>
          <w:sz w:val="20"/>
        </w:rPr>
        <w:t>Depreciation and amortization expense totaled $6.4 million and $6.3 million during the three months ended March 31, 2024 and 2023, respectively. The $0.1 million increase in the depreciation and amortization expense is reflective of the increase in asset value of the Company's property portfolio.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w:t>
      </w:r>
    </w:p>
    <w:p>
      <w:pPr>
        <w:pStyle w:val="TextBody"/>
        <w:bidi w:val="0"/>
        <w:spacing w:before="0" w:after="0"/>
        <w:ind w:left="0" w:right="0" w:hanging="0"/>
        <w:jc w:val="both"/>
        <w:rPr/>
      </w:pPr>
      <w:r>
        <w:rPr/>
        <w:t>​</w:t>
      </w:r>
    </w:p>
    <w:p>
      <w:pPr>
        <w:pStyle w:val="TextBody"/>
        <w:bidi w:val="0"/>
        <w:spacing w:before="0" w:after="0"/>
        <w:ind w:left="0" w:right="0" w:hanging="0"/>
        <w:jc w:val="both"/>
        <w:rPr/>
      </w:pPr>
      <w:r>
        <w:rPr/>
        <w:t xml:space="preserve">       </w:t>
      </w:r>
      <w:r>
        <w:rPr>
          <w:rFonts w:ascii="Times New Roman;Times;serif" w:hAnsi="Times New Roman;Times;serif"/>
          <w:sz w:val="20"/>
        </w:rPr>
        <w:t>During the three months ended March 31, 2023, the Company sold ten properties for an aggregate sales price of $56.2 million generating aggregate gains on sale of $4.5 million. The Company did not sell any properties during the three months ended March 31, 2024.</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Investment and other income totaled $0.1 million and less than $0.1 million during the three months ended March 31, 2024 and 2023, respectively. The increase is attributable to higher interest rates on bank deposits.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totaled $2.9 million and $2.6 million during the three months ended March 31, 2024 and 2023, respectively. The $0.3 million increase in interest expense is attributable to the higher average outstanding debt balance during the three months ended March 31,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loss totaled $0.3 million and net income totaled $3.7 million during the three months ended March 31, 2024 and 2023, respectively. The $4.0 million decrease in net income is attributable to the factors described above, most notably the decrease in the gain on disposition of assets of $4.5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Cash totaled $8.0 million as of March 31, 2024, including restricted cash of $2.8 million. See Note 2 “Summary of Significant Accounting Policies” under the heading Restricted Cash for the Company’s disclosure related to its restricted cash balance as of March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As of March 31, 2024, the Company had an outstanding balance of $73.0 million on the $250 million revolving Credit Facility. The Company also had $200.0 million in term loans outstanding as of March 31, 2024. See Note 12, “Long-Term Debt” for the Company’s disclosure related to its long-term debt balance at March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Acquisitions and Dispositions. </w:t>
      </w:r>
      <w:r>
        <w:rPr>
          <w:rFonts w:ascii="Times New Roman;Times;serif" w:hAnsi="Times New Roman;Times;serif"/>
          <w:sz w:val="20"/>
        </w:rPr>
        <w:t>As further described in Note 3, “Property Portfolio,” the Company acquired one land parcel, for which the Company already owned the property leased to CVS in Baton Rouge, Louisiana, for a purchase price of $1.0 million. No properties were sold during the three months ended March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ATM Program. </w:t>
      </w:r>
      <w:r>
        <w:rPr>
          <w:rFonts w:ascii="Times New Roman;Times;serif" w:hAnsi="Times New Roman;Times;serif"/>
          <w:sz w:val="20"/>
        </w:rPr>
        <w:t xml:space="preserve">During the three months ended March 31, 2024, the Company did not sell any shares under the 2022 ATM Program.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Capital Expenditures. </w:t>
      </w:r>
      <w:r>
        <w:rPr>
          <w:rFonts w:ascii="Times New Roman;Times;serif" w:hAnsi="Times New Roman;Times;serif"/>
          <w:sz w:val="20"/>
        </w:rPr>
        <w:t>As of March 31, 2024, the Company had no commitments related to capital expenditures for the maintenance of fixed assets, such as land, buildings, and equipment. The Company is committed to fund three construction loans as described in Note 4, “Commercial Loans and Investments”. The unfunded portion of the construction loans totaled $6.5 million as of March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$109.5 million of availability remaining under the 2022 ATM Program, and $177.0 million of available capacity on the existing $250.0 million Credit Facility.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Credit Facility to increase our portfolio of income-producing properties, providing stabilized cash flows with strong risk-adjusted returns primarily in larger metropolitan areas and growth markets.</w:t>
      </w:r>
    </w:p>
    <w:p>
      <w:pPr>
        <w:pStyle w:val="TextBody"/>
        <w:bidi w:val="0"/>
        <w:spacing w:before="0" w:after="0"/>
        <w:ind w:left="0" w:right="0" w:firstLine="36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71" w:before="120" w:after="4"/>
        <w:ind w:left="0" w:right="0" w:firstLine="360"/>
        <w:jc w:val="both"/>
        <w:rPr>
          <w:rFonts w:ascii="Times New Roman;Times;serif" w:hAnsi="Times New Roman;Times;serif"/>
          <w:sz w:val="20"/>
        </w:rPr>
      </w:pPr>
      <w:r>
        <w:rPr>
          <w:rFonts w:ascii="Times New Roman;Times;serif" w:hAnsi="Times New Roman;Times;serif"/>
          <w:sz w:val="20"/>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pStyle w:val="TextBody"/>
        <w:bidi w:val="0"/>
        <w:spacing w:lineRule="auto" w:line="271" w:before="4" w:after="4"/>
        <w:ind w:left="0" w:right="0" w:firstLine="360"/>
        <w:jc w:val="both"/>
        <w:rPr/>
      </w:pPr>
      <w:r>
        <w:rPr/>
        <w:t>​</w:t>
      </w:r>
    </w:p>
    <w:p>
      <w:pPr>
        <w:pStyle w:val="TextBody"/>
        <w:bidi w:val="0"/>
        <w:spacing w:lineRule="auto" w:line="271" w:before="4" w:after="4"/>
        <w:ind w:left="0" w:right="0" w:firstLine="360"/>
        <w:jc w:val="both"/>
        <w:rPr>
          <w:rFonts w:ascii="Times New Roman;Times;serif" w:hAnsi="Times New Roman;Times;serif"/>
          <w:sz w:val="20"/>
        </w:rPr>
      </w:pPr>
      <w:r>
        <w:rPr>
          <w:rFonts w:ascii="Times New Roman;Times;serif" w:hAnsi="Times New Roman;Times;serif"/>
          <w:sz w:val="20"/>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pStyle w:val="TextBody"/>
        <w:bidi w:val="0"/>
        <w:spacing w:lineRule="auto" w:line="271" w:before="4" w:after="4"/>
        <w:ind w:left="0" w:right="0" w:firstLine="360"/>
        <w:jc w:val="both"/>
        <w:rPr/>
      </w:pPr>
      <w:r>
        <w:rPr/>
        <w:t>​</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pStyle w:val="TextBody"/>
        <w:bidi w:val="0"/>
        <w:spacing w:lineRule="auto" w:line="271"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pStyle w:val="TextBody"/>
        <w:bidi w:val="0"/>
        <w:spacing w:before="4" w:after="4"/>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Reconciliation of Non-GAAP Measures (in thousands, except share data): </w:t>
      </w:r>
    </w:p>
    <w:p>
      <w:pPr>
        <w:pStyle w:val="TextBody"/>
        <w:bidi w:val="0"/>
        <w:spacing w:before="0" w:after="0"/>
        <w:ind w:left="0" w:right="0" w:hanging="0"/>
        <w:jc w:val="both"/>
        <w:rPr/>
      </w:pPr>
      <w:r>
        <w:rPr/>
        <w:t>​</w:t>
      </w:r>
    </w:p>
    <w:tbl>
      <w:tblPr>
        <w:tblW w:w="8589" w:type="dxa"/>
        <w:jc w:val="left"/>
        <w:tblInd w:w="0" w:type="dxa"/>
        <w:tblLayout w:type="fixed"/>
        <w:tblCellMar>
          <w:top w:w="0" w:type="dxa"/>
          <w:left w:w="0" w:type="dxa"/>
          <w:bottom w:w="0" w:type="dxa"/>
          <w:right w:w="0" w:type="dxa"/>
        </w:tblCellMar>
      </w:tblPr>
      <w:tblGrid>
        <w:gridCol w:w="5446"/>
        <w:gridCol w:w="109"/>
        <w:gridCol w:w="243"/>
        <w:gridCol w:w="1197"/>
        <w:gridCol w:w="109"/>
        <w:gridCol w:w="231"/>
        <w:gridCol w:w="1254"/>
      </w:tblGrid>
      <w:tr>
        <w:trPr/>
        <w:tc>
          <w:tcPr>
            <w:tcW w:w="5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54305" cy="175260"/>
                      <wp:effectExtent l="0" t="0" r="0" b="0"/>
                      <wp:wrapNone/>
                      <wp:docPr id="278" name="Frame27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60095" cy="175260"/>
                      <wp:effectExtent l="0" t="0" r="0" b="0"/>
                      <wp:wrapNone/>
                      <wp:docPr id="279" name="Frame279"/>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46685" cy="175260"/>
                      <wp:effectExtent l="0" t="0" r="0" b="0"/>
                      <wp:wrapNone/>
                      <wp:docPr id="281" name="Frame28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96290" cy="175260"/>
                      <wp:effectExtent l="0" t="0" r="0" b="0"/>
                      <wp:wrapNone/>
                      <wp:docPr id="282" name="Frame282"/>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4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6,382</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pPr>
            <w:r>
              <w:rPr/>
              <w:t>—</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(4,453)</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6,130</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5,627</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Expense</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Funds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6,243</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5,635</w:t>
            </w:r>
          </w:p>
        </w:tc>
      </w:tr>
      <w:tr>
        <w:trPr/>
        <w:tc>
          <w:tcPr>
            <w:tcW w:w="54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left"/>
              <w:rPr/>
            </w:pPr>
            <w:r>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0" w:hanging="0"/>
              <w:jc w:val="right"/>
              <w:rPr/>
            </w:pPr>
            <w:r>
              <w:rPr/>
              <w:t>​</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13,621,208</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14,000,553</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14,845,062</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25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15,704,047</w:t>
            </w:r>
          </w:p>
        </w:tc>
      </w:tr>
    </w:tbl>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Other Data (in thousands, except per share data):</w:t>
      </w:r>
    </w:p>
    <w:tbl>
      <w:tblPr>
        <w:tblW w:w="5211" w:type="dxa"/>
        <w:jc w:val="left"/>
        <w:tblInd w:w="0" w:type="dxa"/>
        <w:tblLayout w:type="fixed"/>
        <w:tblCellMar>
          <w:top w:w="0" w:type="dxa"/>
          <w:left w:w="0" w:type="dxa"/>
          <w:bottom w:w="0" w:type="dxa"/>
          <w:right w:w="0" w:type="dxa"/>
        </w:tblCellMar>
      </w:tblPr>
      <w:tblGrid>
        <w:gridCol w:w="2056"/>
        <w:gridCol w:w="109"/>
        <w:gridCol w:w="388"/>
        <w:gridCol w:w="1052"/>
        <w:gridCol w:w="121"/>
        <w:gridCol w:w="378"/>
        <w:gridCol w:w="1107"/>
      </w:tblGrid>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6380" cy="175260"/>
                      <wp:effectExtent l="0" t="0" r="0" b="0"/>
                      <wp:wrapNone/>
                      <wp:docPr id="284" name="Frame28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68020" cy="175260"/>
                      <wp:effectExtent l="0" t="0" r="0" b="0"/>
                      <wp:wrapNone/>
                      <wp:docPr id="285" name="Frame285"/>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6835" cy="175260"/>
                      <wp:effectExtent l="0" t="0" r="0" b="0"/>
                      <wp:wrapNone/>
                      <wp:docPr id="286" name="Frame286"/>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40030" cy="175260"/>
                      <wp:effectExtent l="0" t="0" r="0" b="0"/>
                      <wp:wrapNone/>
                      <wp:docPr id="287" name="Frame28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02945" cy="175260"/>
                      <wp:effectExtent l="0" t="0" r="0" b="0"/>
                      <wp:wrapNone/>
                      <wp:docPr id="288" name="Frame288"/>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0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21"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6,130</w:t>
            </w:r>
          </w:p>
        </w:tc>
        <w:tc>
          <w:tcPr>
            <w:tcW w:w="121"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5,627</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per Diluted Share</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121"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20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6,243</w:t>
            </w:r>
          </w:p>
        </w:tc>
        <w:tc>
          <w:tcPr>
            <w:tcW w:w="121"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5,635</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c>
          <w:tcPr>
            <w:tcW w:w="121"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0.36</w:t>
            </w:r>
          </w:p>
        </w:tc>
      </w:tr>
    </w:tbl>
    <w:p>
      <w:pPr>
        <w:pStyle w:val="TextBody"/>
        <w:bidi w:val="0"/>
        <w:spacing w:before="4" w:after="4"/>
        <w:ind w:left="0" w:right="0" w:firstLine="36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xml:space="preserve">.  As required by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 impact on the Company’s financial condition as well as results of operations due to resulting changes in depreciation and amortization as a result of the fair value allocation. There were no acquisitions subject to this estimate for the three months ended March 31, 2024.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145" w:name="ITEM3QUANTITATIVEANDQUALITATIVEDISC"/>
      <w:bookmarkStart w:id="1146" w:name="INC_PROP_ACQUIRED"/>
      <w:bookmarkStart w:id="1147" w:name="_7a5d08df_57e3_4484_a1ae_70f21372698e"/>
      <w:bookmarkEnd w:id="1145"/>
      <w:bookmarkEnd w:id="1146"/>
      <w:bookmarkEnd w:id="1147"/>
      <w:r>
        <w:rPr>
          <w:rFonts w:ascii="Times New Roman;Times;serif" w:hAnsi="Times New Roman;Times;serif"/>
          <w:b/>
          <w:sz w:val="20"/>
        </w:rPr>
        <w:t xml:space="preserve">ITEM 3. QUANTITATIVE AND QUALITATIVE DISCLOSURES ABOUT MARKET RISK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Item 10(f)(1) of Regulation S-K. As a result, pursuant to Item 305(e) of Regulation S-K, we are not required to provide the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8" w:name="ITEM4CONTROLSANDPROCEDURES_93254"/>
      <w:bookmarkStart w:id="1149" w:name="_deb6a8cb_66d8_45ee_a260_89f62cd906d3"/>
      <w:bookmarkEnd w:id="1148"/>
      <w:bookmarkEnd w:id="1149"/>
      <w:r>
        <w:rPr>
          <w:rFonts w:ascii="Times New Roman;Times;serif" w:hAnsi="Times New Roman;Times;serif"/>
          <w:b/>
          <w:sz w:val="20"/>
        </w:rPr>
        <w:t>ITEM 4. CONTROLS AND PROCEDURES</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Exchange Act was carried out under the supervision and with the participation of the Company’s management, including the Chief Executive Officer (“CEO”) and Interim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2024, that have materially affected, or are reasonably likely to materially affect, the Company’s internal control over financial reporting.  </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150" w:name="PARTIIOTHERINFORMATION_482394"/>
      <w:bookmarkStart w:id="1151" w:name="_f05a07c2_61e7_4d13_8ba8_4c4031a75243"/>
      <w:bookmarkEnd w:id="1150"/>
      <w:bookmarkEnd w:id="1151"/>
      <w:r>
        <w:rPr>
          <w:rFonts w:ascii="Times New Roman;Times;serif" w:hAnsi="Times New Roman;Times;serif"/>
          <w:b/>
          <w:sz w:val="20"/>
        </w:rPr>
        <w:t>PART II—OTHER INFORMATION</w:t>
      </w:r>
    </w:p>
    <w:p>
      <w:pPr>
        <w:pStyle w:val="TextBody"/>
        <w:bidi w:val="0"/>
        <w:spacing w:before="0" w:after="200"/>
        <w:ind w:left="0" w:right="0" w:hanging="0"/>
        <w:jc w:val="left"/>
        <w:rPr>
          <w:rFonts w:ascii="Times New Roman;Times;serif" w:hAnsi="Times New Roman;Times;serif"/>
          <w:b/>
          <w:sz w:val="20"/>
        </w:rPr>
      </w:pPr>
      <w:bookmarkStart w:id="1152" w:name="ITEM1LEGALPROCEEDINGS_782791"/>
      <w:bookmarkEnd w:id="1152"/>
      <w:r>
        <w:rPr>
          <w:rFonts w:ascii="Times New Roman;Times;serif" w:hAnsi="Times New Roman;Times;serif"/>
          <w:b/>
          <w:sz w:val="20"/>
        </w:rPr>
        <w:t>ITEM 1. LEGAL PROCEEDINGS</w:t>
      </w:r>
    </w:p>
    <w:p>
      <w:pPr>
        <w:pStyle w:val="TextBody"/>
        <w:bidi w:val="0"/>
        <w:spacing w:lineRule="auto" w:line="268" w:before="4" w:after="4"/>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0" w:after="0"/>
        <w:ind w:left="0" w:right="0" w:firstLine="360"/>
        <w:jc w:val="both"/>
        <w:rPr/>
      </w:pPr>
      <w:r>
        <w:rPr/>
        <w:t>​</w:t>
      </w:r>
    </w:p>
    <w:p>
      <w:pPr>
        <w:pStyle w:val="TextBody"/>
        <w:pBdr/>
        <w:bidi w:val="0"/>
        <w:spacing w:before="0" w:after="0"/>
        <w:ind w:left="0" w:right="0" w:hanging="0"/>
        <w:jc w:val="both"/>
        <w:rPr>
          <w:rFonts w:ascii="Times New Roman;Times;serif" w:hAnsi="Times New Roman;Times;serif"/>
          <w:b/>
          <w:sz w:val="20"/>
        </w:rPr>
      </w:pPr>
      <w:bookmarkStart w:id="1153" w:name="ITEM1ARISKFACTORS_792917"/>
      <w:bookmarkStart w:id="1154" w:name="_d7a3b4bf_0e56_48d4_8a2e_2debf2ede999"/>
      <w:bookmarkEnd w:id="1153"/>
      <w:bookmarkEnd w:id="1154"/>
      <w:r>
        <w:rPr>
          <w:rFonts w:ascii="Times New Roman;Times;serif" w:hAnsi="Times New Roman;Times;serif"/>
          <w:b/>
          <w:sz w:val="20"/>
        </w:rPr>
        <w:t>ITEM 1A. RISK FACTORS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2024, there have been no material changes in our risk factors from those set forth under the heading Part I, “Item 1A. Risk Factors” in the Company’s Annual Report on Form 10-K for the year ended December 31, 2023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1155" w:name="ITEM2UNREGISTEREDSALESOFEQUITYSECURITIES"/>
      <w:bookmarkStart w:id="1156" w:name="_e5124397_501f_4a48_993f_ccd01cfdf9da"/>
      <w:bookmarkEnd w:id="1155"/>
      <w:bookmarkEnd w:id="1156"/>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unregistered sales of equity securities of the Company during the three months ended March 31, 2024.</w:t>
      </w:r>
    </w:p>
    <w:p>
      <w:pPr>
        <w:pStyle w:val="TextBody"/>
        <w:bidi w:val="0"/>
        <w:spacing w:before="0" w:after="0"/>
        <w:ind w:left="0" w:right="0" w:firstLine="36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share repurchases were made during the three months ended March 31, 2024:</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2"/>
        <w:gridCol w:w="326"/>
        <w:gridCol w:w="1306"/>
        <w:gridCol w:w="326"/>
        <w:gridCol w:w="368"/>
        <w:gridCol w:w="998"/>
        <w:gridCol w:w="326"/>
        <w:gridCol w:w="2745"/>
        <w:gridCol w:w="326"/>
        <w:gridCol w:w="725"/>
        <w:gridCol w:w="1347"/>
      </w:tblGrid>
      <w:tr>
        <w:trPr/>
        <w:tc>
          <w:tcPr>
            <w:tcW w:w="1412"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29310" cy="175260"/>
                      <wp:effectExtent l="0" t="0" r="0" b="0"/>
                      <wp:wrapNone/>
                      <wp:docPr id="290" name="Frame29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33680" cy="175260"/>
                      <wp:effectExtent l="0" t="0" r="0" b="0"/>
                      <wp:wrapNone/>
                      <wp:docPr id="292" name="Frame29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33730" cy="175260"/>
                      <wp:effectExtent l="0" t="0" r="0" b="0"/>
                      <wp:wrapNone/>
                      <wp:docPr id="293" name="Frame29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743075" cy="175260"/>
                      <wp:effectExtent l="0" t="0" r="0" b="0"/>
                      <wp:wrapNone/>
                      <wp:docPr id="295" name="Frame295"/>
                      <a:graphic xmlns:a="http://schemas.openxmlformats.org/drawingml/2006/main">
                        <a:graphicData uri="http://schemas.microsoft.com/office/word/2010/wordprocessingShape">
                          <wps:wsp>
                            <wps:cNvSpPr txBox="1"/>
                            <wps:spPr>
                              <a:xfrm>
                                <a:off x="0" y="0"/>
                                <a:ext cx="174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60375" cy="175260"/>
                      <wp:effectExtent l="0" t="0" r="0" b="0"/>
                      <wp:wrapNone/>
                      <wp:docPr id="297" name="Frame297"/>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855345" cy="175260"/>
                      <wp:effectExtent l="0" t="0" r="0" b="0"/>
                      <wp:wrapNone/>
                      <wp:docPr id="298" name="Frame298"/>
                      <a:graphic xmlns:a="http://schemas.openxmlformats.org/drawingml/2006/main">
                        <a:graphicData uri="http://schemas.microsoft.com/office/word/2010/wordprocessingShape">
                          <wps:wsp>
                            <wps:cNvSpPr txBox="1"/>
                            <wps:spPr>
                              <a:xfrm>
                                <a:off x="0" y="0"/>
                                <a:ext cx="855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r>
              <w:rPr>
                <w:rFonts w:ascii="Times New Roman;Times;serif" w:hAnsi="Times New Roman;Times;serif"/>
                <w:b/>
                <w:sz w:val="20"/>
              </w:rPr>
              <w:t>Number</w:t>
              <w:br/>
              <w:t>of Shares</w:t>
              <w:br/>
              <w:t>Purchased</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w:t>
              <w:br/>
              <w:t>Paid per Share</w:t>
            </w:r>
          </w:p>
        </w:tc>
        <w:tc>
          <w:tcPr>
            <w:tcW w:w="326" w:type="dxa"/>
            <w:tcBorders/>
            <w:vAlign w:val="center"/>
          </w:tcPr>
          <w:p>
            <w:pPr>
              <w:pStyle w:val="TableContents"/>
              <w:bidi w:val="0"/>
              <w:spacing w:before="0" w:after="0"/>
              <w:ind w:left="0" w:right="0" w:hanging="0"/>
              <w:jc w:val="left"/>
              <w:rPr/>
            </w:pPr>
            <w:r>
              <w:rPr/>
              <w:t>    </w:t>
            </w:r>
          </w:p>
        </w:tc>
        <w:tc>
          <w:tcPr>
            <w:tcW w:w="27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 as a Part of Publicly</w:t>
              <w:br/>
              <w:t>Announced Plans</w:t>
              <w:br/>
              <w:t>or Programs</w:t>
            </w:r>
          </w:p>
        </w:tc>
        <w:tc>
          <w:tcPr>
            <w:tcW w:w="326" w:type="dxa"/>
            <w:tcBorders/>
            <w:vAlign w:val="center"/>
          </w:tcPr>
          <w:p>
            <w:pPr>
              <w:pStyle w:val="TableContents"/>
              <w:bidi w:val="0"/>
              <w:spacing w:before="0" w:after="0"/>
              <w:ind w:left="0" w:right="0" w:hanging="0"/>
              <w:jc w:val="left"/>
              <w:rPr/>
            </w:pPr>
            <w:r>
              <w:rPr/>
              <w:t>    </w:t>
            </w:r>
          </w:p>
        </w:tc>
        <w:tc>
          <w:tcPr>
            <w:tcW w:w="207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Maximum Number (or</w:t>
              <w:br/>
              <w:t>Approximate Dollar</w:t>
              <w:br/>
              <w:t>Value) of Shares that</w:t>
              <w:br/>
              <w:t>May Yet be Purchased</w:t>
              <w:br/>
              <w:t>Under the Plans or</w:t>
              <w:br/>
              <w:t xml:space="preserve">Programs ($000's) </w:t>
            </w:r>
            <w:r>
              <w:rPr>
                <w:rFonts w:ascii="Times New Roman;Times;serif" w:hAnsi="Times New Roman;Times;serif"/>
                <w:b/>
                <w:sz w:val="15"/>
              </w:rPr>
              <w:t>(1)</w:t>
            </w:r>
          </w:p>
        </w:tc>
      </w:tr>
      <w:tr>
        <w:trPr/>
        <w:tc>
          <w:tcPr>
            <w:tcW w:w="1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1/1/2024 - 1/31/2024</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45,768</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326" w:type="dxa"/>
            <w:tcBorders/>
            <w:shd w:fill="CCEEFF" w:val="clear"/>
            <w:vAlign w:val="center"/>
          </w:tcPr>
          <w:p>
            <w:pPr>
              <w:pStyle w:val="TableContents"/>
              <w:bidi w:val="0"/>
              <w:spacing w:before="0" w:after="0"/>
              <w:ind w:left="0" w:right="0" w:hanging="0"/>
              <w:jc w:val="left"/>
              <w:rPr/>
            </w:pPr>
            <w:r>
              <w:rPr/>
              <w:t>​</w:t>
            </w:r>
          </w:p>
        </w:tc>
        <w:tc>
          <w:tcPr>
            <w:tcW w:w="2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45,768</w:t>
            </w:r>
          </w:p>
        </w:tc>
        <w:tc>
          <w:tcPr>
            <w:tcW w:w="32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shd w:fill="CCEEFF" w:val="clear"/>
            <w:vAlign w:val="center"/>
          </w:tcPr>
          <w:p>
            <w:pPr>
              <w:pStyle w:val="TableContents"/>
              <w:bidi w:val="0"/>
              <w:spacing w:before="0" w:after="0"/>
              <w:ind w:left="0" w:right="0" w:hanging="0"/>
              <w:jc w:val="right"/>
              <w:rPr/>
            </w:pPr>
            <w:r>
              <w:rPr/>
              <w:t>—</w:t>
            </w:r>
          </w:p>
        </w:tc>
      </w:tr>
      <w:tr>
        <w:trPr/>
        <w:tc>
          <w:tcPr>
            <w:tcW w:w="1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2/1/2024 - 2/29/2024</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vAlign w:val="center"/>
          </w:tcPr>
          <w:p>
            <w:pPr>
              <w:pStyle w:val="TableContents"/>
              <w:bidi w:val="0"/>
              <w:spacing w:before="0" w:after="0"/>
              <w:ind w:left="0" w:right="0" w:hanging="0"/>
              <w:jc w:val="right"/>
              <w:rPr/>
            </w:pPr>
            <w:r>
              <w:rPr/>
              <w:t>—</w:t>
            </w:r>
          </w:p>
        </w:tc>
      </w:tr>
      <w:tr>
        <w:trPr/>
        <w:tc>
          <w:tcPr>
            <w:tcW w:w="1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3/1/2024 - 3/31/2024</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shd w:fill="CCEEFF" w:val="clear"/>
            <w:vAlign w:val="center"/>
          </w:tcPr>
          <w:p>
            <w:pPr>
              <w:pStyle w:val="TableContents"/>
              <w:bidi w:val="0"/>
              <w:spacing w:before="0" w:after="0"/>
              <w:ind w:left="0" w:right="0" w:hanging="0"/>
              <w:jc w:val="right"/>
              <w:rPr/>
            </w:pPr>
            <w:r>
              <w:rPr/>
              <w:t>—</w:t>
            </w:r>
          </w:p>
        </w:tc>
      </w:tr>
      <w:tr>
        <w:trPr/>
        <w:tc>
          <w:tcPr>
            <w:tcW w:w="1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45,768</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326" w:type="dxa"/>
            <w:tcBorders/>
            <w:vAlign w:val="center"/>
          </w:tcPr>
          <w:p>
            <w:pPr>
              <w:pStyle w:val="TableContents"/>
              <w:bidi w:val="0"/>
              <w:spacing w:before="0" w:after="0"/>
              <w:ind w:left="0" w:right="0" w:hanging="0"/>
              <w:jc w:val="left"/>
              <w:rPr/>
            </w:pPr>
            <w:r>
              <w:rPr/>
              <w:t>​</w:t>
            </w:r>
          </w:p>
        </w:tc>
        <w:tc>
          <w:tcPr>
            <w:tcW w:w="27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45,768</w:t>
            </w:r>
          </w:p>
        </w:tc>
        <w:tc>
          <w:tcPr>
            <w:tcW w:w="32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 July 2023, the Company’s Board of Directors approved a $15 million stock repurchase program under which $15.0 million of the Company’s stock had been repurchased as of March 31, 2024. </w:t>
            </w:r>
          </w:p>
        </w:tc>
      </w:tr>
    </w:tbl>
    <w:p>
      <w:pPr>
        <w:pStyle w:val="TextBody"/>
        <w:bidi w:val="0"/>
        <w:spacing w:before="0" w:after="240"/>
        <w:ind w:left="0" w:right="0" w:hanging="0"/>
        <w:jc w:val="left"/>
        <w:rPr/>
      </w:pPr>
      <w:bookmarkStart w:id="1157" w:name="_ddb7de33_1f09_4ca5_b552_19da70ce1c1f"/>
      <w:bookmarkStart w:id="1158" w:name="_ITEM_3._DEFAULTS"/>
      <w:bookmarkEnd w:id="1157"/>
      <w:bookmarkEnd w:id="1158"/>
      <w:r>
        <w:rPr/>
        <w:t>​</w:t>
      </w:r>
    </w:p>
    <w:p>
      <w:pPr>
        <w:pStyle w:val="TextBody"/>
        <w:bidi w:val="0"/>
        <w:spacing w:before="0" w:after="0"/>
        <w:ind w:left="0" w:right="0" w:hanging="0"/>
        <w:jc w:val="left"/>
        <w:rPr>
          <w:rFonts w:ascii="Times New Roman;Times;serif" w:hAnsi="Times New Roman;Times;serif"/>
          <w:b/>
          <w:sz w:val="20"/>
        </w:rPr>
      </w:pPr>
      <w:bookmarkStart w:id="1159" w:name="ITEM3DEFAULTSUPONSENIORSECURITIES_376496"/>
      <w:bookmarkEnd w:id="1159"/>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160" w:name="ITEM4MINESAFETYDISCLOSURES_109581"/>
      <w:bookmarkStart w:id="1161" w:name="_faae16fa_034f_40a1_8a53_3e25dba99563"/>
      <w:bookmarkEnd w:id="1160"/>
      <w:bookmarkEnd w:id="1161"/>
      <w:r>
        <w:rPr>
          <w:rFonts w:ascii="Times New Roman;Times;serif" w:hAnsi="Times New Roman;Times;serif"/>
          <w:b/>
          <w:sz w:val="20"/>
        </w:rPr>
        <w:t>ITEM 4. MINE SAFETY DISCLOSURES</w:t>
      </w:r>
    </w:p>
    <w:p>
      <w:pPr>
        <w:pStyle w:val="TextBody"/>
        <w:bidi w:val="0"/>
        <w:spacing w:before="12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162" w:name="ITEM5OTHERINFORMATION_915711"/>
      <w:bookmarkStart w:id="1163" w:name="_381abeb3_aff1_4b9f_847b_faa5cfe73fb3"/>
      <w:bookmarkEnd w:id="1162"/>
      <w:bookmarkEnd w:id="1163"/>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hanging="0"/>
        <w:jc w:val="left"/>
        <w:rPr>
          <w:rFonts w:ascii="Times New Roman;Times;serif" w:hAnsi="Times New Roman;Times;serif"/>
          <w:b/>
          <w:sz w:val="20"/>
        </w:rPr>
      </w:pPr>
      <w:bookmarkStart w:id="1164" w:name="ITEM6EXHIBITS_110802"/>
      <w:bookmarkStart w:id="1165" w:name="_52ff9b97_ce3f_4e30_9c32_d91983cd95be"/>
      <w:bookmarkEnd w:id="1164"/>
      <w:bookmarkEnd w:id="1165"/>
      <w:r>
        <w:rPr>
          <w:rFonts w:ascii="Times New Roman;Times;serif" w:hAnsi="Times New Roman;Times;serif"/>
          <w:b/>
          <w:sz w:val="20"/>
        </w:rPr>
        <w:t>ITEM 6. EXHIBITS</w:t>
      </w:r>
    </w:p>
    <w:p>
      <w:pPr>
        <w:pStyle w:val="TextBody"/>
        <w:bidi w:val="0"/>
        <w:spacing w:before="0" w:after="240"/>
        <w:ind w:left="0" w:right="0" w:hanging="0"/>
        <w:jc w:val="left"/>
        <w:rPr/>
      </w:pPr>
      <w:r>
        <w:rPr/>
        <w:t>​</w:t>
      </w:r>
    </w:p>
    <w:tbl>
      <w:tblPr>
        <w:tblW w:w="1232" w:type="dxa"/>
        <w:jc w:val="left"/>
        <w:tblInd w:w="0" w:type="dxa"/>
        <w:tblLayout w:type="fixed"/>
        <w:tblCellMar>
          <w:top w:w="0" w:type="dxa"/>
          <w:left w:w="0" w:type="dxa"/>
          <w:bottom w:w="0" w:type="dxa"/>
          <w:right w:w="0" w:type="dxa"/>
        </w:tblCellMar>
      </w:tblPr>
      <w:tblGrid>
        <w:gridCol w:w="331"/>
        <w:gridCol w:w="90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tbl>
      <w:tblPr>
        <w:tblW w:w="10205" w:type="dxa"/>
        <w:jc w:val="left"/>
        <w:tblInd w:w="0" w:type="dxa"/>
        <w:tblLayout w:type="fixed"/>
        <w:tblCellMar>
          <w:top w:w="0" w:type="dxa"/>
          <w:left w:w="0" w:type="dxa"/>
          <w:bottom w:w="0" w:type="dxa"/>
          <w:right w:w="0" w:type="dxa"/>
        </w:tblCellMar>
      </w:tblPr>
      <w:tblGrid>
        <w:gridCol w:w="1294"/>
        <w:gridCol w:w="109"/>
        <w:gridCol w:w="8802"/>
      </w:tblGrid>
      <w:tr>
        <w:trPr/>
        <w:tc>
          <w:tcPr>
            <w:tcW w:w="129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2" w:type="dxa"/>
            <w:tcBorders/>
            <w:vAlign w:val="center"/>
          </w:tcPr>
          <w:p>
            <w:pPr>
              <w:pStyle w:val="TableContents"/>
              <w:bidi w:val="0"/>
              <w:spacing w:before="0" w:after="0"/>
              <w:ind w:left="0" w:right="0" w:hanging="0"/>
              <w:jc w:val="left"/>
              <w:rPr/>
            </w:pPr>
            <w:r>
              <w:rPr/>
              <w:t>​</w:t>
            </w:r>
          </w:p>
        </w:tc>
      </w:tr>
      <w:tr>
        <w:trPr/>
        <w:tc>
          <w:tcPr>
            <w:tcW w:w="1294" w:type="dxa"/>
            <w:tcBorders/>
            <w:vAlign w:val="center"/>
          </w:tcPr>
          <w:p>
            <w:pPr>
              <w:pStyle w:val="TableContents"/>
              <w:bidi w:val="0"/>
              <w:spacing w:lineRule="auto" w:line="256" w:before="4" w:after="4"/>
              <w:ind w:left="0" w:right="0" w:hanging="0"/>
              <w:jc w:val="left"/>
              <w:rPr/>
            </w:pPr>
            <w:r>
              <w:rPr/>
              <w:t>​</w:t>
            </w:r>
          </w:p>
        </w:tc>
        <w:tc>
          <w:tcPr>
            <w:tcW w:w="109" w:type="dxa"/>
            <w:tcBorders/>
            <w:vAlign w:val="center"/>
          </w:tcPr>
          <w:p>
            <w:pPr>
              <w:pStyle w:val="TableContents"/>
              <w:bidi w:val="0"/>
              <w:spacing w:lineRule="auto" w:line="256" w:before="4" w:after="4"/>
              <w:ind w:left="0" w:right="0" w:hanging="0"/>
              <w:jc w:val="left"/>
              <w:rPr/>
            </w:pPr>
            <w:r>
              <w:rPr/>
              <w:t>​</w:t>
            </w:r>
          </w:p>
        </w:tc>
        <w:tc>
          <w:tcPr>
            <w:tcW w:w="8802" w:type="dxa"/>
            <w:tcBorders/>
            <w:vAlign w:val="center"/>
          </w:tcPr>
          <w:p>
            <w:pPr>
              <w:pStyle w:val="TableContents"/>
              <w:bidi w:val="0"/>
              <w:spacing w:lineRule="auto" w:line="256" w:before="4" w:after="4"/>
              <w:ind w:left="0" w:right="0" w:hanging="0"/>
              <w:jc w:val="left"/>
              <w:rPr/>
            </w:pPr>
            <w:r>
              <w:rPr/>
              <w:t>​</w:t>
            </w:r>
          </w:p>
        </w:tc>
      </w:tr>
      <w:tr>
        <w:trPr/>
        <w:tc>
          <w:tcPr>
            <w:tcW w:w="1294" w:type="dxa"/>
            <w:tcBorders/>
            <w:vAlign w:val="center"/>
          </w:tcPr>
          <w:p>
            <w:pPr>
              <w:pStyle w:val="TableContents"/>
              <w:bidi w:val="0"/>
              <w:spacing w:lineRule="auto" w:line="256" w:before="4" w:after="4"/>
              <w:ind w:left="0" w:right="0" w:hanging="0"/>
              <w:jc w:val="left"/>
              <w:rPr/>
            </w:pPr>
            <w:r>
              <w:rPr/>
              <w:t>​</w:t>
            </w:r>
          </w:p>
        </w:tc>
        <w:tc>
          <w:tcPr>
            <w:tcW w:w="109" w:type="dxa"/>
            <w:tcBorders/>
            <w:vAlign w:val="center"/>
          </w:tcPr>
          <w:p>
            <w:pPr>
              <w:pStyle w:val="TableContents"/>
              <w:bidi w:val="0"/>
              <w:spacing w:lineRule="auto" w:line="256" w:before="4" w:after="4"/>
              <w:ind w:left="0" w:right="0" w:hanging="0"/>
              <w:jc w:val="left"/>
              <w:rPr/>
            </w:pPr>
            <w:r>
              <w:rPr/>
              <w:t>​</w:t>
            </w:r>
          </w:p>
        </w:tc>
        <w:tc>
          <w:tcPr>
            <w:tcW w:w="8802" w:type="dxa"/>
            <w:tcBorders/>
            <w:vAlign w:val="center"/>
          </w:tcPr>
          <w:p>
            <w:pPr>
              <w:pStyle w:val="TableContents"/>
              <w:bidi w:val="0"/>
              <w:spacing w:lineRule="auto" w:line="256" w:before="4" w:after="4"/>
              <w:ind w:left="0" w:right="0" w:hanging="0"/>
              <w:jc w:val="left"/>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3.1</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Amendment and Restatement of Alpine Income Property Trust, Inc. (incorporated by reference to Exhibit 3.1 to the Company’s Current Report on Form 8-K filed on December 3, 2019).</w:t>
              </w:r>
            </w:hyperlink>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3.2</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hyperlink r:id="rId3">
              <w:r>
                <w:rPr>
                  <w:rStyle w:val="InternetLink"/>
                  <w:rFonts w:ascii="Times New Roman;Times;serif" w:hAnsi="Times New Roman;Times;serif"/>
                  <w:b w:val="false"/>
                  <w:i w:val="false"/>
                  <w:caps w:val="false"/>
                  <w:smallCaps w:val="false"/>
                  <w:sz w:val="20"/>
                </w:rPr>
                <w:t xml:space="preserve">Third </w:t>
              </w:r>
            </w:hyperlink>
            <w:hyperlink r:id="rId4">
              <w:r>
                <w:rPr>
                  <w:rStyle w:val="InternetLink"/>
                  <w:rFonts w:ascii="Times New Roman;Times;serif" w:hAnsi="Times New Roman;Times;serif"/>
                  <w:b w:val="false"/>
                  <w:i w:val="false"/>
                  <w:caps w:val="false"/>
                  <w:smallCaps w:val="false"/>
                  <w:sz w:val="19"/>
                </w:rPr>
                <w:t>Amended and Restated Bylaws of Alpine Income Property Trust, Inc. (incorporated by reference to Exhibit 3.1 to the Company’s Current Report on Form 8-K filed on February 3, 2023).</w:t>
              </w:r>
            </w:hyperlink>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4.1</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hyperlink r:id="rId5">
              <w:r>
                <w:rPr>
                  <w:rStyle w:val="InternetLink"/>
                  <w:rFonts w:ascii="Times New Roman;Times;serif" w:hAnsi="Times New Roman;Times;serif"/>
                  <w:b w:val="false"/>
                  <w:i w:val="false"/>
                  <w:caps w:val="false"/>
                  <w:smallCaps w:val="false"/>
                  <w:sz w:val="20"/>
                </w:rPr>
                <w:t>Specimen Common Stock Certificate of Alpine Income Property Trust, Inc. (incorporated by reference to Exhibit 4.1 to the Registrant’s Registration Statement on Form S-11/A (File No. 333-234304) filed with the Commission on October 29, 2019).</w:t>
              </w:r>
            </w:hyperlink>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31.1*</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hyperlink w:anchor="pine-20240331x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31.2*</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hyperlink w:anchor="pine-20240331x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32.1**</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hyperlink w:anchor="pine-20240331x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32.2**</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hyperlink w:anchor="pine-20240331x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101.INS</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Instance Document</w:t>
            </w:r>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101.SCH</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101.CAL</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101.DEF</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101.LAB</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101.PRE</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94"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lineRule="auto" w:line="256" w:before="0" w:after="0"/>
              <w:ind w:left="0" w:right="0" w:hanging="0"/>
              <w:jc w:val="both"/>
              <w:rPr/>
            </w:pPr>
            <w:r>
              <w:rPr/>
              <w:t>​</w:t>
            </w:r>
          </w:p>
        </w:tc>
      </w:tr>
      <w:tr>
        <w:trPr/>
        <w:tc>
          <w:tcPr>
            <w:tcW w:w="1294"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104</w:t>
            </w:r>
          </w:p>
        </w:tc>
        <w:tc>
          <w:tcPr>
            <w:tcW w:w="109" w:type="dxa"/>
            <w:tcBorders/>
            <w:vAlign w:val="center"/>
          </w:tcPr>
          <w:p>
            <w:pPr>
              <w:pStyle w:val="TableContents"/>
              <w:bidi w:val="0"/>
              <w:spacing w:lineRule="auto" w:line="256" w:before="0" w:after="0"/>
              <w:ind w:left="0" w:right="0" w:hanging="0"/>
              <w:jc w:val="both"/>
              <w:rPr/>
            </w:pPr>
            <w:r>
              <w:rPr/>
              <w:t>​</w:t>
            </w:r>
          </w:p>
        </w:tc>
        <w:tc>
          <w:tcPr>
            <w:tcW w:w="8802"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tbl>
      <w:tblPr>
        <w:tblW w:w="1704" w:type="dxa"/>
        <w:jc w:val="left"/>
        <w:tblInd w:w="0" w:type="dxa"/>
        <w:tblLayout w:type="fixed"/>
        <w:tblCellMar>
          <w:top w:w="0" w:type="dxa"/>
          <w:left w:w="0" w:type="dxa"/>
          <w:bottom w:w="0" w:type="dxa"/>
          <w:right w:w="0" w:type="dxa"/>
        </w:tblCellMar>
      </w:tblPr>
      <w:tblGrid>
        <w:gridCol w:w="1441"/>
        <w:gridCol w:w="109"/>
        <w:gridCol w:w="154"/>
      </w:tblGrid>
      <w:tr>
        <w:trPr/>
        <w:tc>
          <w:tcPr>
            <w:tcW w:w="1441"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154" w:type="dxa"/>
            <w:tcBorders/>
            <w:vAlign w:val="center"/>
          </w:tcPr>
          <w:p>
            <w:pPr>
              <w:pStyle w:val="TableContents"/>
              <w:bidi w:val="0"/>
              <w:spacing w:lineRule="auto" w:line="256" w:before="0" w:after="0"/>
              <w:ind w:left="0" w:right="0" w:hanging="0"/>
              <w:jc w:val="both"/>
              <w:rPr/>
            </w:pPr>
            <w:r>
              <w:rPr/>
              <w:t>​</w:t>
            </w:r>
          </w:p>
        </w:tc>
      </w:tr>
      <w:tr>
        <w:trPr/>
        <w:tc>
          <w:tcPr>
            <w:tcW w:w="1441"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 Filed herewith</w:t>
            </w:r>
          </w:p>
        </w:tc>
        <w:tc>
          <w:tcPr>
            <w:tcW w:w="109" w:type="dxa"/>
            <w:tcBorders/>
            <w:vAlign w:val="center"/>
          </w:tcPr>
          <w:p>
            <w:pPr>
              <w:pStyle w:val="TableContents"/>
              <w:bidi w:val="0"/>
              <w:spacing w:lineRule="auto" w:line="256"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441"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154" w:type="dxa"/>
            <w:tcBorders/>
            <w:vAlign w:val="center"/>
          </w:tcPr>
          <w:p>
            <w:pPr>
              <w:pStyle w:val="TableContents"/>
              <w:bidi w:val="0"/>
              <w:spacing w:lineRule="auto" w:line="256" w:before="0" w:after="0"/>
              <w:ind w:left="0" w:right="0" w:hanging="0"/>
              <w:jc w:val="both"/>
              <w:rPr/>
            </w:pPr>
            <w:r>
              <w:rPr/>
              <w:t>​</w:t>
            </w:r>
          </w:p>
        </w:tc>
      </w:tr>
    </w:tbl>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9"/>
        </w:rPr>
        <w:t>** Furnished herewith</w:t>
      </w:r>
      <w:r>
        <w:rPr>
          <w:rFonts w:ascii="Times New Roman;Times;serif" w:hAnsi="Times New Roman;Times;serif"/>
          <w:sz w:val="18"/>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66" w:name="Signatures_946901"/>
      <w:bookmarkStart w:id="1167" w:name="_4dfe9678_ca7c_4419_9ac8_e2456ad56966"/>
      <w:bookmarkEnd w:id="1166"/>
      <w:bookmarkEnd w:id="1167"/>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8538" w:type="dxa"/>
        <w:jc w:val="left"/>
        <w:tblInd w:w="0" w:type="dxa"/>
        <w:tblLayout w:type="fixed"/>
        <w:tblCellMar>
          <w:top w:w="0" w:type="dxa"/>
          <w:left w:w="0" w:type="dxa"/>
          <w:bottom w:w="0" w:type="dxa"/>
          <w:right w:w="0" w:type="dxa"/>
        </w:tblCellMar>
      </w:tblPr>
      <w:tblGrid>
        <w:gridCol w:w="1306"/>
        <w:gridCol w:w="146"/>
        <w:gridCol w:w="406"/>
        <w:gridCol w:w="109"/>
        <w:gridCol w:w="657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829310" cy="175260"/>
                      <wp:effectExtent l="0" t="0" r="0" b="0"/>
                      <wp:wrapNone/>
                      <wp:docPr id="300" name="Frame30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92710" cy="175260"/>
                      <wp:effectExtent l="0" t="0" r="0" b="0"/>
                      <wp:wrapNone/>
                      <wp:docPr id="301" name="Frame30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57810" cy="175260"/>
                      <wp:effectExtent l="0" t="0" r="0" b="0"/>
                      <wp:wrapNone/>
                      <wp:docPr id="302" name="Frame30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172585" cy="175260"/>
                      <wp:effectExtent l="0" t="0" r="0" b="0"/>
                      <wp:wrapNone/>
                      <wp:docPr id="304" name="Frame304"/>
                      <a:graphic xmlns:a="http://schemas.openxmlformats.org/drawingml/2006/main">
                        <a:graphicData uri="http://schemas.microsoft.com/office/word/2010/wordprocessingShape">
                          <wps:wsp>
                            <wps:cNvSpPr txBox="1"/>
                            <wps:spPr>
                              <a:xfrm>
                                <a:off x="0" y="0"/>
                                <a:ext cx="417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0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ALPINE INCOME PROPERTY TRUST, INC.</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0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306"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18,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6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306"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18,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6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 Vice President,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Accounting Officer and Interim Chief Financial Officer and Treasurer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 and Principal Accounting Officer)</w:t>
            </w:r>
          </w:p>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tLeast" w:line="142" w:before="0" w:after="0"/>
        <w:ind w:left="0" w:right="0" w:hanging="0"/>
        <w:jc w:val="left"/>
        <w:rPr/>
      </w:pPr>
      <w:bookmarkStart w:id="1168" w:name="pine-20240331xex31d1.htm"/>
      <w:bookmarkStart w:id="1169" w:name="kspine20240331xex31d1"/>
      <w:bookmarkEnd w:id="1168"/>
      <w:bookmarkEnd w:id="1169"/>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April 18, 2024</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2710" cy="175260"/>
                      <wp:effectExtent l="0" t="0" r="0" b="0"/>
                      <wp:wrapNone/>
                      <wp:docPr id="305" name="Frame3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170" w:name="pine-20240331xex31d2.htm"/>
      <w:bookmarkStart w:id="1171" w:name="kspine20240331xex31d2"/>
      <w:bookmarkEnd w:id="1170"/>
      <w:bookmarkEnd w:id="1171"/>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Lisa M. Vorakoun,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April 18, 2024</w:t>
      </w:r>
    </w:p>
    <w:tbl>
      <w:tblPr>
        <w:tblW w:w="5821" w:type="dxa"/>
        <w:jc w:val="left"/>
        <w:tblInd w:w="0" w:type="dxa"/>
        <w:tblLayout w:type="fixed"/>
        <w:tblCellMar>
          <w:top w:w="0" w:type="dxa"/>
          <w:left w:w="0" w:type="dxa"/>
          <w:bottom w:w="0" w:type="dxa"/>
          <w:right w:w="0" w:type="dxa"/>
        </w:tblCellMar>
      </w:tblPr>
      <w:tblGrid>
        <w:gridCol w:w="421"/>
        <w:gridCol w:w="146"/>
        <w:gridCol w:w="4209"/>
        <w:gridCol w:w="89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67335" cy="175260"/>
                      <wp:effectExtent l="0" t="0" r="0" b="0"/>
                      <wp:wrapNone/>
                      <wp:docPr id="306" name="Frame30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92710" cy="175260"/>
                      <wp:effectExtent l="0" t="0" r="0" b="0"/>
                      <wp:wrapNone/>
                      <wp:docPr id="307" name="Frame3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672715" cy="175260"/>
                      <wp:effectExtent l="0" t="0" r="0" b="0"/>
                      <wp:wrapNone/>
                      <wp:docPr id="308" name="Frame308"/>
                      <a:graphic xmlns:a="http://schemas.openxmlformats.org/drawingml/2006/main">
                        <a:graphicData uri="http://schemas.microsoft.com/office/word/2010/wordprocessingShape">
                          <wps:wsp>
                            <wps:cNvSpPr txBox="1"/>
                            <wps:spPr>
                              <a:xfrm>
                                <a:off x="0" y="0"/>
                                <a:ext cx="267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63575" cy="175260"/>
                      <wp:effectExtent l="0" t="0" r="0" b="0"/>
                      <wp:wrapNone/>
                      <wp:docPr id="309" name="Frame309"/>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Lisa M. Vorakoun,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Accounting Officer and Interim Chief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72" w:name="pine-20240331xex32d1.htm"/>
      <w:bookmarkStart w:id="1173" w:name="kspine20240331xex32d1"/>
      <w:bookmarkEnd w:id="1172"/>
      <w:bookmarkEnd w:id="1173"/>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March 31,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April 18, 2024</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67335" cy="175260"/>
                      <wp:effectExtent l="0" t="0" r="0" b="0"/>
                      <wp:wrapNone/>
                      <wp:docPr id="310" name="Frame31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2710" cy="175260"/>
                      <wp:effectExtent l="0" t="0" r="0" b="0"/>
                      <wp:wrapNone/>
                      <wp:docPr id="311" name="Frame3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659890" cy="175260"/>
                      <wp:effectExtent l="0" t="0" r="0" b="0"/>
                      <wp:wrapNone/>
                      <wp:docPr id="312" name="Frame312"/>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48310" cy="175260"/>
                      <wp:effectExtent l="0" t="0" r="0" b="0"/>
                      <wp:wrapNone/>
                      <wp:docPr id="313" name="Frame31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74" w:name="pine-20240331xex32d2.htm"/>
      <w:bookmarkStart w:id="1175" w:name="kspine20240331xex32d2"/>
      <w:bookmarkEnd w:id="1174"/>
      <w:bookmarkEnd w:id="1175"/>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March 31, 2024, as filed with the Securities and Exchange Commission on the date hereof (the “Report”), I, Lisa M. Vorakoun, Vice President, Chief Accounting Officer and Interim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April 18, 2024</w:t>
      </w:r>
    </w:p>
    <w:tbl>
      <w:tblPr>
        <w:tblW w:w="5821" w:type="dxa"/>
        <w:jc w:val="left"/>
        <w:tblInd w:w="0" w:type="dxa"/>
        <w:tblLayout w:type="fixed"/>
        <w:tblCellMar>
          <w:top w:w="0" w:type="dxa"/>
          <w:left w:w="0" w:type="dxa"/>
          <w:bottom w:w="0" w:type="dxa"/>
          <w:right w:w="0" w:type="dxa"/>
        </w:tblCellMar>
      </w:tblPr>
      <w:tblGrid>
        <w:gridCol w:w="421"/>
        <w:gridCol w:w="146"/>
        <w:gridCol w:w="4209"/>
        <w:gridCol w:w="89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92710" cy="175260"/>
                      <wp:effectExtent l="0" t="0" r="0" b="0"/>
                      <wp:wrapNone/>
                      <wp:docPr id="314" name="Frame3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9" w:type="dxa"/>
            <w:tcBorders/>
            <w:vAlign w:val="center"/>
          </w:tcPr>
          <w:p>
            <w:pPr>
              <w:pStyle w:val="TableContents"/>
              <w:bidi w:val="0"/>
              <w:spacing w:before="0" w:after="0"/>
              <w:ind w:left="0" w:right="0" w:hanging="0"/>
              <w:jc w:val="left"/>
              <w:rPr/>
            </w:pPr>
            <w:r>
              <w:rPr/>
              <w:t>​</w:t>
            </w:r>
          </w:p>
        </w:tc>
        <w:tc>
          <w:tcPr>
            <w:tcW w:w="104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Lisa M. Vorakoun,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Accounting Officer and Interim Chief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6117/000155837019011294/ex-3d1.htm" TargetMode="External"/><Relationship Id="rId3" Type="http://schemas.openxmlformats.org/officeDocument/2006/relationships/hyperlink" Target="https://www.sec.gov/Archives/edgar/data/1786117/000155837023000881/pine-20230201xex3d1.htm" TargetMode="External"/><Relationship Id="rId4" Type="http://schemas.openxmlformats.org/officeDocument/2006/relationships/hyperlink" Target="https://www.sec.gov/Archives/edgar/data/1786117/000155837023000881/pine-20230201xex3d1.htm" TargetMode="External"/><Relationship Id="rId5" Type="http://schemas.openxmlformats.org/officeDocument/2006/relationships/hyperlink" Target="https://www.sec.gov/Archives/edgar/data/0001786117/000119312519277917/d793798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19943</Words>
  <Characters>108266</Characters>
  <CharactersWithSpaces>129298</CharactersWithSpaces>
  <Paragraphs>4993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