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120"/>
        <w:ind w:left="0" w:right="0" w:hanging="0"/>
        <w:jc w:val="left"/>
        <w:rPr/>
      </w:pPr>
      <w:hyperlink w:anchor="TOC">
        <w:bookmarkStart w:id="0" w:name="pine-20260630x10q.htm"/>
        <w:bookmarkStart w:id="1" w:name="kspine20260630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pBdr>
        <w:bidi w:val="0"/>
        <w:spacing w:before="0" w:after="240"/>
        <w:ind w:left="0" w:right="0" w:hanging="0"/>
        <w:jc w:val="center"/>
        <w:rPr/>
      </w:pPr>
      <w:r>
        <w:rPr/>
        <w:t>​</w:t>
      </w:r>
    </w:p>
    <w:p>
      <w:pPr>
        <w:pStyle w:val="TextBody"/>
        <w:pBdr>
          <w:bottom w:val="single" w:sz="8" w:space="1" w:color="000000"/>
        </w:pBdr>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32"/>
        </w:rPr>
      </w:pPr>
      <w:bookmarkStart w:id="2" w:name="_ab5a9f75_569e_48ab_b43f_b3c31095e93d"/>
      <w:bookmarkEnd w:id="2"/>
      <w:r>
        <w:rPr>
          <w:rFonts w:ascii="Times New Roman;Times;serif" w:hAnsi="Times New Roman;Times;serif"/>
          <w:b/>
          <w:sz w:val="32"/>
        </w:rPr>
        <w:t>UNITED STATES</w:t>
      </w:r>
    </w:p>
    <w:p>
      <w:pPr>
        <w:pStyle w:val="TextBody"/>
        <w:bidi w:val="0"/>
        <w:spacing w:before="0" w:after="0"/>
        <w:ind w:left="0" w:right="0" w:hanging="0"/>
        <w:jc w:val="center"/>
        <w:rPr>
          <w:rFonts w:ascii="Times New Roman;Times;serif" w:hAnsi="Times New Roman;Times;serif"/>
          <w:b/>
          <w:sz w:val="32"/>
        </w:rPr>
      </w:pPr>
      <w:r>
        <w:rPr>
          <w:rFonts w:ascii="Times New Roman;Times;serif" w:hAnsi="Times New Roman;Times;serif"/>
          <w:b/>
          <w:sz w:val="32"/>
        </w:rPr>
        <w:t>SECURITIES AND EXCHANGE COMMISSION</w:t>
      </w:r>
    </w:p>
    <w:p>
      <w:pPr>
        <w:pStyle w:val="TextBody"/>
        <w:bidi w:val="0"/>
        <w:spacing w:before="0" w:after="2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bidi w:val="0"/>
        <w:spacing w:before="0" w:after="20"/>
        <w:ind w:left="0" w:right="0" w:hanging="0"/>
        <w:jc w:val="center"/>
        <w:rPr>
          <w:rFonts w:ascii="Times New Roman;Times;serif" w:hAnsi="Times New Roman;Times;serif"/>
          <w:b/>
          <w:sz w:val="32"/>
        </w:rPr>
      </w:pPr>
      <w:r>
        <w:rPr>
          <w:rFonts w:ascii="Times New Roman;Times;serif" w:hAnsi="Times New Roman;Times;serif"/>
          <w:b/>
          <w:sz w:val="32"/>
        </w:rPr>
        <w:t>FORM 10-Q</w:t>
      </w:r>
    </w:p>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before="0" w:after="60"/>
              <w:jc w:val="left"/>
              <w:rPr/>
            </w:pPr>
            <w:r>
              <w:rPr/>
              <w:t>☒</w:t>
            </w:r>
          </w:p>
        </w:tc>
        <w:tc>
          <w:tcPr>
            <w:tcW w:w="9874" w:type="dxa"/>
            <w:tcBorders/>
            <w:vAlign w:val="center"/>
          </w:tcPr>
          <w:p>
            <w:pPr>
              <w:pStyle w:val="TableContents"/>
              <w:bidi w:val="0"/>
              <w:spacing w:before="0" w:after="60"/>
              <w:jc w:val="left"/>
              <w:rPr>
                <w:rFonts w:ascii="Times New Roman;Times;serif" w:hAnsi="Times New Roman;Times;serif"/>
                <w:b/>
                <w:sz w:val="22"/>
              </w:rPr>
            </w:pPr>
            <w:r>
              <w:rPr>
                <w:rFonts w:ascii="Times New Roman;Times;serif" w:hAnsi="Times New Roman;Times;serif"/>
                <w:b/>
                <w:sz w:val="22"/>
              </w:rPr>
              <w:t>QUARTERLY REPORT PURSUANT TO SECTION 13 OR 15(d) OF THE SECURITIES EXCHANGE ACT OF 1934</w:t>
            </w:r>
          </w:p>
        </w:tc>
      </w:tr>
    </w:tbl>
    <w:p>
      <w:pPr>
        <w:pStyle w:val="TextBody"/>
        <w:bidi w:val="0"/>
        <w:spacing w:before="0" w:after="60"/>
        <w:ind w:left="0" w:right="0" w:hanging="0"/>
        <w:jc w:val="center"/>
        <w:rPr>
          <w:rFonts w:ascii="Times New Roman;Times;serif" w:hAnsi="Times New Roman;Times;serif"/>
          <w:b/>
          <w:sz w:val="18"/>
        </w:rPr>
      </w:pPr>
      <w:r>
        <w:rPr>
          <w:rFonts w:ascii="Times New Roman;Times;serif" w:hAnsi="Times New Roman;Times;serif"/>
          <w:b/>
          <w:sz w:val="18"/>
        </w:rPr>
        <w:t>For the quarterly period ended June 30, 2026</w:t>
      </w:r>
    </w:p>
    <w:p>
      <w:pPr>
        <w:pStyle w:val="TextBody"/>
        <w:bidi w:val="0"/>
        <w:spacing w:before="0" w:after="60"/>
        <w:ind w:left="0" w:right="0" w:hanging="0"/>
        <w:jc w:val="left"/>
        <w:rPr>
          <w:rFonts w:ascii="Times New Roman;Times;serif" w:hAnsi="Times New Roman;Times;serif"/>
          <w:b/>
          <w:sz w:val="22"/>
        </w:rPr>
      </w:pPr>
      <w:r>
        <w:rPr>
          <w:rFonts w:ascii="Times New Roman;Times;serif" w:hAnsi="Times New Roman;Times;serif"/>
          <w:b/>
          <w:sz w:val="22"/>
        </w:rPr>
        <w:t>OR</w:t>
      </w:r>
    </w:p>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before="0" w:after="60"/>
              <w:jc w:val="left"/>
              <w:rPr/>
            </w:pPr>
            <w:r>
              <w:rPr/>
              <w:t>☐</w:t>
            </w:r>
          </w:p>
        </w:tc>
        <w:tc>
          <w:tcPr>
            <w:tcW w:w="9874" w:type="dxa"/>
            <w:tcBorders/>
            <w:vAlign w:val="center"/>
          </w:tcPr>
          <w:p>
            <w:pPr>
              <w:pStyle w:val="TableContents"/>
              <w:bidi w:val="0"/>
              <w:spacing w:before="0" w:after="60"/>
              <w:jc w:val="left"/>
              <w:rPr>
                <w:rFonts w:ascii="Times New Roman;Times;serif" w:hAnsi="Times New Roman;Times;serif"/>
                <w:b/>
                <w:sz w:val="22"/>
              </w:rPr>
            </w:pPr>
            <w:r>
              <w:rPr>
                <w:rFonts w:ascii="Times New Roman;Times;serif" w:hAnsi="Times New Roman;Times;serif"/>
                <w:b/>
                <w:sz w:val="22"/>
              </w:rPr>
              <w:t>TRANSITION REPORT PURSUANT TO SECTION 13 OR 15(d) OF THE SECURITIES EXCHANGE ACT OF 1934</w:t>
            </w:r>
          </w:p>
        </w:tc>
      </w:tr>
    </w:tbl>
    <w:p>
      <w:pPr>
        <w:pStyle w:val="TextBody"/>
        <w:bidi w:val="0"/>
        <w:spacing w:before="0" w:after="60"/>
        <w:ind w:left="0" w:right="0" w:hanging="0"/>
        <w:jc w:val="center"/>
        <w:rPr>
          <w:rFonts w:ascii="Times New Roman;Times;serif" w:hAnsi="Times New Roman;Times;serif"/>
          <w:sz w:val="18"/>
        </w:rPr>
      </w:pPr>
      <w:r>
        <w:rPr>
          <w:rFonts w:ascii="Times New Roman;Times;serif" w:hAnsi="Times New Roman;Times;serif"/>
          <w:b/>
          <w:sz w:val="18"/>
        </w:rPr>
        <w:t xml:space="preserve">For the transition period from </w:t>
      </w:r>
      <w:r>
        <w:rPr>
          <w:rFonts w:ascii="Times New Roman;Times;serif" w:hAnsi="Times New Roman;Times;serif"/>
          <w:sz w:val="18"/>
        </w:rPr>
        <w:t xml:space="preserve">                     </w:t>
      </w:r>
      <w:r>
        <w:rPr>
          <w:rFonts w:ascii="Times New Roman;Times;serif" w:hAnsi="Times New Roman;Times;serif"/>
          <w:b/>
          <w:sz w:val="18"/>
        </w:rPr>
        <w:t>to</w:t>
      </w:r>
      <w:r>
        <w:rPr>
          <w:rFonts w:ascii="Times New Roman;Times;serif" w:hAnsi="Times New Roman;Times;serif"/>
          <w:sz w:val="18"/>
        </w:rPr>
        <w:t>                    </w:t>
      </w:r>
    </w:p>
    <w:p>
      <w:pPr>
        <w:pStyle w:val="TextBody"/>
        <w:bidi w:val="0"/>
        <w:spacing w:before="0" w:after="60"/>
        <w:ind w:left="0" w:right="0" w:hanging="0"/>
        <w:jc w:val="center"/>
        <w:rPr>
          <w:rFonts w:ascii="Times New Roman;Times;serif" w:hAnsi="Times New Roman;Times;serif"/>
          <w:sz w:val="20"/>
        </w:rPr>
      </w:pPr>
      <w:r>
        <w:rPr>
          <w:rFonts w:ascii="Times New Roman;Times;serif" w:hAnsi="Times New Roman;Times;serif"/>
          <w:b/>
          <w:sz w:val="18"/>
        </w:rPr>
        <w:t xml:space="preserve">Commission file number </w:t>
      </w:r>
      <w:r>
        <w:rPr>
          <w:rFonts w:ascii="Times New Roman;Times;serif" w:hAnsi="Times New Roman;Times;serif"/>
          <w:b/>
          <w:sz w:val="20"/>
        </w:rPr>
        <w:t>001-39143</w:t>
      </w:r>
    </w:p>
    <w:p>
      <w:pPr>
        <w:pStyle w:val="TextBody"/>
        <w:bidi w:val="0"/>
        <w:spacing w:before="0" w:after="0"/>
        <w:ind w:left="0" w:right="0" w:hanging="0"/>
        <w:jc w:val="center"/>
        <w:rPr>
          <w:rFonts w:ascii="Times New Roman;Times;serif" w:hAnsi="Times New Roman;Times;serif"/>
          <w:b/>
          <w:sz w:val="44"/>
        </w:rPr>
      </w:pPr>
      <w:r>
        <w:rPr>
          <w:rFonts w:ascii="Times New Roman;Times;serif" w:hAnsi="Times New Roman;Times;serif"/>
          <w:b/>
          <w:sz w:val="44"/>
        </w:rPr>
        <w:t>ALPINE INCOME PROPERTY TRUST, INC.</w:t>
      </w:r>
    </w:p>
    <w:p>
      <w:pPr>
        <w:pStyle w:val="TextBody"/>
        <w:bidi w:val="0"/>
        <w:spacing w:before="0" w:after="20"/>
        <w:ind w:left="0" w:right="0" w:hanging="0"/>
        <w:jc w:val="center"/>
        <w:rPr>
          <w:rFonts w:ascii="Times New Roman;Times;serif" w:hAnsi="Times New Roman;Times;serif"/>
          <w:b/>
          <w:sz w:val="18"/>
        </w:rPr>
      </w:pPr>
      <w:r>
        <w:rPr>
          <w:rFonts w:ascii="Times New Roman;Times;serif" w:hAnsi="Times New Roman;Times;serif"/>
          <w:b/>
          <w:sz w:val="18"/>
        </w:rPr>
        <w:t>(Exact name of registrant as specified in its charter)</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3" w:name="Tc_TK0FmazlxEG2Vnx9rR8biw_7_2"/>
      <w:bookmarkStart w:id="4" w:name="Tc_OuGqwpWsG0CqB-0txbiwnA_7_0"/>
      <w:bookmarkStart w:id="5" w:name="Tc_IifoMgFMEEmnlFngtZAcvA_6_0"/>
      <w:bookmarkStart w:id="6" w:name="Tc_yrHtBGWJV0arjZvDPT-E-A_5_0"/>
      <w:bookmarkStart w:id="7" w:name="Tc_XdHALM1HrUy7gYY3Nej4Lg_3_2"/>
      <w:bookmarkStart w:id="8" w:name="Tc_gEiC5oVQM0Ow6rShXXYvpQ_3_0"/>
      <w:bookmarkStart w:id="9" w:name="Tc_YiTTvGwip0ePqcRKwUfiPA_2_2"/>
      <w:bookmarkStart w:id="10" w:name="Tc_KwonVlTnjkeb8LZmq78Img_2_0"/>
      <w:bookmarkStart w:id="11" w:name="_93973e68_4ee2_4c58_8185_07d6b4cd2256"/>
      <w:bookmarkStart w:id="12" w:name="Tc_TK0FmazlxEG2Vnx9rR8biw_7_2"/>
      <w:bookmarkStart w:id="13" w:name="Tc_OuGqwpWsG0CqB-0txbiwnA_7_0"/>
      <w:bookmarkStart w:id="14" w:name="Tc_IifoMgFMEEmnlFngtZAcvA_6_0"/>
      <w:bookmarkStart w:id="15" w:name="Tc_yrHtBGWJV0arjZvDPT-E-A_5_0"/>
      <w:bookmarkStart w:id="16" w:name="Tc_XdHALM1HrUy7gYY3Nej4Lg_3_2"/>
      <w:bookmarkStart w:id="17" w:name="Tc_gEiC5oVQM0Ow6rShXXYvpQ_3_0"/>
      <w:bookmarkStart w:id="18" w:name="Tc_YiTTvGwip0ePqcRKwUfiPA_2_2"/>
      <w:bookmarkStart w:id="19" w:name="Tc_KwonVlTnjkeb8LZmq78Img_2_0"/>
      <w:bookmarkStart w:id="20" w:name="_93973e68_4ee2_4c58_8185_07d6b4cd2256"/>
      <w:bookmarkEnd w:id="12"/>
      <w:bookmarkEnd w:id="13"/>
      <w:bookmarkEnd w:id="14"/>
      <w:bookmarkEnd w:id="15"/>
      <w:bookmarkEnd w:id="16"/>
      <w:bookmarkEnd w:id="17"/>
      <w:bookmarkEnd w:id="18"/>
      <w:bookmarkEnd w:id="19"/>
      <w:bookmarkEnd w:id="20"/>
    </w:p>
    <w:tbl>
      <w:tblPr>
        <w:tblW w:w="4983" w:type="dxa"/>
        <w:jc w:val="left"/>
        <w:tblInd w:w="0" w:type="dxa"/>
        <w:tblLayout w:type="fixed"/>
        <w:tblCellMar>
          <w:top w:w="0" w:type="dxa"/>
          <w:left w:w="0" w:type="dxa"/>
          <w:bottom w:w="0" w:type="dxa"/>
          <w:right w:w="0" w:type="dxa"/>
        </w:tblCellMar>
      </w:tblPr>
      <w:tblGrid>
        <w:gridCol w:w="3076"/>
        <w:gridCol w:w="346"/>
        <w:gridCol w:w="1561"/>
      </w:tblGrid>
      <w:tr>
        <w:trPr/>
        <w:tc>
          <w:tcPr>
            <w:tcW w:w="3076" w:type="dxa"/>
            <w:tcBorders/>
            <w:vAlign w:val="center"/>
          </w:tcPr>
          <w:p>
            <w:pPr>
              <w:pStyle w:val="TableContents"/>
              <w:bidi w:val="0"/>
              <w:spacing w:before="0" w:after="240"/>
              <w:ind w:left="0" w:right="0" w:hanging="0"/>
              <w:jc w:val="left"/>
              <w:rPr/>
            </w:pPr>
            <w:r>
              <w:rPr/>
              <w:t>​</w:t>
            </w:r>
          </w:p>
        </w:tc>
        <w:tc>
          <w:tcPr>
            <w:tcW w:w="346" w:type="dxa"/>
            <w:tcBorders/>
            <w:vAlign w:val="center"/>
          </w:tcPr>
          <w:p>
            <w:pPr>
              <w:pStyle w:val="TableContents"/>
              <w:bidi w:val="0"/>
              <w:spacing w:before="0" w:after="240"/>
              <w:ind w:left="0" w:right="0" w:hanging="0"/>
              <w:jc w:val="left"/>
              <w:rPr/>
            </w:pPr>
            <w:r>
              <w:rPr/>
              <w:t>​</w:t>
            </w:r>
          </w:p>
        </w:tc>
        <w:tc>
          <w:tcPr>
            <w:tcW w:w="1561" w:type="dxa"/>
            <w:tcBorders/>
            <w:vAlign w:val="center"/>
          </w:tcPr>
          <w:p>
            <w:pPr>
              <w:pStyle w:val="TableContents"/>
              <w:bidi w:val="0"/>
              <w:spacing w:before="0" w:after="240"/>
              <w:ind w:left="0" w:right="0" w:hanging="0"/>
              <w:jc w:val="left"/>
              <w:rPr/>
            </w:pPr>
            <w:r>
              <w:rPr/>
              <w:t>​</w:t>
            </w:r>
          </w:p>
        </w:tc>
      </w:tr>
      <w:tr>
        <w:trPr/>
        <w:tc>
          <w:tcPr>
            <w:tcW w:w="307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Maryland</w:t>
            </w:r>
          </w:p>
        </w:tc>
        <w:tc>
          <w:tcPr>
            <w:tcW w:w="346" w:type="dxa"/>
            <w:tcBorders/>
            <w:vAlign w:val="center"/>
          </w:tcPr>
          <w:p>
            <w:pPr>
              <w:pStyle w:val="TableContents"/>
              <w:bidi w:val="0"/>
              <w:spacing w:before="0" w:after="0"/>
              <w:ind w:left="0" w:right="0" w:hanging="0"/>
              <w:jc w:val="left"/>
              <w:rPr/>
            </w:pPr>
            <w:r>
              <w:rPr/>
              <w:t>  ​ ​ ​</w:t>
            </w:r>
          </w:p>
        </w:tc>
        <w:tc>
          <w:tcPr>
            <w:tcW w:w="156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84-2769895</w:t>
            </w:r>
          </w:p>
        </w:tc>
      </w:tr>
      <w:tr>
        <w:trPr/>
        <w:tc>
          <w:tcPr>
            <w:tcW w:w="307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(State or other jurisdiction of</w:t>
            </w:r>
          </w:p>
        </w:tc>
        <w:tc>
          <w:tcPr>
            <w:tcW w:w="346" w:type="dxa"/>
            <w:tcBorders/>
            <w:vAlign w:val="center"/>
          </w:tcPr>
          <w:p>
            <w:pPr>
              <w:pStyle w:val="TableContents"/>
              <w:bidi w:val="0"/>
              <w:spacing w:before="0" w:after="240"/>
              <w:ind w:left="0" w:right="0" w:hanging="0"/>
              <w:jc w:val="left"/>
              <w:rPr/>
            </w:pPr>
            <w:r>
              <w:rPr/>
              <w:t>​</w:t>
            </w:r>
          </w:p>
        </w:tc>
        <w:tc>
          <w:tcPr>
            <w:tcW w:w="156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(I.R.S. Employer</w:t>
            </w:r>
          </w:p>
        </w:tc>
      </w:tr>
      <w:tr>
        <w:trPr/>
        <w:tc>
          <w:tcPr>
            <w:tcW w:w="307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incorporation or organization)</w:t>
            </w:r>
          </w:p>
        </w:tc>
        <w:tc>
          <w:tcPr>
            <w:tcW w:w="346" w:type="dxa"/>
            <w:tcBorders/>
            <w:vAlign w:val="center"/>
          </w:tcPr>
          <w:p>
            <w:pPr>
              <w:pStyle w:val="TableContents"/>
              <w:bidi w:val="0"/>
              <w:spacing w:before="0" w:after="240"/>
              <w:ind w:left="0" w:right="0" w:hanging="0"/>
              <w:jc w:val="left"/>
              <w:rPr/>
            </w:pPr>
            <w:r>
              <w:rPr/>
              <w:t>​</w:t>
            </w:r>
          </w:p>
        </w:tc>
        <w:tc>
          <w:tcPr>
            <w:tcW w:w="156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Identification No.)</w:t>
            </w:r>
          </w:p>
        </w:tc>
      </w:tr>
      <w:tr>
        <w:trPr/>
        <w:tc>
          <w:tcPr>
            <w:tcW w:w="3076" w:type="dxa"/>
            <w:tcBorders/>
            <w:vAlign w:val="center"/>
          </w:tcPr>
          <w:p>
            <w:pPr>
              <w:pStyle w:val="TableContents"/>
              <w:bidi w:val="0"/>
              <w:spacing w:before="0" w:after="240"/>
              <w:ind w:left="0" w:right="0" w:hanging="0"/>
              <w:jc w:val="center"/>
              <w:rPr/>
            </w:pPr>
            <w:r>
              <w:rPr/>
              <w:t>​</w:t>
            </w:r>
          </w:p>
        </w:tc>
        <w:tc>
          <w:tcPr>
            <w:tcW w:w="346" w:type="dxa"/>
            <w:tcBorders/>
            <w:vAlign w:val="center"/>
          </w:tcPr>
          <w:p>
            <w:pPr>
              <w:pStyle w:val="TableContents"/>
              <w:bidi w:val="0"/>
              <w:spacing w:before="0" w:after="240"/>
              <w:ind w:left="0" w:right="0" w:hanging="0"/>
              <w:jc w:val="left"/>
              <w:rPr/>
            </w:pPr>
            <w:r>
              <w:rPr/>
              <w:t>​</w:t>
            </w:r>
          </w:p>
        </w:tc>
        <w:tc>
          <w:tcPr>
            <w:tcW w:w="1561" w:type="dxa"/>
            <w:tcBorders/>
            <w:vAlign w:val="center"/>
          </w:tcPr>
          <w:p>
            <w:pPr>
              <w:pStyle w:val="TableContents"/>
              <w:bidi w:val="0"/>
              <w:spacing w:before="0" w:after="240"/>
              <w:ind w:left="0" w:right="0" w:hanging="0"/>
              <w:jc w:val="center"/>
              <w:rPr/>
            </w:pPr>
            <w:r>
              <w:rPr/>
              <w:t>​</w:t>
            </w:r>
          </w:p>
        </w:tc>
      </w:tr>
      <w:tr>
        <w:trPr/>
        <w:tc>
          <w:tcPr>
            <w:tcW w:w="307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369 N. New York Avenue, Suite 201</w:t>
            </w:r>
          </w:p>
        </w:tc>
        <w:tc>
          <w:tcPr>
            <w:tcW w:w="346" w:type="dxa"/>
            <w:tcBorders/>
            <w:vAlign w:val="center"/>
          </w:tcPr>
          <w:p>
            <w:pPr>
              <w:pStyle w:val="TableContents"/>
              <w:bidi w:val="0"/>
              <w:spacing w:before="0" w:after="240"/>
              <w:ind w:left="0" w:right="0" w:hanging="0"/>
              <w:jc w:val="left"/>
              <w:rPr/>
            </w:pPr>
            <w:r>
              <w:rPr/>
              <w:t>​</w:t>
            </w:r>
          </w:p>
        </w:tc>
        <w:tc>
          <w:tcPr>
            <w:tcW w:w="1561" w:type="dxa"/>
            <w:tcBorders/>
            <w:vAlign w:val="center"/>
          </w:tcPr>
          <w:p>
            <w:pPr>
              <w:pStyle w:val="TableContents"/>
              <w:bidi w:val="0"/>
              <w:spacing w:before="0" w:after="240"/>
              <w:ind w:left="0" w:right="0" w:hanging="0"/>
              <w:jc w:val="center"/>
              <w:rPr/>
            </w:pPr>
            <w:r>
              <w:rPr/>
              <w:t>​</w:t>
            </w:r>
          </w:p>
        </w:tc>
      </w:tr>
      <w:tr>
        <w:trPr/>
        <w:tc>
          <w:tcPr>
            <w:tcW w:w="307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Winter Park, Florida</w:t>
            </w:r>
          </w:p>
        </w:tc>
        <w:tc>
          <w:tcPr>
            <w:tcW w:w="346" w:type="dxa"/>
            <w:tcBorders/>
            <w:vAlign w:val="center"/>
          </w:tcPr>
          <w:p>
            <w:pPr>
              <w:pStyle w:val="TableContents"/>
              <w:bidi w:val="0"/>
              <w:spacing w:before="0" w:after="240"/>
              <w:ind w:left="0" w:right="0" w:hanging="0"/>
              <w:jc w:val="left"/>
              <w:rPr/>
            </w:pPr>
            <w:r>
              <w:rPr/>
              <w:t>​</w:t>
            </w:r>
          </w:p>
        </w:tc>
        <w:tc>
          <w:tcPr>
            <w:tcW w:w="156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32789</w:t>
            </w:r>
          </w:p>
        </w:tc>
      </w:tr>
      <w:tr>
        <w:trPr/>
        <w:tc>
          <w:tcPr>
            <w:tcW w:w="307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(Address of principal executive offices)</w:t>
            </w:r>
          </w:p>
        </w:tc>
        <w:tc>
          <w:tcPr>
            <w:tcW w:w="346" w:type="dxa"/>
            <w:tcBorders/>
            <w:vAlign w:val="center"/>
          </w:tcPr>
          <w:p>
            <w:pPr>
              <w:pStyle w:val="TableContents"/>
              <w:bidi w:val="0"/>
              <w:spacing w:before="0" w:after="240"/>
              <w:ind w:left="0" w:right="0" w:hanging="0"/>
              <w:jc w:val="left"/>
              <w:rPr/>
            </w:pPr>
            <w:r>
              <w:rPr/>
              <w:t>​</w:t>
            </w:r>
          </w:p>
        </w:tc>
        <w:tc>
          <w:tcPr>
            <w:tcW w:w="156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(Zip Code)</w:t>
            </w:r>
          </w:p>
        </w:tc>
      </w:tr>
    </w:tbl>
    <w:p>
      <w:pPr>
        <w:pStyle w:val="TextBody"/>
        <w:bidi w:val="0"/>
        <w:spacing w:before="0" w:after="240"/>
        <w:ind w:left="0" w:right="0" w:hanging="0"/>
        <w:jc w:val="left"/>
        <w:rPr/>
      </w:pPr>
      <w:r>
        <w:rPr/>
        <w: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(407) 904-3324</w:t>
      </w:r>
    </w:p>
    <w:p>
      <w:pPr>
        <w:pStyle w:val="TextBody"/>
        <w:bidi w:val="0"/>
        <w:spacing w:before="0" w:after="60"/>
        <w:ind w:left="0" w:right="0" w:hanging="0"/>
        <w:jc w:val="center"/>
        <w:rPr>
          <w:rFonts w:ascii="Times New Roman;Times;serif" w:hAnsi="Times New Roman;Times;serif"/>
          <w:b/>
          <w:sz w:val="18"/>
        </w:rPr>
      </w:pPr>
      <w:r>
        <w:rPr>
          <w:rFonts w:ascii="Times New Roman;Times;serif" w:hAnsi="Times New Roman;Times;serif"/>
          <w:b/>
          <w:sz w:val="18"/>
        </w:rPr>
        <w:t>(Registrant’s telephone number, including area code)</w:t>
      </w:r>
    </w:p>
    <w:p>
      <w:pPr>
        <w:pStyle w:val="TextBody"/>
        <w:bidi w:val="0"/>
        <w:spacing w:before="0" w:after="240"/>
        <w:ind w:left="0" w:right="0" w:hanging="0"/>
        <w:jc w:val="center"/>
        <w:rPr/>
      </w:pPr>
      <w:r>
        <w:rPr/>
        <w:t>​</w:t>
      </w:r>
    </w:p>
    <w:p>
      <w:pPr>
        <w:pStyle w:val="TextBody"/>
        <w:bidi w:val="0"/>
        <w:spacing w:before="0" w:after="60"/>
        <w:ind w:left="0" w:right="0" w:hanging="0"/>
        <w:jc w:val="center"/>
        <w:rPr>
          <w:rFonts w:ascii="Times New Roman;Times;serif" w:hAnsi="Times New Roman;Times;serif"/>
          <w:b/>
          <w:sz w:val="18"/>
        </w:rPr>
      </w:pPr>
      <w:r>
        <w:rPr>
          <w:rFonts w:ascii="Times New Roman;Times;serif" w:hAnsi="Times New Roman;Times;serif"/>
          <w:b/>
          <w:sz w:val="18"/>
        </w:rPr>
        <w:t>N/A</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(Former name, former address and former fiscal year, if changed since last report)</w:t>
      </w:r>
    </w:p>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sz w:val="18"/>
        </w:rPr>
        <w:t>Securities registered pursuant to Section 12(b) of the Act:</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21" w:name="Tc_-FUvTLyblU20fWA_FFVm8g_2_4"/>
      <w:bookmarkStart w:id="22" w:name="Tc_JI1q4JOXxUa_rnStaYyFsw_2_2"/>
      <w:bookmarkStart w:id="23" w:name="Tc_opFVh0O2YUyAVi8LKfx1Wg_2_0"/>
      <w:bookmarkStart w:id="24" w:name="_1536ceb9_0241_471b_a216_3fa5ec93ef25"/>
      <w:bookmarkStart w:id="25" w:name="Tc_-FUvTLyblU20fWA_FFVm8g_2_4"/>
      <w:bookmarkStart w:id="26" w:name="Tc_JI1q4JOXxUa_rnStaYyFsw_2_2"/>
      <w:bookmarkStart w:id="27" w:name="Tc_opFVh0O2YUyAVi8LKfx1Wg_2_0"/>
      <w:bookmarkStart w:id="28" w:name="_1536ceb9_0241_471b_a216_3fa5ec93ef25"/>
      <w:bookmarkEnd w:id="25"/>
      <w:bookmarkEnd w:id="26"/>
      <w:bookmarkEnd w:id="27"/>
      <w:bookmarkEnd w:id="28"/>
    </w:p>
    <w:tbl>
      <w:tblPr>
        <w:tblW w:w="10205" w:type="dxa"/>
        <w:jc w:val="left"/>
        <w:tblInd w:w="0" w:type="dxa"/>
        <w:tblLayout w:type="fixed"/>
        <w:tblCellMar>
          <w:top w:w="0" w:type="dxa"/>
          <w:left w:w="0" w:type="dxa"/>
          <w:bottom w:w="0" w:type="dxa"/>
          <w:right w:w="0" w:type="dxa"/>
        </w:tblCellMar>
      </w:tblPr>
      <w:tblGrid>
        <w:gridCol w:w="4871"/>
        <w:gridCol w:w="346"/>
        <w:gridCol w:w="1123"/>
        <w:gridCol w:w="346"/>
        <w:gridCol w:w="3519"/>
      </w:tblGrid>
      <w:tr>
        <w:trPr/>
        <w:tc>
          <w:tcPr>
            <w:tcW w:w="4871"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1123"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3519" w:type="dxa"/>
            <w:tcBorders/>
            <w:vAlign w:val="center"/>
          </w:tcPr>
          <w:p>
            <w:pPr>
              <w:pStyle w:val="TableContents"/>
              <w:bidi w:val="0"/>
              <w:spacing w:before="0" w:after="283"/>
              <w:ind w:left="0" w:right="0" w:hanging="0"/>
              <w:jc w:val="left"/>
              <w:rPr>
                <w:sz w:val="4"/>
                <w:szCs w:val="4"/>
              </w:rPr>
            </w:pPr>
            <w:r>
              <w:rPr>
                <w:sz w:val="4"/>
                <w:szCs w:val="4"/>
              </w:rPr>
            </w:r>
          </w:p>
        </w:tc>
      </w:tr>
      <w:tr>
        <w:trPr/>
        <w:tc>
          <w:tcPr>
            <w:tcW w:w="4871"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1123"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3519" w:type="dxa"/>
            <w:tcBorders/>
            <w:vAlign w:val="center"/>
          </w:tcPr>
          <w:p>
            <w:pPr>
              <w:pStyle w:val="TableContents"/>
              <w:bidi w:val="0"/>
              <w:spacing w:before="0" w:after="283"/>
              <w:ind w:left="0" w:right="0" w:hanging="0"/>
              <w:jc w:val="left"/>
              <w:rPr>
                <w:sz w:val="4"/>
                <w:szCs w:val="4"/>
              </w:rPr>
            </w:pPr>
            <w:r>
              <w:rPr>
                <w:sz w:val="4"/>
                <w:szCs w:val="4"/>
              </w:rPr>
            </w:r>
          </w:p>
        </w:tc>
      </w:tr>
      <w:tr>
        <w:trPr/>
        <w:tc>
          <w:tcPr>
            <w:tcW w:w="48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Title of each class:</w:t>
            </w:r>
          </w:p>
        </w:tc>
        <w:tc>
          <w:tcPr>
            <w:tcW w:w="346" w:type="dxa"/>
            <w:tcBorders/>
            <w:vAlign w:val="center"/>
          </w:tcPr>
          <w:p>
            <w:pPr>
              <w:pStyle w:val="TableContents"/>
              <w:bidi w:val="0"/>
              <w:spacing w:before="0" w:after="0"/>
              <w:ind w:left="0" w:right="0" w:hanging="0"/>
              <w:jc w:val="center"/>
              <w:rPr/>
            </w:pPr>
            <w:r>
              <w:rPr/>
              <w:t>  ​ ​ ​</w:t>
            </w:r>
          </w:p>
        </w:tc>
        <w:tc>
          <w:tcPr>
            <w:tcW w:w="112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Trading Symbol</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center"/>
              <w:rPr/>
            </w:pPr>
            <w:r>
              <w:rPr/>
              <w:t>  ​ ​ ​</w:t>
            </w:r>
          </w:p>
        </w:tc>
        <w:tc>
          <w:tcPr>
            <w:tcW w:w="351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Name of each exchange on which registered:</w:t>
            </w:r>
          </w:p>
        </w:tc>
      </w:tr>
      <w:tr>
        <w:trPr/>
        <w:tc>
          <w:tcPr>
            <w:tcW w:w="487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 STOCK, $0.01 PAR VALUE</w:t>
            </w:r>
          </w:p>
        </w:tc>
        <w:tc>
          <w:tcPr>
            <w:tcW w:w="346" w:type="dxa"/>
            <w:tcBorders/>
            <w:vAlign w:val="center"/>
          </w:tcPr>
          <w:p>
            <w:pPr>
              <w:pStyle w:val="TableContents"/>
              <w:bidi w:val="0"/>
              <w:spacing w:before="0" w:after="240"/>
              <w:ind w:left="0" w:right="0" w:hanging="0"/>
              <w:jc w:val="left"/>
              <w:rPr/>
            </w:pPr>
            <w:r>
              <w:rPr/>
              <w:t>​</w:t>
            </w:r>
          </w:p>
        </w:tc>
        <w:tc>
          <w:tcPr>
            <w:tcW w:w="1123"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PINE</w:t>
            </w:r>
          </w:p>
        </w:tc>
        <w:tc>
          <w:tcPr>
            <w:tcW w:w="346" w:type="dxa"/>
            <w:tcBorders/>
            <w:vAlign w:val="center"/>
          </w:tcPr>
          <w:p>
            <w:pPr>
              <w:pStyle w:val="TableContents"/>
              <w:bidi w:val="0"/>
              <w:spacing w:before="0" w:after="240"/>
              <w:ind w:left="0" w:right="0" w:hanging="0"/>
              <w:jc w:val="left"/>
              <w:rPr/>
            </w:pPr>
            <w:r>
              <w:rPr/>
              <w:t>​</w:t>
            </w:r>
          </w:p>
        </w:tc>
        <w:tc>
          <w:tcPr>
            <w:tcW w:w="3519"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NYSE</w:t>
            </w:r>
          </w:p>
        </w:tc>
      </w:tr>
      <w:tr>
        <w:trPr/>
        <w:tc>
          <w:tcPr>
            <w:tcW w:w="4871" w:type="dxa"/>
            <w:tcBorders/>
            <w:vAlign w:val="center"/>
          </w:tcPr>
          <w:p>
            <w:pPr>
              <w:pStyle w:val="TableContents"/>
              <w:bidi w:val="0"/>
              <w:spacing w:before="0" w:after="240"/>
              <w:ind w:left="0" w:right="0" w:hanging="0"/>
              <w:jc w:val="center"/>
              <w:rPr/>
            </w:pPr>
            <w:r>
              <w:rPr/>
              <w:t>​</w:t>
            </w:r>
          </w:p>
        </w:tc>
        <w:tc>
          <w:tcPr>
            <w:tcW w:w="346" w:type="dxa"/>
            <w:tcBorders/>
            <w:vAlign w:val="center"/>
          </w:tcPr>
          <w:p>
            <w:pPr>
              <w:pStyle w:val="TableContents"/>
              <w:bidi w:val="0"/>
              <w:spacing w:before="0" w:after="240"/>
              <w:ind w:left="0" w:right="0" w:hanging="0"/>
              <w:jc w:val="left"/>
              <w:rPr/>
            </w:pPr>
            <w:r>
              <w:rPr/>
              <w:t>​</w:t>
            </w:r>
          </w:p>
        </w:tc>
        <w:tc>
          <w:tcPr>
            <w:tcW w:w="1123" w:type="dxa"/>
            <w:tcBorders/>
            <w:vAlign w:val="center"/>
          </w:tcPr>
          <w:p>
            <w:pPr>
              <w:pStyle w:val="TableContents"/>
              <w:bidi w:val="0"/>
              <w:spacing w:before="0" w:after="240"/>
              <w:ind w:left="0" w:right="0" w:hanging="0"/>
              <w:jc w:val="center"/>
              <w:rPr/>
            </w:pPr>
            <w:r>
              <w:rPr/>
              <w:t>​</w:t>
            </w:r>
          </w:p>
        </w:tc>
        <w:tc>
          <w:tcPr>
            <w:tcW w:w="346" w:type="dxa"/>
            <w:tcBorders/>
            <w:vAlign w:val="center"/>
          </w:tcPr>
          <w:p>
            <w:pPr>
              <w:pStyle w:val="TableContents"/>
              <w:bidi w:val="0"/>
              <w:spacing w:before="0" w:after="240"/>
              <w:ind w:left="0" w:right="0" w:hanging="0"/>
              <w:jc w:val="left"/>
              <w:rPr/>
            </w:pPr>
            <w:r>
              <w:rPr/>
              <w:t>​</w:t>
            </w:r>
          </w:p>
        </w:tc>
        <w:tc>
          <w:tcPr>
            <w:tcW w:w="3519" w:type="dxa"/>
            <w:tcBorders/>
            <w:vAlign w:val="center"/>
          </w:tcPr>
          <w:p>
            <w:pPr>
              <w:pStyle w:val="TableContents"/>
              <w:bidi w:val="0"/>
              <w:spacing w:before="0" w:after="240"/>
              <w:ind w:left="0" w:right="0" w:hanging="0"/>
              <w:jc w:val="center"/>
              <w:rPr/>
            </w:pPr>
            <w:r>
              <w:rPr/>
              <w:t>​</w:t>
            </w:r>
          </w:p>
        </w:tc>
      </w:tr>
      <w:tr>
        <w:trPr/>
        <w:tc>
          <w:tcPr>
            <w:tcW w:w="48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8.000% SERIES A CUMULATIVE REDEEMABLE PREFERRED STOCK, $0.01 PAR VALUE</w:t>
            </w:r>
          </w:p>
        </w:tc>
        <w:tc>
          <w:tcPr>
            <w:tcW w:w="346" w:type="dxa"/>
            <w:tcBorders/>
            <w:vAlign w:val="center"/>
          </w:tcPr>
          <w:p>
            <w:pPr>
              <w:pStyle w:val="TableContents"/>
              <w:bidi w:val="0"/>
              <w:spacing w:before="0" w:after="240"/>
              <w:ind w:left="0" w:right="0" w:hanging="0"/>
              <w:jc w:val="left"/>
              <w:rPr/>
            </w:pPr>
            <w:r>
              <w:rPr/>
              <w:t>​</w:t>
            </w:r>
          </w:p>
        </w:tc>
        <w:tc>
          <w:tcPr>
            <w:tcW w:w="1123" w:type="dxa"/>
            <w:tcBorders/>
            <w:vAlign w:val="center"/>
          </w:tcPr>
          <w:p>
            <w:pPr>
              <w:pStyle w:val="TableContents"/>
              <w:bidi w:val="0"/>
              <w:spacing w:before="0" w:after="240"/>
              <w:ind w:left="0" w:right="0" w:hanging="0"/>
              <w:jc w:val="center"/>
              <w:rPr/>
            </w:pPr>
            <w:r>
              <w:rPr/>
              <w:t>​</w:t>
            </w:r>
          </w:p>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PINE/PA</w:t>
            </w:r>
          </w:p>
        </w:tc>
        <w:tc>
          <w:tcPr>
            <w:tcW w:w="346" w:type="dxa"/>
            <w:tcBorders/>
            <w:vAlign w:val="center"/>
          </w:tcPr>
          <w:p>
            <w:pPr>
              <w:pStyle w:val="TableContents"/>
              <w:bidi w:val="0"/>
              <w:spacing w:before="0" w:after="240"/>
              <w:ind w:left="0" w:right="0" w:hanging="0"/>
              <w:jc w:val="left"/>
              <w:rPr/>
            </w:pPr>
            <w:r>
              <w:rPr/>
              <w:t>​</w:t>
            </w:r>
          </w:p>
        </w:tc>
        <w:tc>
          <w:tcPr>
            <w:tcW w:w="3519" w:type="dxa"/>
            <w:tcBorders/>
            <w:vAlign w:val="center"/>
          </w:tcPr>
          <w:p>
            <w:pPr>
              <w:pStyle w:val="TableContents"/>
              <w:bidi w:val="0"/>
              <w:spacing w:before="0" w:after="240"/>
              <w:ind w:left="0" w:right="0" w:hanging="0"/>
              <w:jc w:val="center"/>
              <w:rPr/>
            </w:pPr>
            <w:r>
              <w:rPr/>
              <w:t>​</w:t>
            </w:r>
          </w:p>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NYSE</w:t>
            </w:r>
          </w:p>
        </w:tc>
      </w:tr>
    </w:tbl>
    <w:p>
      <w:pPr>
        <w:pStyle w:val="TextBody"/>
        <w:bidi w:val="0"/>
        <w:spacing w:before="0" w:after="0"/>
        <w:ind w:left="0" w:right="0" w:hanging="0"/>
        <w:jc w:val="left"/>
        <w:rPr/>
      </w:pPr>
      <w:r>
        <w:rPr/>
        <w:t>​</w:t>
      </w:r>
    </w:p>
    <w:p>
      <w:pPr>
        <w:pStyle w:val="TextBody"/>
        <w:bidi w:val="0"/>
        <w:spacing w:before="0" w:after="60"/>
        <w:ind w:left="0" w:right="0" w:firstLine="490"/>
        <w:jc w:val="both"/>
        <w:rPr>
          <w:rFonts w:ascii="Times New Roman;Times;serif" w:hAnsi="Times New Roman;Times;serif"/>
          <w:sz w:val="20"/>
        </w:rPr>
      </w:pPr>
      <w:r>
        <w:rPr>
          <w:rFonts w:ascii="Times New Roman;Times;serif" w:hAnsi="Times New Roman;Times;serif"/>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Times;serif" w:hAnsi="Times New Roman;Times;serif"/>
          <w:sz w:val="20"/>
        </w:rPr>
        <w:t>  ☒    </w:t>
      </w:r>
      <w:r>
        <w:rPr>
          <w:rFonts w:ascii="Times New Roman;Times;serif" w:hAnsi="Times New Roman;Times;serif"/>
          <w:sz w:val="18"/>
        </w:rPr>
        <w:t>No  </w:t>
      </w:r>
      <w:r>
        <w:rPr>
          <w:rFonts w:ascii="Times New Roman;Times;serif" w:hAnsi="Times New Roman;Times;serif"/>
          <w:sz w:val="20"/>
        </w:rPr>
        <w:t>☐</w:t>
      </w:r>
    </w:p>
    <w:p>
      <w:pPr>
        <w:pStyle w:val="TextBody"/>
        <w:bidi w:val="0"/>
        <w:spacing w:before="0" w:after="60"/>
        <w:ind w:left="0" w:right="0" w:firstLine="490"/>
        <w:jc w:val="both"/>
        <w:rPr>
          <w:rFonts w:ascii="Times New Roman;Times;serif" w:hAnsi="Times New Roman;Times;serif"/>
          <w:sz w:val="20"/>
        </w:rPr>
      </w:pPr>
      <w:r>
        <w:rPr>
          <w:rFonts w:ascii="Times New Roman;Times;serif" w:hAnsi="Times New Roman;Times;serif"/>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Times;serif" w:hAnsi="Times New Roman;Times;serif"/>
          <w:sz w:val="20"/>
        </w:rPr>
        <w:t>  ☒    </w:t>
      </w:r>
      <w:r>
        <w:rPr>
          <w:rFonts w:ascii="Times New Roman;Times;serif" w:hAnsi="Times New Roman;Times;serif"/>
          <w:sz w:val="18"/>
        </w:rPr>
        <w:t>No  </w:t>
      </w:r>
      <w:r>
        <w:rPr>
          <w:rFonts w:ascii="Times New Roman;Times;serif" w:hAnsi="Times New Roman;Times;serif"/>
          <w:sz w:val="20"/>
        </w:rPr>
        <w:t>☐</w:t>
      </w:r>
    </w:p>
    <w:p>
      <w:pPr>
        <w:pStyle w:val="TextBody"/>
        <w:bidi w:val="0"/>
        <w:spacing w:before="0" w:after="60"/>
        <w:ind w:left="0" w:right="0" w:firstLine="490"/>
        <w:jc w:val="both"/>
        <w:rPr>
          <w:rFonts w:ascii="Times New Roman;Times;serif" w:hAnsi="Times New Roman;Times;serif"/>
          <w:sz w:val="18"/>
        </w:rPr>
      </w:pPr>
      <w:r>
        <w:rPr>
          <w:rFonts w:ascii="Times New Roman;Times;serif" w:hAnsi="Times New Roman;Times;serif"/>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29" w:name="Tc_cliMdKbhfUKDUc4_V28YLg_6_3"/>
      <w:bookmarkStart w:id="30" w:name="Tc_r6cTzg-nik2vB1o9jxruhQ_4_3"/>
      <w:bookmarkStart w:id="31" w:name="Tc_MIhjcsSuDUO-wu9AzmrhVw_4_1"/>
      <w:bookmarkStart w:id="32" w:name="Tc_1fgUBt_n1UOb4FzznRKiiQ_2_4"/>
      <w:bookmarkStart w:id="33" w:name="Tc_C1k-uk3cG0u2EgQnDdVexw_2_3"/>
      <w:bookmarkStart w:id="34" w:name="Tc_wsR9R9nJJkuWrl5xcyYiuw_2_1"/>
      <w:bookmarkStart w:id="35" w:name="Tc__3MUdFDWDEuuxXeMFMbWsw_2_0"/>
      <w:bookmarkStart w:id="36" w:name="_69ae665a_488f_4825_83e1_822e2ddc4339"/>
      <w:bookmarkStart w:id="37" w:name="Tc_cliMdKbhfUKDUc4_V28YLg_6_3"/>
      <w:bookmarkStart w:id="38" w:name="Tc_r6cTzg-nik2vB1o9jxruhQ_4_3"/>
      <w:bookmarkStart w:id="39" w:name="Tc_MIhjcsSuDUO-wu9AzmrhVw_4_1"/>
      <w:bookmarkStart w:id="40" w:name="Tc_1fgUBt_n1UOb4FzznRKiiQ_2_4"/>
      <w:bookmarkStart w:id="41" w:name="Tc_C1k-uk3cG0u2EgQnDdVexw_2_3"/>
      <w:bookmarkStart w:id="42" w:name="Tc_wsR9R9nJJkuWrl5xcyYiuw_2_1"/>
      <w:bookmarkStart w:id="43" w:name="Tc__3MUdFDWDEuuxXeMFMbWsw_2_0"/>
      <w:bookmarkStart w:id="44" w:name="_69ae665a_488f_4825_83e1_822e2ddc4339"/>
      <w:bookmarkEnd w:id="37"/>
      <w:bookmarkEnd w:id="38"/>
      <w:bookmarkEnd w:id="39"/>
      <w:bookmarkEnd w:id="40"/>
      <w:bookmarkEnd w:id="41"/>
      <w:bookmarkEnd w:id="42"/>
      <w:bookmarkEnd w:id="43"/>
      <w:bookmarkEnd w:id="44"/>
    </w:p>
    <w:tbl>
      <w:tblPr>
        <w:tblW w:w="4808" w:type="dxa"/>
        <w:jc w:val="left"/>
        <w:tblInd w:w="0" w:type="dxa"/>
        <w:tblLayout w:type="fixed"/>
        <w:tblCellMar>
          <w:top w:w="0" w:type="dxa"/>
          <w:left w:w="0" w:type="dxa"/>
          <w:bottom w:w="0" w:type="dxa"/>
          <w:right w:w="0" w:type="dxa"/>
        </w:tblCellMar>
      </w:tblPr>
      <w:tblGrid>
        <w:gridCol w:w="1771"/>
        <w:gridCol w:w="436"/>
        <w:gridCol w:w="109"/>
        <w:gridCol w:w="2131"/>
        <w:gridCol w:w="361"/>
      </w:tblGrid>
      <w:tr>
        <w:trPr/>
        <w:tc>
          <w:tcPr>
            <w:tcW w:w="177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31"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r>
      <w:tr>
        <w:trPr/>
        <w:tc>
          <w:tcPr>
            <w:tcW w:w="1771" w:type="dxa"/>
            <w:tcBorders/>
            <w:vAlign w:val="center"/>
          </w:tcPr>
          <w:p>
            <w:pPr>
              <w:pStyle w:val="TableContents"/>
              <w:bidi w:val="0"/>
              <w:spacing w:before="0" w:after="240"/>
              <w:ind w:left="0" w:right="0" w:hanging="0"/>
              <w:jc w:val="left"/>
              <w:rPr/>
            </w:pPr>
            <w:r>
              <w:rPr/>
              <w:t>​</w:t>
            </w:r>
          </w:p>
        </w:tc>
        <w:tc>
          <w:tcPr>
            <w:tcW w:w="436" w:type="dxa"/>
            <w:tcBorders/>
            <w:vAlign w:val="center"/>
          </w:tcPr>
          <w:p>
            <w:pPr>
              <w:pStyle w:val="TableContents"/>
              <w:bidi w:val="0"/>
              <w:spacing w:before="0" w:after="240"/>
              <w:ind w:left="0" w:right="0" w:hanging="0"/>
              <w:jc w:val="left"/>
              <w:rPr/>
            </w:pPr>
            <w:r>
              <w:rPr/>
              <w:t>​</w:t>
            </w:r>
          </w:p>
        </w:tc>
        <w:tc>
          <w:tcPr>
            <w:tcW w:w="109" w:type="dxa"/>
            <w:tcBorders/>
            <w:vAlign w:val="center"/>
          </w:tcPr>
          <w:p>
            <w:pPr>
              <w:pStyle w:val="TableContents"/>
              <w:bidi w:val="0"/>
              <w:spacing w:before="0" w:after="240"/>
              <w:ind w:left="0" w:right="0" w:hanging="0"/>
              <w:jc w:val="left"/>
              <w:rPr/>
            </w:pPr>
            <w:r>
              <w:rPr/>
              <w:t>​</w:t>
            </w:r>
          </w:p>
        </w:tc>
        <w:tc>
          <w:tcPr>
            <w:tcW w:w="2131" w:type="dxa"/>
            <w:tcBorders/>
            <w:vAlign w:val="center"/>
          </w:tcPr>
          <w:p>
            <w:pPr>
              <w:pStyle w:val="TableContents"/>
              <w:bidi w:val="0"/>
              <w:spacing w:before="0" w:after="240"/>
              <w:ind w:left="0" w:right="0" w:hanging="0"/>
              <w:jc w:val="left"/>
              <w:rPr/>
            </w:pPr>
            <w:r>
              <w:rPr/>
              <w:t>​</w:t>
            </w:r>
          </w:p>
        </w:tc>
        <w:tc>
          <w:tcPr>
            <w:tcW w:w="361" w:type="dxa"/>
            <w:tcBorders/>
            <w:vAlign w:val="center"/>
          </w:tcPr>
          <w:p>
            <w:pPr>
              <w:pStyle w:val="TableContents"/>
              <w:bidi w:val="0"/>
              <w:spacing w:before="0" w:after="240"/>
              <w:ind w:left="0" w:right="0" w:hanging="0"/>
              <w:jc w:val="left"/>
              <w:rPr/>
            </w:pPr>
            <w:r>
              <w:rPr/>
              <w:t>​</w:t>
            </w:r>
          </w:p>
        </w:tc>
      </w:tr>
      <w:tr>
        <w:trPr/>
        <w:tc>
          <w:tcPr>
            <w:tcW w:w="17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Large Accelerated Filer</w:t>
            </w:r>
          </w:p>
        </w:tc>
        <w:tc>
          <w:tcPr>
            <w:tcW w:w="43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40"/>
              <w:ind w:left="0" w:right="0" w:hanging="0"/>
              <w:jc w:val="left"/>
              <w:rPr/>
            </w:pPr>
            <w:r>
              <w:rPr/>
              <w:t>​</w:t>
            </w:r>
          </w:p>
        </w:tc>
        <w:tc>
          <w:tcPr>
            <w:tcW w:w="213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Accelerated Filer</w:t>
            </w:r>
          </w:p>
        </w:tc>
        <w:tc>
          <w:tcPr>
            <w:tcW w:w="361" w:type="dxa"/>
            <w:tcBorders/>
            <w:vAlign w:val="center"/>
          </w:tcPr>
          <w:p>
            <w:pPr>
              <w:pStyle w:val="TableContents"/>
              <w:bidi w:val="0"/>
              <w:spacing w:before="0" w:after="0"/>
              <w:ind w:left="0" w:right="0" w:hanging="0"/>
              <w:jc w:val="left"/>
              <w:rPr/>
            </w:pPr>
            <w:r>
              <w:rPr/>
              <w:t>☐</w:t>
            </w:r>
          </w:p>
        </w:tc>
      </w:tr>
      <w:tr>
        <w:trPr/>
        <w:tc>
          <w:tcPr>
            <w:tcW w:w="1771" w:type="dxa"/>
            <w:tcBorders/>
            <w:vAlign w:val="center"/>
          </w:tcPr>
          <w:p>
            <w:pPr>
              <w:pStyle w:val="TableContents"/>
              <w:bidi w:val="0"/>
              <w:spacing w:before="0" w:after="240"/>
              <w:ind w:left="0" w:right="0" w:hanging="0"/>
              <w:jc w:val="left"/>
              <w:rPr/>
            </w:pPr>
            <w:r>
              <w:rPr/>
              <w:t>​</w:t>
            </w:r>
          </w:p>
        </w:tc>
        <w:tc>
          <w:tcPr>
            <w:tcW w:w="436" w:type="dxa"/>
            <w:tcBorders/>
            <w:vAlign w:val="center"/>
          </w:tcPr>
          <w:p>
            <w:pPr>
              <w:pStyle w:val="TableContents"/>
              <w:bidi w:val="0"/>
              <w:spacing w:before="0" w:after="240"/>
              <w:ind w:left="0" w:right="0" w:hanging="0"/>
              <w:jc w:val="left"/>
              <w:rPr/>
            </w:pPr>
            <w:r>
              <w:rPr/>
              <w:t>​</w:t>
            </w:r>
          </w:p>
        </w:tc>
        <w:tc>
          <w:tcPr>
            <w:tcW w:w="109" w:type="dxa"/>
            <w:tcBorders/>
            <w:vAlign w:val="center"/>
          </w:tcPr>
          <w:p>
            <w:pPr>
              <w:pStyle w:val="TableContents"/>
              <w:bidi w:val="0"/>
              <w:spacing w:before="0" w:after="240"/>
              <w:ind w:left="0" w:right="0" w:hanging="0"/>
              <w:jc w:val="left"/>
              <w:rPr/>
            </w:pPr>
            <w:r>
              <w:rPr/>
              <w:t>​</w:t>
            </w:r>
          </w:p>
        </w:tc>
        <w:tc>
          <w:tcPr>
            <w:tcW w:w="2131" w:type="dxa"/>
            <w:tcBorders/>
            <w:vAlign w:val="center"/>
          </w:tcPr>
          <w:p>
            <w:pPr>
              <w:pStyle w:val="TableContents"/>
              <w:bidi w:val="0"/>
              <w:spacing w:before="0" w:after="240"/>
              <w:ind w:left="0" w:right="0" w:hanging="0"/>
              <w:jc w:val="left"/>
              <w:rPr/>
            </w:pPr>
            <w:r>
              <w:rPr/>
              <w:t>​</w:t>
            </w:r>
          </w:p>
        </w:tc>
        <w:tc>
          <w:tcPr>
            <w:tcW w:w="361" w:type="dxa"/>
            <w:tcBorders/>
            <w:vAlign w:val="center"/>
          </w:tcPr>
          <w:p>
            <w:pPr>
              <w:pStyle w:val="TableContents"/>
              <w:bidi w:val="0"/>
              <w:spacing w:before="0" w:after="240"/>
              <w:ind w:left="0" w:right="0" w:hanging="0"/>
              <w:jc w:val="left"/>
              <w:rPr/>
            </w:pPr>
            <w:r>
              <w:rPr/>
              <w:t>​</w:t>
            </w:r>
          </w:p>
        </w:tc>
      </w:tr>
      <w:tr>
        <w:trPr/>
        <w:tc>
          <w:tcPr>
            <w:tcW w:w="17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Non-accelerated Filer</w:t>
            </w:r>
          </w:p>
        </w:tc>
        <w:tc>
          <w:tcPr>
            <w:tcW w:w="436"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240"/>
              <w:ind w:left="0" w:right="0" w:hanging="0"/>
              <w:jc w:val="left"/>
              <w:rPr/>
            </w:pPr>
            <w:r>
              <w:rPr/>
              <w:t>​</w:t>
            </w:r>
          </w:p>
        </w:tc>
        <w:tc>
          <w:tcPr>
            <w:tcW w:w="213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Smaller Reporting Company</w:t>
            </w:r>
          </w:p>
        </w:tc>
        <w:tc>
          <w:tcPr>
            <w:tcW w:w="361" w:type="dxa"/>
            <w:tcBorders/>
            <w:vAlign w:val="center"/>
          </w:tcPr>
          <w:p>
            <w:pPr>
              <w:pStyle w:val="TableContents"/>
              <w:bidi w:val="0"/>
              <w:spacing w:before="0" w:after="0"/>
              <w:ind w:left="0" w:right="0" w:hanging="0"/>
              <w:jc w:val="left"/>
              <w:rPr/>
            </w:pPr>
            <w:r>
              <w:rPr/>
              <w:t>☒</w:t>
            </w:r>
          </w:p>
        </w:tc>
      </w:tr>
      <w:tr>
        <w:trPr/>
        <w:tc>
          <w:tcPr>
            <w:tcW w:w="1771" w:type="dxa"/>
            <w:tcBorders/>
            <w:vAlign w:val="center"/>
          </w:tcPr>
          <w:p>
            <w:pPr>
              <w:pStyle w:val="TableContents"/>
              <w:bidi w:val="0"/>
              <w:spacing w:before="0" w:after="240"/>
              <w:ind w:left="0" w:right="0" w:hanging="0"/>
              <w:jc w:val="left"/>
              <w:rPr/>
            </w:pPr>
            <w:r>
              <w:rPr/>
              <w:t>​</w:t>
            </w:r>
          </w:p>
        </w:tc>
        <w:tc>
          <w:tcPr>
            <w:tcW w:w="436" w:type="dxa"/>
            <w:tcBorders/>
            <w:vAlign w:val="center"/>
          </w:tcPr>
          <w:p>
            <w:pPr>
              <w:pStyle w:val="TableContents"/>
              <w:bidi w:val="0"/>
              <w:spacing w:before="0" w:after="240"/>
              <w:ind w:left="0" w:right="0" w:hanging="0"/>
              <w:jc w:val="left"/>
              <w:rPr/>
            </w:pPr>
            <w:r>
              <w:rPr/>
              <w:t>​</w:t>
            </w:r>
          </w:p>
        </w:tc>
        <w:tc>
          <w:tcPr>
            <w:tcW w:w="109" w:type="dxa"/>
            <w:tcBorders/>
            <w:vAlign w:val="center"/>
          </w:tcPr>
          <w:p>
            <w:pPr>
              <w:pStyle w:val="TableContents"/>
              <w:bidi w:val="0"/>
              <w:spacing w:before="0" w:after="240"/>
              <w:ind w:left="0" w:right="0" w:hanging="0"/>
              <w:jc w:val="left"/>
              <w:rPr/>
            </w:pPr>
            <w:r>
              <w:rPr/>
              <w:t>​</w:t>
            </w:r>
          </w:p>
        </w:tc>
        <w:tc>
          <w:tcPr>
            <w:tcW w:w="2131" w:type="dxa"/>
            <w:tcBorders/>
            <w:vAlign w:val="center"/>
          </w:tcPr>
          <w:p>
            <w:pPr>
              <w:pStyle w:val="TableContents"/>
              <w:bidi w:val="0"/>
              <w:spacing w:before="0" w:after="240"/>
              <w:ind w:left="0" w:right="0" w:hanging="0"/>
              <w:jc w:val="left"/>
              <w:rPr/>
            </w:pPr>
            <w:r>
              <w:rPr/>
              <w:t>​</w:t>
            </w:r>
          </w:p>
        </w:tc>
        <w:tc>
          <w:tcPr>
            <w:tcW w:w="361" w:type="dxa"/>
            <w:tcBorders/>
            <w:vAlign w:val="center"/>
          </w:tcPr>
          <w:p>
            <w:pPr>
              <w:pStyle w:val="TableContents"/>
              <w:bidi w:val="0"/>
              <w:spacing w:before="0" w:after="240"/>
              <w:ind w:left="0" w:right="0" w:hanging="0"/>
              <w:jc w:val="left"/>
              <w:rPr/>
            </w:pPr>
            <w:r>
              <w:rPr/>
              <w:t>​</w:t>
            </w:r>
          </w:p>
        </w:tc>
      </w:tr>
      <w:tr>
        <w:trPr/>
        <w:tc>
          <w:tcPr>
            <w:tcW w:w="1771" w:type="dxa"/>
            <w:tcBorders/>
            <w:vAlign w:val="center"/>
          </w:tcPr>
          <w:p>
            <w:pPr>
              <w:pStyle w:val="TableContents"/>
              <w:bidi w:val="0"/>
              <w:spacing w:before="0" w:after="240"/>
              <w:ind w:left="0" w:right="0" w:hanging="0"/>
              <w:jc w:val="left"/>
              <w:rPr/>
            </w:pPr>
            <w:r>
              <w:rPr/>
              <w:t>​</w:t>
            </w:r>
          </w:p>
        </w:tc>
        <w:tc>
          <w:tcPr>
            <w:tcW w:w="436" w:type="dxa"/>
            <w:tcBorders/>
            <w:vAlign w:val="center"/>
          </w:tcPr>
          <w:p>
            <w:pPr>
              <w:pStyle w:val="TableContents"/>
              <w:bidi w:val="0"/>
              <w:spacing w:before="0" w:after="240"/>
              <w:ind w:left="0" w:right="0" w:hanging="0"/>
              <w:jc w:val="left"/>
              <w:rPr/>
            </w:pPr>
            <w:r>
              <w:rPr/>
              <w:t>​</w:t>
            </w:r>
          </w:p>
        </w:tc>
        <w:tc>
          <w:tcPr>
            <w:tcW w:w="109" w:type="dxa"/>
            <w:tcBorders/>
            <w:vAlign w:val="center"/>
          </w:tcPr>
          <w:p>
            <w:pPr>
              <w:pStyle w:val="TableContents"/>
              <w:bidi w:val="0"/>
              <w:spacing w:before="0" w:after="240"/>
              <w:ind w:left="0" w:right="0" w:hanging="0"/>
              <w:jc w:val="left"/>
              <w:rPr/>
            </w:pPr>
            <w:r>
              <w:rPr/>
              <w:t>​</w:t>
            </w:r>
          </w:p>
        </w:tc>
        <w:tc>
          <w:tcPr>
            <w:tcW w:w="213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Emerging Growth Company</w:t>
            </w:r>
          </w:p>
        </w:tc>
        <w:tc>
          <w:tcPr>
            <w:tcW w:w="361" w:type="dxa"/>
            <w:tcBorders/>
            <w:vAlign w:val="center"/>
          </w:tcPr>
          <w:p>
            <w:pPr>
              <w:pStyle w:val="TableContents"/>
              <w:bidi w:val="0"/>
              <w:spacing w:before="0" w:after="0"/>
              <w:ind w:left="0" w:right="0" w:hanging="0"/>
              <w:jc w:val="left"/>
              <w:rPr/>
            </w:pPr>
            <w:r>
              <w:rPr/>
              <w:t>☐</w:t>
            </w:r>
          </w:p>
        </w:tc>
      </w:tr>
    </w:tbl>
    <w:p>
      <w:pPr>
        <w:pStyle w:val="TextBody"/>
        <w:bidi w:val="0"/>
        <w:spacing w:before="0" w:after="60"/>
        <w:ind w:left="0" w:right="0" w:firstLine="490"/>
        <w:jc w:val="both"/>
        <w:rPr>
          <w:rFonts w:ascii="Times New Roman;Times;serif" w:hAnsi="Times New Roman;Times;serif"/>
          <w:sz w:val="18"/>
        </w:rPr>
      </w:pPr>
      <w:r>
        <w:rPr>
          <w:rFonts w:ascii="Times New Roman;Times;serif" w:hAnsi="Times New Roman;Times;serif"/>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60"/>
        <w:ind w:left="0" w:right="0" w:firstLine="490"/>
        <w:jc w:val="left"/>
        <w:rPr>
          <w:rFonts w:ascii="Times New Roman;Times;serif" w:hAnsi="Times New Roman;Times;serif"/>
          <w:sz w:val="20"/>
        </w:rPr>
      </w:pPr>
      <w:r>
        <w:rPr>
          <w:rFonts w:ascii="Times New Roman;Times;serif" w:hAnsi="Times New Roman;Times;serif"/>
          <w:sz w:val="18"/>
        </w:rPr>
        <w:t>Indicate by check mark whether the registrant is a shell company (as defined in Rule 12b-2 of the Exchange Act).   Yes  </w:t>
      </w:r>
      <w:r>
        <w:rPr>
          <w:rFonts w:ascii="Times New Roman;Times;serif" w:hAnsi="Times New Roman;Times;serif"/>
          <w:sz w:val="20"/>
        </w:rPr>
        <w:t>☐    </w:t>
      </w:r>
      <w:r>
        <w:rPr>
          <w:rFonts w:ascii="Times New Roman;Times;serif" w:hAnsi="Times New Roman;Times;serif"/>
          <w:sz w:val="18"/>
        </w:rPr>
        <w:t>No  </w:t>
      </w:r>
      <w:r>
        <w:rPr>
          <w:rFonts w:ascii="Times New Roman;Times;serif" w:hAnsi="Times New Roman;Times;serif"/>
          <w:sz w:val="20"/>
        </w:rPr>
        <w:t>☒</w:t>
      </w:r>
    </w:p>
    <w:p>
      <w:pPr>
        <w:pStyle w:val="TextBody"/>
        <w:bidi w:val="0"/>
        <w:spacing w:before="0" w:after="60"/>
        <w:ind w:left="0" w:right="0" w:firstLine="490"/>
        <w:jc w:val="left"/>
        <w:rPr>
          <w:rFonts w:ascii="Times New Roman;Times;serif" w:hAnsi="Times New Roman;Times;serif"/>
          <w:sz w:val="18"/>
        </w:rPr>
      </w:pPr>
      <w:r>
        <w:rPr>
          <w:rFonts w:ascii="Times New Roman;Times;serif" w:hAnsi="Times New Roman;Times;serif"/>
          <w:sz w:val="18"/>
        </w:rPr>
        <w:t>The number of shares of the registrant’s common stock outstanding on July 16, 2026 was 17,620,712.</w:t>
      </w:r>
    </w:p>
    <w:p>
      <w:pPr>
        <w:pStyle w:val="TextBody"/>
        <w:pBdr>
          <w:top w:val="single" w:sz="8" w:space="1" w:color="000000"/>
          <w:bottom w:val="single" w:sz="24" w:space="1" w:color="000000"/>
        </w:pBdr>
        <w:bidi w:val="0"/>
        <w:spacing w:before="0" w:after="240"/>
        <w:ind w:left="0" w:right="0" w:hanging="0"/>
        <w:jc w:val="center"/>
        <w:rPr/>
      </w:pPr>
      <w:r>
        <w:rPr/>
        <w:t>​</w:t>
      </w:r>
    </w:p>
    <w:p>
      <w:pPr>
        <w:pStyle w:val="TextBody"/>
        <w:bidi w:val="0"/>
        <w:spacing w:before="0" w:after="24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sz w:val="20"/>
        </w:rPr>
      </w:pPr>
      <w:bookmarkStart w:id="45" w:name="TOC"/>
      <w:bookmarkStart w:id="46" w:name="_7f15d803_7af4_4288_8137_cd781496b90f"/>
      <w:bookmarkEnd w:id="45"/>
      <w:bookmarkEnd w:id="46"/>
      <w:r>
        <w:rPr>
          <w:rFonts w:ascii="Times New Roman;Times;serif" w:hAnsi="Times New Roman;Times;serif"/>
          <w:sz w:val="20"/>
        </w:rPr>
        <w:t>INDEX</w:t>
      </w:r>
    </w:p>
    <w:p>
      <w:pPr>
        <w:pStyle w:val="TextBody"/>
        <w:bidi w:val="0"/>
        <w:spacing w:before="0" w:after="24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9288"/>
        <w:gridCol w:w="346"/>
        <w:gridCol w:w="571"/>
      </w:tblGrid>
      <w:tr>
        <w:trPr/>
        <w:tc>
          <w:tcPr>
            <w:tcW w:w="9288" w:type="dxa"/>
            <w:tcBorders/>
            <w:vAlign w:val="center"/>
          </w:tcPr>
          <w:p>
            <w:pPr>
              <w:pStyle w:val="TableContents"/>
              <w:bidi w:val="0"/>
              <w:spacing w:before="0" w:after="240"/>
              <w:ind w:left="0" w:right="0" w:hanging="0"/>
              <w:jc w:val="left"/>
              <w:rPr/>
            </w:pPr>
            <w:r>
              <w:rPr/>
              <w:t>​</w:t>
            </w:r>
          </w:p>
        </w:tc>
        <w:tc>
          <w:tcPr>
            <w:tcW w:w="346" w:type="dxa"/>
            <w:tcBorders/>
            <w:vAlign w:val="center"/>
          </w:tcPr>
          <w:p>
            <w:pPr>
              <w:pStyle w:val="TableContents"/>
              <w:bidi w:val="0"/>
              <w:spacing w:before="0" w:after="240"/>
              <w:ind w:left="0" w:right="0" w:hanging="0"/>
              <w:jc w:val="left"/>
              <w:rPr/>
            </w:pPr>
            <w:r>
              <w:rPr/>
              <w:t>​</w:t>
            </w:r>
          </w:p>
        </w:tc>
        <w:tc>
          <w:tcPr>
            <w:tcW w:w="571" w:type="dxa"/>
            <w:tcBorders/>
            <w:vAlign w:val="center"/>
          </w:tcPr>
          <w:p>
            <w:pPr>
              <w:pStyle w:val="TableContents"/>
              <w:bidi w:val="0"/>
              <w:spacing w:before="0" w:after="283"/>
              <w:ind w:left="0" w:right="0" w:hanging="0"/>
              <w:jc w:val="left"/>
              <w:rPr>
                <w:sz w:val="4"/>
                <w:szCs w:val="4"/>
              </w:rPr>
            </w:pPr>
            <w:r>
              <w:rPr>
                <w:sz w:val="4"/>
                <w:szCs w:val="4"/>
              </w:rPr>
            </w:r>
          </w:p>
        </w:tc>
      </w:tr>
      <w:tr>
        <w:trPr/>
        <w:tc>
          <w:tcPr>
            <w:tcW w:w="9288" w:type="dxa"/>
            <w:tcBorders/>
            <w:vAlign w:val="center"/>
          </w:tcPr>
          <w:p>
            <w:pPr>
              <w:pStyle w:val="TableContents"/>
              <w:bidi w:val="0"/>
              <w:spacing w:before="0" w:after="240"/>
              <w:ind w:left="0" w:right="0" w:hanging="0"/>
              <w:jc w:val="left"/>
              <w:rPr/>
            </w:pPr>
            <w:r>
              <w:rPr/>
              <w:t>​</w:t>
            </w:r>
          </w:p>
        </w:tc>
        <w:tc>
          <w:tcPr>
            <w:tcW w:w="346" w:type="dxa"/>
            <w:tcBorders/>
            <w:vAlign w:val="center"/>
          </w:tcPr>
          <w:p>
            <w:pPr>
              <w:pStyle w:val="TableContents"/>
              <w:bidi w:val="0"/>
              <w:spacing w:before="0" w:after="240"/>
              <w:ind w:left="0" w:right="0" w:hanging="0"/>
              <w:jc w:val="left"/>
              <w:rPr/>
            </w:pPr>
            <w:r>
              <w:rPr/>
              <w:t>​</w:t>
            </w:r>
          </w:p>
        </w:tc>
        <w:tc>
          <w:tcPr>
            <w:tcW w:w="57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Page</w:t>
            </w:r>
          </w:p>
        </w:tc>
      </w:tr>
      <w:tr>
        <w:trPr/>
        <w:tc>
          <w:tcPr>
            <w:tcW w:w="9288" w:type="dxa"/>
            <w:tcBorders/>
            <w:vAlign w:val="center"/>
          </w:tcPr>
          <w:p>
            <w:pPr>
              <w:pStyle w:val="TableContents"/>
              <w:bidi w:val="0"/>
              <w:spacing w:before="0" w:after="24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w:t>
            </w:r>
          </w:p>
        </w:tc>
      </w:tr>
      <w:tr>
        <w:trPr/>
        <w:tc>
          <w:tcPr>
            <w:tcW w:w="9288" w:type="dxa"/>
            <w:tcBorders/>
            <w:vAlign w:val="center"/>
          </w:tcPr>
          <w:p>
            <w:pPr>
              <w:pStyle w:val="TableContents"/>
              <w:bidi w:val="0"/>
              <w:spacing w:before="0" w:after="0"/>
              <w:ind w:left="0" w:right="0" w:hanging="0"/>
              <w:jc w:val="left"/>
              <w:rPr/>
            </w:pPr>
            <w:hyperlink w:anchor="PARTIFINANCIALINFORMATION">
              <w:r>
                <w:rPr>
                  <w:rStyle w:val="InternetLink"/>
                  <w:rFonts w:ascii="Times New Roman;Times;serif" w:hAnsi="Times New Roman;Times;serif"/>
                  <w:b w:val="false"/>
                  <w:i w:val="false"/>
                  <w:caps w:val="false"/>
                  <w:smallCaps w:val="false"/>
                  <w:sz w:val="20"/>
                </w:rPr>
                <w:t>PART I—FINANCIAL INFORMATION</w:t>
              </w:r>
            </w:hyperlink>
          </w:p>
        </w:tc>
        <w:tc>
          <w:tcPr>
            <w:tcW w:w="346" w:type="dxa"/>
            <w:tcBorders/>
            <w:vAlign w:val="center"/>
          </w:tcPr>
          <w:p>
            <w:pPr>
              <w:pStyle w:val="TableContents"/>
              <w:bidi w:val="0"/>
              <w:spacing w:before="0" w:after="240"/>
              <w:ind w:left="0" w:right="0" w:hanging="0"/>
              <w:jc w:val="left"/>
              <w:rPr/>
            </w:pPr>
            <w:r>
              <w:rPr/>
              <w:t>​</w:t>
            </w:r>
          </w:p>
        </w:tc>
        <w:tc>
          <w:tcPr>
            <w:tcW w:w="571" w:type="dxa"/>
            <w:tcBorders>
              <w:top w:val="single" w:sz="2" w:space="0" w:color="000000"/>
            </w:tcBorders>
            <w:tcMar>
              <w:top w:w="28" w:type="dxa"/>
            </w:tcMar>
            <w:vAlign w:val="center"/>
          </w:tcPr>
          <w:p>
            <w:pPr>
              <w:pStyle w:val="TableContents"/>
              <w:bidi w:val="0"/>
              <w:spacing w:before="0" w:after="240"/>
              <w:ind w:left="0" w:right="0" w:hanging="0"/>
              <w:jc w:val="right"/>
              <w:rPr/>
            </w:pPr>
            <w:r>
              <w:rPr/>
              <w:t>​</w:t>
            </w:r>
          </w:p>
        </w:tc>
      </w:tr>
      <w:tr>
        <w:trPr/>
        <w:tc>
          <w:tcPr>
            <w:tcW w:w="9288" w:type="dxa"/>
            <w:tcBorders/>
            <w:vAlign w:val="center"/>
          </w:tcPr>
          <w:p>
            <w:pPr>
              <w:pStyle w:val="TableContents"/>
              <w:bidi w:val="0"/>
              <w:spacing w:before="0" w:after="240"/>
              <w:ind w:left="0" w:right="0" w:hanging="0"/>
              <w:jc w:val="left"/>
              <w:rPr/>
            </w:pPr>
            <w:r>
              <w:rPr/>
              <w:t>​</w:t>
            </w:r>
          </w:p>
        </w:tc>
        <w:tc>
          <w:tcPr>
            <w:tcW w:w="346" w:type="dxa"/>
            <w:tcBorders/>
            <w:vAlign w:val="center"/>
          </w:tcPr>
          <w:p>
            <w:pPr>
              <w:pStyle w:val="TableContents"/>
              <w:bidi w:val="0"/>
              <w:spacing w:before="0" w:after="240"/>
              <w:ind w:left="0" w:right="0" w:hanging="0"/>
              <w:jc w:val="left"/>
              <w:rPr/>
            </w:pPr>
            <w:r>
              <w:rPr/>
              <w:t>​</w:t>
            </w:r>
          </w:p>
        </w:tc>
        <w:tc>
          <w:tcPr>
            <w:tcW w:w="571" w:type="dxa"/>
            <w:tcBorders/>
            <w:vAlign w:val="center"/>
          </w:tcPr>
          <w:p>
            <w:pPr>
              <w:pStyle w:val="TableContents"/>
              <w:bidi w:val="0"/>
              <w:spacing w:before="0" w:after="240"/>
              <w:ind w:left="0" w:right="0" w:hanging="0"/>
              <w:jc w:val="right"/>
              <w:rPr/>
            </w:pPr>
            <w:r>
              <w:rPr/>
              <w:t>​</w:t>
            </w:r>
          </w:p>
        </w:tc>
      </w:tr>
      <w:tr>
        <w:trPr/>
        <w:tc>
          <w:tcPr>
            <w:tcW w:w="9288" w:type="dxa"/>
            <w:tcBorders/>
            <w:vAlign w:val="center"/>
          </w:tcPr>
          <w:p>
            <w:pPr>
              <w:pStyle w:val="TableContents"/>
              <w:bidi w:val="0"/>
              <w:spacing w:before="0" w:after="0"/>
              <w:ind w:left="0" w:right="0" w:hanging="0"/>
              <w:jc w:val="left"/>
              <w:rPr/>
            </w:pPr>
            <w:hyperlink w:anchor="ITEM1FINANCIALSTATEMENTS_291469">
              <w:r>
                <w:rPr>
                  <w:rStyle w:val="InternetLink"/>
                  <w:rFonts w:ascii="Times New Roman;Times;serif" w:hAnsi="Times New Roman;Times;serif"/>
                  <w:b w:val="false"/>
                  <w:i w:val="false"/>
                  <w:caps w:val="false"/>
                  <w:smallCaps w:val="false"/>
                  <w:sz w:val="20"/>
                </w:rPr>
                <w:t>Item 1.     Financial Statements</w:t>
              </w:r>
            </w:hyperlink>
          </w:p>
        </w:tc>
        <w:tc>
          <w:tcPr>
            <w:tcW w:w="346" w:type="dxa"/>
            <w:tcBorders/>
            <w:vAlign w:val="center"/>
          </w:tcPr>
          <w:p>
            <w:pPr>
              <w:pStyle w:val="TableContents"/>
              <w:bidi w:val="0"/>
              <w:spacing w:before="0" w:after="24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9288" w:type="dxa"/>
            <w:tcBorders/>
            <w:vAlign w:val="center"/>
          </w:tcPr>
          <w:p>
            <w:pPr>
              <w:pStyle w:val="TableContents"/>
              <w:bidi w:val="0"/>
              <w:spacing w:before="0" w:after="240"/>
              <w:ind w:left="0" w:right="0" w:hanging="0"/>
              <w:jc w:val="left"/>
              <w:rPr/>
            </w:pPr>
            <w:r>
              <w:rPr/>
              <w:t>​</w:t>
            </w:r>
          </w:p>
        </w:tc>
        <w:tc>
          <w:tcPr>
            <w:tcW w:w="346" w:type="dxa"/>
            <w:tcBorders/>
            <w:vAlign w:val="center"/>
          </w:tcPr>
          <w:p>
            <w:pPr>
              <w:pStyle w:val="TableContents"/>
              <w:bidi w:val="0"/>
              <w:spacing w:before="0" w:after="240"/>
              <w:ind w:left="0" w:right="0" w:hanging="0"/>
              <w:jc w:val="left"/>
              <w:rPr/>
            </w:pPr>
            <w:r>
              <w:rPr/>
              <w:t>​</w:t>
            </w:r>
          </w:p>
        </w:tc>
        <w:tc>
          <w:tcPr>
            <w:tcW w:w="571" w:type="dxa"/>
            <w:tcBorders/>
            <w:vAlign w:val="center"/>
          </w:tcPr>
          <w:p>
            <w:pPr>
              <w:pStyle w:val="TableContents"/>
              <w:bidi w:val="0"/>
              <w:spacing w:before="0" w:after="240"/>
              <w:ind w:left="0" w:right="0" w:hanging="0"/>
              <w:jc w:val="right"/>
              <w:rPr/>
            </w:pPr>
            <w:r>
              <w:rPr/>
              <w:t>​</w:t>
            </w:r>
          </w:p>
        </w:tc>
      </w:tr>
      <w:tr>
        <w:trPr/>
        <w:tc>
          <w:tcPr>
            <w:tcW w:w="9288" w:type="dxa"/>
            <w:tcBorders/>
            <w:vAlign w:val="center"/>
          </w:tcPr>
          <w:p>
            <w:pPr>
              <w:pStyle w:val="TableContents"/>
              <w:bidi w:val="0"/>
              <w:spacing w:before="0" w:after="0"/>
              <w:ind w:left="0" w:right="0" w:hanging="0"/>
              <w:jc w:val="left"/>
              <w:rPr/>
            </w:pPr>
            <w:hyperlink w:anchor="CONSOLIDATEDBALANCESHEETS">
              <w:r>
                <w:rPr>
                  <w:rStyle w:val="InternetLink"/>
                  <w:rFonts w:ascii="Times New Roman;Times;serif" w:hAnsi="Times New Roman;Times;serif"/>
                  <w:b w:val="false"/>
                  <w:i w:val="false"/>
                  <w:caps w:val="false"/>
                  <w:smallCaps w:val="false"/>
                  <w:sz w:val="20"/>
                </w:rPr>
                <w:t>Consolidated Balance Sheets – June 30, 2026 (Unaudited) and December 31, 2025</w:t>
              </w:r>
            </w:hyperlink>
          </w:p>
        </w:tc>
        <w:tc>
          <w:tcPr>
            <w:tcW w:w="346" w:type="dxa"/>
            <w:tcBorders/>
            <w:vAlign w:val="center"/>
          </w:tcPr>
          <w:p>
            <w:pPr>
              <w:pStyle w:val="TableContents"/>
              <w:bidi w:val="0"/>
              <w:spacing w:before="0" w:after="24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9288" w:type="dxa"/>
            <w:tcBorders/>
            <w:vAlign w:val="center"/>
          </w:tcPr>
          <w:p>
            <w:pPr>
              <w:pStyle w:val="TableContents"/>
              <w:bidi w:val="0"/>
              <w:spacing w:before="0" w:after="240"/>
              <w:ind w:left="0" w:right="0" w:hanging="0"/>
              <w:jc w:val="left"/>
              <w:rPr/>
            </w:pPr>
            <w:r>
              <w:rPr/>
              <w:t>​</w:t>
            </w:r>
          </w:p>
        </w:tc>
        <w:tc>
          <w:tcPr>
            <w:tcW w:w="346" w:type="dxa"/>
            <w:tcBorders/>
            <w:vAlign w:val="center"/>
          </w:tcPr>
          <w:p>
            <w:pPr>
              <w:pStyle w:val="TableContents"/>
              <w:bidi w:val="0"/>
              <w:spacing w:before="0" w:after="240"/>
              <w:ind w:left="0" w:right="0" w:hanging="0"/>
              <w:jc w:val="left"/>
              <w:rPr/>
            </w:pPr>
            <w:r>
              <w:rPr/>
              <w:t>​</w:t>
            </w:r>
          </w:p>
        </w:tc>
        <w:tc>
          <w:tcPr>
            <w:tcW w:w="571" w:type="dxa"/>
            <w:tcBorders/>
            <w:vAlign w:val="center"/>
          </w:tcPr>
          <w:p>
            <w:pPr>
              <w:pStyle w:val="TableContents"/>
              <w:bidi w:val="0"/>
              <w:spacing w:before="0" w:after="240"/>
              <w:ind w:left="0" w:right="0" w:hanging="0"/>
              <w:jc w:val="right"/>
              <w:rPr/>
            </w:pPr>
            <w:r>
              <w:rPr/>
              <w:t>​</w:t>
            </w:r>
          </w:p>
        </w:tc>
      </w:tr>
      <w:tr>
        <w:trPr/>
        <w:tc>
          <w:tcPr>
            <w:tcW w:w="9288" w:type="dxa"/>
            <w:tcBorders/>
            <w:vAlign w:val="center"/>
          </w:tcPr>
          <w:p>
            <w:pPr>
              <w:pStyle w:val="TableContents"/>
              <w:bidi w:val="0"/>
              <w:spacing w:before="0" w:after="0"/>
              <w:ind w:left="0" w:right="0" w:hanging="0"/>
              <w:jc w:val="left"/>
              <w:rPr/>
            </w:pPr>
            <w:hyperlink w:anchor="CONSOLIDATEDSTATEMENTSOPERATIONS">
              <w:r>
                <w:rPr>
                  <w:rStyle w:val="InternetLink"/>
                  <w:rFonts w:ascii="Times New Roman;Times;serif" w:hAnsi="Times New Roman;Times;serif"/>
                  <w:b w:val="false"/>
                  <w:i w:val="false"/>
                  <w:caps w:val="false"/>
                  <w:smallCaps w:val="false"/>
                  <w:sz w:val="20"/>
                </w:rPr>
                <w:t>Consolidated Statements of Operations – Three and six months ended June 30, 2026 and 2025 (Unaudited)</w:t>
              </w:r>
            </w:hyperlink>
          </w:p>
        </w:tc>
        <w:tc>
          <w:tcPr>
            <w:tcW w:w="346" w:type="dxa"/>
            <w:tcBorders/>
            <w:vAlign w:val="center"/>
          </w:tcPr>
          <w:p>
            <w:pPr>
              <w:pStyle w:val="TableContents"/>
              <w:bidi w:val="0"/>
              <w:spacing w:before="0" w:after="24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9288" w:type="dxa"/>
            <w:tcBorders/>
            <w:vAlign w:val="center"/>
          </w:tcPr>
          <w:p>
            <w:pPr>
              <w:pStyle w:val="TableContents"/>
              <w:bidi w:val="0"/>
              <w:spacing w:before="0" w:after="240"/>
              <w:ind w:left="0" w:right="0" w:hanging="0"/>
              <w:jc w:val="left"/>
              <w:rPr/>
            </w:pPr>
            <w:r>
              <w:rPr/>
              <w:t>​</w:t>
            </w:r>
          </w:p>
        </w:tc>
        <w:tc>
          <w:tcPr>
            <w:tcW w:w="346" w:type="dxa"/>
            <w:tcBorders/>
            <w:vAlign w:val="center"/>
          </w:tcPr>
          <w:p>
            <w:pPr>
              <w:pStyle w:val="TableContents"/>
              <w:bidi w:val="0"/>
              <w:spacing w:before="0" w:after="240"/>
              <w:ind w:left="0" w:right="0" w:hanging="0"/>
              <w:jc w:val="left"/>
              <w:rPr/>
            </w:pPr>
            <w:r>
              <w:rPr/>
              <w:t>​</w:t>
            </w:r>
          </w:p>
        </w:tc>
        <w:tc>
          <w:tcPr>
            <w:tcW w:w="571" w:type="dxa"/>
            <w:tcBorders/>
            <w:vAlign w:val="center"/>
          </w:tcPr>
          <w:p>
            <w:pPr>
              <w:pStyle w:val="TableContents"/>
              <w:bidi w:val="0"/>
              <w:spacing w:before="0" w:after="240"/>
              <w:ind w:left="0" w:right="0" w:hanging="0"/>
              <w:jc w:val="right"/>
              <w:rPr/>
            </w:pPr>
            <w:r>
              <w:rPr/>
              <w:t>​</w:t>
            </w:r>
          </w:p>
        </w:tc>
      </w:tr>
      <w:tr>
        <w:trPr/>
        <w:tc>
          <w:tcPr>
            <w:tcW w:w="9288" w:type="dxa"/>
            <w:tcBorders/>
            <w:vAlign w:val="center"/>
          </w:tcPr>
          <w:p>
            <w:pPr>
              <w:pStyle w:val="TableContents"/>
              <w:bidi w:val="0"/>
              <w:spacing w:before="0" w:after="0"/>
              <w:ind w:left="0" w:right="0" w:hanging="0"/>
              <w:jc w:val="left"/>
              <w:rPr/>
            </w:pPr>
            <w:hyperlink w:anchor="CONSOLIDATEDSTATEMENTSOFCOMPINCOME">
              <w:r>
                <w:rPr>
                  <w:rStyle w:val="InternetLink"/>
                  <w:rFonts w:ascii="Times New Roman;Times;serif" w:hAnsi="Times New Roman;Times;serif"/>
                  <w:b w:val="false"/>
                  <w:i w:val="false"/>
                  <w:caps w:val="false"/>
                  <w:smallCaps w:val="false"/>
                  <w:sz w:val="20"/>
                </w:rPr>
                <w:t>Consolidated Statements of Comprehensive Income – Three and six months ended June 30, 2026 and 2025 (Unaudited)</w:t>
              </w:r>
            </w:hyperlink>
          </w:p>
        </w:tc>
        <w:tc>
          <w:tcPr>
            <w:tcW w:w="346" w:type="dxa"/>
            <w:tcBorders/>
            <w:vAlign w:val="center"/>
          </w:tcPr>
          <w:p>
            <w:pPr>
              <w:pStyle w:val="TableContents"/>
              <w:bidi w:val="0"/>
              <w:spacing w:before="0" w:after="24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9288" w:type="dxa"/>
            <w:tcBorders/>
            <w:vAlign w:val="center"/>
          </w:tcPr>
          <w:p>
            <w:pPr>
              <w:pStyle w:val="TableContents"/>
              <w:bidi w:val="0"/>
              <w:spacing w:before="0" w:after="240"/>
              <w:ind w:left="0" w:right="0" w:hanging="0"/>
              <w:jc w:val="left"/>
              <w:rPr/>
            </w:pPr>
            <w:r>
              <w:rPr/>
              <w:t>​</w:t>
            </w:r>
          </w:p>
        </w:tc>
        <w:tc>
          <w:tcPr>
            <w:tcW w:w="346" w:type="dxa"/>
            <w:tcBorders/>
            <w:vAlign w:val="center"/>
          </w:tcPr>
          <w:p>
            <w:pPr>
              <w:pStyle w:val="TableContents"/>
              <w:bidi w:val="0"/>
              <w:spacing w:before="0" w:after="240"/>
              <w:ind w:left="0" w:right="0" w:hanging="0"/>
              <w:jc w:val="left"/>
              <w:rPr/>
            </w:pPr>
            <w:r>
              <w:rPr/>
              <w:t>​</w:t>
            </w:r>
          </w:p>
        </w:tc>
        <w:tc>
          <w:tcPr>
            <w:tcW w:w="571" w:type="dxa"/>
            <w:tcBorders/>
            <w:vAlign w:val="center"/>
          </w:tcPr>
          <w:p>
            <w:pPr>
              <w:pStyle w:val="TableContents"/>
              <w:bidi w:val="0"/>
              <w:spacing w:before="0" w:after="240"/>
              <w:ind w:left="0" w:right="0" w:hanging="0"/>
              <w:jc w:val="right"/>
              <w:rPr/>
            </w:pPr>
            <w:r>
              <w:rPr/>
              <w:t>​</w:t>
            </w:r>
          </w:p>
        </w:tc>
      </w:tr>
      <w:tr>
        <w:trPr/>
        <w:tc>
          <w:tcPr>
            <w:tcW w:w="9288" w:type="dxa"/>
            <w:tcBorders/>
            <w:vAlign w:val="center"/>
          </w:tcPr>
          <w:p>
            <w:pPr>
              <w:pStyle w:val="TableContents"/>
              <w:bidi w:val="0"/>
              <w:spacing w:before="0" w:after="0"/>
              <w:ind w:left="0" w:right="0" w:hanging="0"/>
              <w:jc w:val="left"/>
              <w:rPr/>
            </w:pPr>
            <w:hyperlink w:anchor="CONSOLIDATEDSTATEMENTSOFSHAREHOLDERSEQUI">
              <w:r>
                <w:rPr>
                  <w:rStyle w:val="InternetLink"/>
                  <w:rFonts w:ascii="Times New Roman;Times;serif" w:hAnsi="Times New Roman;Times;serif"/>
                  <w:b w:val="false"/>
                  <w:i w:val="false"/>
                  <w:caps w:val="false"/>
                  <w:smallCaps w:val="false"/>
                  <w:sz w:val="20"/>
                </w:rPr>
                <w:t>Consolidated Statements of Stockholders’ Equity – Three and six months ended June 30, 2026 and 2025 (Unaudited)</w:t>
              </w:r>
            </w:hyperlink>
          </w:p>
        </w:tc>
        <w:tc>
          <w:tcPr>
            <w:tcW w:w="346" w:type="dxa"/>
            <w:tcBorders/>
            <w:vAlign w:val="center"/>
          </w:tcPr>
          <w:p>
            <w:pPr>
              <w:pStyle w:val="TableContents"/>
              <w:bidi w:val="0"/>
              <w:spacing w:before="0" w:after="24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9288" w:type="dxa"/>
            <w:tcBorders/>
            <w:vAlign w:val="center"/>
          </w:tcPr>
          <w:p>
            <w:pPr>
              <w:pStyle w:val="TableContents"/>
              <w:bidi w:val="0"/>
              <w:spacing w:before="0" w:after="240"/>
              <w:ind w:left="0" w:right="0" w:hanging="0"/>
              <w:jc w:val="left"/>
              <w:rPr/>
            </w:pPr>
            <w:r>
              <w:rPr/>
              <w:t>​</w:t>
            </w:r>
          </w:p>
        </w:tc>
        <w:tc>
          <w:tcPr>
            <w:tcW w:w="346" w:type="dxa"/>
            <w:tcBorders/>
            <w:vAlign w:val="center"/>
          </w:tcPr>
          <w:p>
            <w:pPr>
              <w:pStyle w:val="TableContents"/>
              <w:bidi w:val="0"/>
              <w:spacing w:before="0" w:after="240"/>
              <w:ind w:left="0" w:right="0" w:hanging="0"/>
              <w:jc w:val="left"/>
              <w:rPr/>
            </w:pPr>
            <w:r>
              <w:rPr/>
              <w:t>​</w:t>
            </w:r>
          </w:p>
        </w:tc>
        <w:tc>
          <w:tcPr>
            <w:tcW w:w="571" w:type="dxa"/>
            <w:tcBorders/>
            <w:vAlign w:val="center"/>
          </w:tcPr>
          <w:p>
            <w:pPr>
              <w:pStyle w:val="TableContents"/>
              <w:bidi w:val="0"/>
              <w:spacing w:before="0" w:after="240"/>
              <w:ind w:left="0" w:right="0" w:hanging="0"/>
              <w:jc w:val="right"/>
              <w:rPr/>
            </w:pPr>
            <w:r>
              <w:rPr/>
              <w:t>​</w:t>
            </w:r>
          </w:p>
        </w:tc>
      </w:tr>
      <w:tr>
        <w:trPr/>
        <w:tc>
          <w:tcPr>
            <w:tcW w:w="9288" w:type="dxa"/>
            <w:tcBorders/>
            <w:vAlign w:val="center"/>
          </w:tcPr>
          <w:p>
            <w:pPr>
              <w:pStyle w:val="TableContents"/>
              <w:bidi w:val="0"/>
              <w:spacing w:before="0" w:after="0"/>
              <w:ind w:left="0" w:right="0" w:hanging="0"/>
              <w:jc w:val="left"/>
              <w:rPr/>
            </w:pPr>
            <w:hyperlink w:anchor="CONSOLIDATEDSTATEMENTSOFCASHFLOWS_91955">
              <w:r>
                <w:rPr>
                  <w:rStyle w:val="InternetLink"/>
                  <w:rFonts w:ascii="Times New Roman;Times;serif" w:hAnsi="Times New Roman;Times;serif"/>
                  <w:b w:val="false"/>
                  <w:i w:val="false"/>
                  <w:caps w:val="false"/>
                  <w:smallCaps w:val="false"/>
                  <w:sz w:val="20"/>
                </w:rPr>
                <w:t>Consolidated Statements of Cash Flows – Six months ended June 30, 2026 and 2025 (Unaudited)</w:t>
              </w:r>
            </w:hyperlink>
          </w:p>
        </w:tc>
        <w:tc>
          <w:tcPr>
            <w:tcW w:w="346" w:type="dxa"/>
            <w:tcBorders/>
            <w:vAlign w:val="center"/>
          </w:tcPr>
          <w:p>
            <w:pPr>
              <w:pStyle w:val="TableContents"/>
              <w:bidi w:val="0"/>
              <w:spacing w:before="0" w:after="24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r>
      <w:tr>
        <w:trPr/>
        <w:tc>
          <w:tcPr>
            <w:tcW w:w="9288" w:type="dxa"/>
            <w:tcBorders/>
            <w:vAlign w:val="center"/>
          </w:tcPr>
          <w:p>
            <w:pPr>
              <w:pStyle w:val="TableContents"/>
              <w:bidi w:val="0"/>
              <w:spacing w:before="0" w:after="240"/>
              <w:ind w:left="0" w:right="0" w:hanging="0"/>
              <w:jc w:val="left"/>
              <w:rPr/>
            </w:pPr>
            <w:r>
              <w:rPr/>
              <w:t>​</w:t>
            </w:r>
          </w:p>
        </w:tc>
        <w:tc>
          <w:tcPr>
            <w:tcW w:w="346" w:type="dxa"/>
            <w:tcBorders/>
            <w:vAlign w:val="center"/>
          </w:tcPr>
          <w:p>
            <w:pPr>
              <w:pStyle w:val="TableContents"/>
              <w:bidi w:val="0"/>
              <w:spacing w:before="0" w:after="240"/>
              <w:ind w:left="0" w:right="0" w:hanging="0"/>
              <w:jc w:val="left"/>
              <w:rPr/>
            </w:pPr>
            <w:r>
              <w:rPr/>
              <w:t>​</w:t>
            </w:r>
          </w:p>
        </w:tc>
        <w:tc>
          <w:tcPr>
            <w:tcW w:w="571" w:type="dxa"/>
            <w:tcBorders/>
            <w:vAlign w:val="center"/>
          </w:tcPr>
          <w:p>
            <w:pPr>
              <w:pStyle w:val="TableContents"/>
              <w:bidi w:val="0"/>
              <w:spacing w:before="0" w:after="240"/>
              <w:ind w:left="0" w:right="0" w:hanging="0"/>
              <w:jc w:val="right"/>
              <w:rPr/>
            </w:pPr>
            <w:r>
              <w:rPr/>
              <w:t>​</w:t>
            </w:r>
          </w:p>
        </w:tc>
      </w:tr>
      <w:tr>
        <w:trPr/>
        <w:tc>
          <w:tcPr>
            <w:tcW w:w="9288" w:type="dxa"/>
            <w:tcBorders/>
            <w:vAlign w:val="center"/>
          </w:tcPr>
          <w:p>
            <w:pPr>
              <w:pStyle w:val="TableContents"/>
              <w:bidi w:val="0"/>
              <w:spacing w:before="0" w:after="0"/>
              <w:ind w:left="0" w:right="0" w:hanging="0"/>
              <w:jc w:val="left"/>
              <w:rPr/>
            </w:pPr>
            <w:hyperlink w:anchor="NOTESTOCONSOLIDATEDFINANCIALSTATEMENTSUN">
              <w:r>
                <w:rPr>
                  <w:rStyle w:val="InternetLink"/>
                  <w:rFonts w:ascii="Times New Roman;Times;serif" w:hAnsi="Times New Roman;Times;serif"/>
                  <w:b w:val="false"/>
                  <w:i w:val="false"/>
                  <w:caps w:val="false"/>
                  <w:smallCaps w:val="false"/>
                  <w:sz w:val="20"/>
                </w:rPr>
                <w:t>Notes to Consolidated Financial Statements (Unaudited)</w:t>
              </w:r>
            </w:hyperlink>
          </w:p>
        </w:tc>
        <w:tc>
          <w:tcPr>
            <w:tcW w:w="346" w:type="dxa"/>
            <w:tcBorders/>
            <w:vAlign w:val="center"/>
          </w:tcPr>
          <w:p>
            <w:pPr>
              <w:pStyle w:val="TableContents"/>
              <w:bidi w:val="0"/>
              <w:spacing w:before="0" w:after="24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r>
      <w:tr>
        <w:trPr/>
        <w:tc>
          <w:tcPr>
            <w:tcW w:w="9288" w:type="dxa"/>
            <w:tcBorders/>
            <w:vAlign w:val="center"/>
          </w:tcPr>
          <w:p>
            <w:pPr>
              <w:pStyle w:val="TableContents"/>
              <w:bidi w:val="0"/>
              <w:spacing w:before="0" w:after="240"/>
              <w:ind w:left="0" w:right="0" w:hanging="0"/>
              <w:jc w:val="left"/>
              <w:rPr/>
            </w:pPr>
            <w:r>
              <w:rPr/>
              <w:t>​</w:t>
            </w:r>
          </w:p>
        </w:tc>
        <w:tc>
          <w:tcPr>
            <w:tcW w:w="346" w:type="dxa"/>
            <w:tcBorders/>
            <w:vAlign w:val="center"/>
          </w:tcPr>
          <w:p>
            <w:pPr>
              <w:pStyle w:val="TableContents"/>
              <w:bidi w:val="0"/>
              <w:spacing w:before="0" w:after="240"/>
              <w:ind w:left="0" w:right="0" w:hanging="0"/>
              <w:jc w:val="left"/>
              <w:rPr/>
            </w:pPr>
            <w:r>
              <w:rPr/>
              <w:t>​</w:t>
            </w:r>
          </w:p>
        </w:tc>
        <w:tc>
          <w:tcPr>
            <w:tcW w:w="571" w:type="dxa"/>
            <w:tcBorders/>
            <w:vAlign w:val="center"/>
          </w:tcPr>
          <w:p>
            <w:pPr>
              <w:pStyle w:val="TableContents"/>
              <w:bidi w:val="0"/>
              <w:spacing w:before="0" w:after="240"/>
              <w:ind w:left="0" w:right="0" w:hanging="0"/>
              <w:jc w:val="right"/>
              <w:rPr/>
            </w:pPr>
            <w:r>
              <w:rPr/>
              <w:t>​</w:t>
            </w:r>
          </w:p>
        </w:tc>
      </w:tr>
      <w:tr>
        <w:trPr/>
        <w:tc>
          <w:tcPr>
            <w:tcW w:w="9288" w:type="dxa"/>
            <w:tcBorders/>
            <w:vAlign w:val="center"/>
          </w:tcPr>
          <w:p>
            <w:pPr>
              <w:pStyle w:val="TableContents"/>
              <w:bidi w:val="0"/>
              <w:spacing w:before="0" w:after="0"/>
              <w:ind w:left="0" w:right="0" w:hanging="0"/>
              <w:jc w:val="left"/>
              <w:rPr/>
            </w:pPr>
            <w:hyperlink w:anchor="ITEM2MANAGEMENTSDISCUSSIONANDANALYSIS">
              <w:r>
                <w:rPr>
                  <w:rStyle w:val="InternetLink"/>
                  <w:rFonts w:ascii="Times New Roman;Times;serif" w:hAnsi="Times New Roman;Times;serif"/>
                  <w:b w:val="false"/>
                  <w:i w:val="false"/>
                  <w:caps w:val="false"/>
                  <w:smallCaps w:val="false"/>
                  <w:sz w:val="20"/>
                </w:rPr>
                <w:t>Item 2.     Management’s Discussion and Analysis of Financial Condition and Results of Operations</w:t>
              </w:r>
            </w:hyperlink>
          </w:p>
        </w:tc>
        <w:tc>
          <w:tcPr>
            <w:tcW w:w="346" w:type="dxa"/>
            <w:tcBorders/>
            <w:vAlign w:val="center"/>
          </w:tcPr>
          <w:p>
            <w:pPr>
              <w:pStyle w:val="TableContents"/>
              <w:bidi w:val="0"/>
              <w:spacing w:before="0" w:after="24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w:t>
            </w:r>
          </w:p>
        </w:tc>
      </w:tr>
      <w:tr>
        <w:trPr/>
        <w:tc>
          <w:tcPr>
            <w:tcW w:w="9288" w:type="dxa"/>
            <w:tcBorders/>
            <w:vAlign w:val="center"/>
          </w:tcPr>
          <w:p>
            <w:pPr>
              <w:pStyle w:val="TableContents"/>
              <w:bidi w:val="0"/>
              <w:spacing w:before="0" w:after="240"/>
              <w:ind w:left="0" w:right="0" w:hanging="0"/>
              <w:jc w:val="left"/>
              <w:rPr/>
            </w:pPr>
            <w:r>
              <w:rPr/>
              <w:t>​</w:t>
            </w:r>
          </w:p>
        </w:tc>
        <w:tc>
          <w:tcPr>
            <w:tcW w:w="346" w:type="dxa"/>
            <w:tcBorders/>
            <w:vAlign w:val="center"/>
          </w:tcPr>
          <w:p>
            <w:pPr>
              <w:pStyle w:val="TableContents"/>
              <w:bidi w:val="0"/>
              <w:spacing w:before="0" w:after="240"/>
              <w:ind w:left="0" w:right="0" w:hanging="0"/>
              <w:jc w:val="left"/>
              <w:rPr/>
            </w:pPr>
            <w:r>
              <w:rPr/>
              <w:t>​</w:t>
            </w:r>
          </w:p>
        </w:tc>
        <w:tc>
          <w:tcPr>
            <w:tcW w:w="571" w:type="dxa"/>
            <w:tcBorders/>
            <w:vAlign w:val="center"/>
          </w:tcPr>
          <w:p>
            <w:pPr>
              <w:pStyle w:val="TableContents"/>
              <w:bidi w:val="0"/>
              <w:spacing w:before="0" w:after="240"/>
              <w:ind w:left="0" w:right="0" w:hanging="0"/>
              <w:jc w:val="right"/>
              <w:rPr/>
            </w:pPr>
            <w:r>
              <w:rPr/>
              <w:t>​</w:t>
            </w:r>
          </w:p>
        </w:tc>
      </w:tr>
      <w:tr>
        <w:trPr/>
        <w:tc>
          <w:tcPr>
            <w:tcW w:w="9288" w:type="dxa"/>
            <w:tcBorders/>
            <w:vAlign w:val="center"/>
          </w:tcPr>
          <w:p>
            <w:pPr>
              <w:pStyle w:val="TableContents"/>
              <w:bidi w:val="0"/>
              <w:spacing w:before="0" w:after="0"/>
              <w:ind w:left="0" w:right="0" w:hanging="0"/>
              <w:jc w:val="left"/>
              <w:rPr/>
            </w:pPr>
            <w:hyperlink w:anchor="ITEM3QUANTITATIVEANDQUALITATIVEDISC">
              <w:r>
                <w:rPr>
                  <w:rStyle w:val="InternetLink"/>
                  <w:rFonts w:ascii="Times New Roman;Times;serif" w:hAnsi="Times New Roman;Times;serif"/>
                  <w:b w:val="false"/>
                  <w:i w:val="false"/>
                  <w:caps w:val="false"/>
                  <w:smallCaps w:val="false"/>
                  <w:sz w:val="20"/>
                </w:rPr>
                <w:t>Item 3. Quantitative and Qualitative Disclosures About Market Risk</w:t>
              </w:r>
            </w:hyperlink>
          </w:p>
        </w:tc>
        <w:tc>
          <w:tcPr>
            <w:tcW w:w="346" w:type="dxa"/>
            <w:tcBorders/>
            <w:vAlign w:val="center"/>
          </w:tcPr>
          <w:p>
            <w:pPr>
              <w:pStyle w:val="TableContents"/>
              <w:bidi w:val="0"/>
              <w:spacing w:before="0" w:after="24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w:t>
            </w:r>
          </w:p>
        </w:tc>
      </w:tr>
      <w:tr>
        <w:trPr/>
        <w:tc>
          <w:tcPr>
            <w:tcW w:w="9288" w:type="dxa"/>
            <w:tcBorders/>
            <w:vAlign w:val="center"/>
          </w:tcPr>
          <w:p>
            <w:pPr>
              <w:pStyle w:val="TableContents"/>
              <w:bidi w:val="0"/>
              <w:spacing w:before="0" w:after="240"/>
              <w:ind w:left="0" w:right="0" w:hanging="0"/>
              <w:jc w:val="left"/>
              <w:rPr/>
            </w:pPr>
            <w:r>
              <w:rPr/>
              <w:t>​</w:t>
            </w:r>
          </w:p>
        </w:tc>
        <w:tc>
          <w:tcPr>
            <w:tcW w:w="346" w:type="dxa"/>
            <w:tcBorders/>
            <w:vAlign w:val="center"/>
          </w:tcPr>
          <w:p>
            <w:pPr>
              <w:pStyle w:val="TableContents"/>
              <w:bidi w:val="0"/>
              <w:spacing w:before="0" w:after="240"/>
              <w:ind w:left="0" w:right="0" w:hanging="0"/>
              <w:jc w:val="left"/>
              <w:rPr/>
            </w:pPr>
            <w:r>
              <w:rPr/>
              <w:t>​</w:t>
            </w:r>
          </w:p>
        </w:tc>
        <w:tc>
          <w:tcPr>
            <w:tcW w:w="571" w:type="dxa"/>
            <w:tcBorders/>
            <w:vAlign w:val="center"/>
          </w:tcPr>
          <w:p>
            <w:pPr>
              <w:pStyle w:val="TableContents"/>
              <w:bidi w:val="0"/>
              <w:spacing w:before="0" w:after="240"/>
              <w:ind w:left="0" w:right="0" w:hanging="0"/>
              <w:jc w:val="right"/>
              <w:rPr/>
            </w:pPr>
            <w:r>
              <w:rPr/>
              <w:t>​</w:t>
            </w:r>
          </w:p>
        </w:tc>
      </w:tr>
      <w:tr>
        <w:trPr/>
        <w:tc>
          <w:tcPr>
            <w:tcW w:w="9288" w:type="dxa"/>
            <w:tcBorders/>
            <w:vAlign w:val="center"/>
          </w:tcPr>
          <w:p>
            <w:pPr>
              <w:pStyle w:val="TableContents"/>
              <w:bidi w:val="0"/>
              <w:spacing w:before="0" w:after="0"/>
              <w:ind w:left="0" w:right="0" w:hanging="0"/>
              <w:jc w:val="left"/>
              <w:rPr/>
            </w:pPr>
            <w:hyperlink w:anchor="ITEM4CONTROLSANDPROCEDURES_93254">
              <w:r>
                <w:rPr>
                  <w:rStyle w:val="InternetLink"/>
                  <w:rFonts w:ascii="Times New Roman;Times;serif" w:hAnsi="Times New Roman;Times;serif"/>
                  <w:b w:val="false"/>
                  <w:i w:val="false"/>
                  <w:caps w:val="false"/>
                  <w:smallCaps w:val="false"/>
                  <w:sz w:val="20"/>
                </w:rPr>
                <w:t>Item 4.     Controls and Procedures</w:t>
              </w:r>
            </w:hyperlink>
          </w:p>
        </w:tc>
        <w:tc>
          <w:tcPr>
            <w:tcW w:w="346" w:type="dxa"/>
            <w:tcBorders/>
            <w:vAlign w:val="center"/>
          </w:tcPr>
          <w:p>
            <w:pPr>
              <w:pStyle w:val="TableContents"/>
              <w:bidi w:val="0"/>
              <w:spacing w:before="0" w:after="24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w:t>
            </w:r>
          </w:p>
        </w:tc>
      </w:tr>
      <w:tr>
        <w:trPr/>
        <w:tc>
          <w:tcPr>
            <w:tcW w:w="9288" w:type="dxa"/>
            <w:tcBorders/>
            <w:vAlign w:val="center"/>
          </w:tcPr>
          <w:p>
            <w:pPr>
              <w:pStyle w:val="TableContents"/>
              <w:bidi w:val="0"/>
              <w:spacing w:before="0" w:after="240"/>
              <w:ind w:left="0" w:right="0" w:hanging="0"/>
              <w:jc w:val="left"/>
              <w:rPr/>
            </w:pPr>
            <w:r>
              <w:rPr/>
              <w:t>​</w:t>
            </w:r>
          </w:p>
        </w:tc>
        <w:tc>
          <w:tcPr>
            <w:tcW w:w="346" w:type="dxa"/>
            <w:tcBorders/>
            <w:vAlign w:val="center"/>
          </w:tcPr>
          <w:p>
            <w:pPr>
              <w:pStyle w:val="TableContents"/>
              <w:bidi w:val="0"/>
              <w:spacing w:before="0" w:after="240"/>
              <w:ind w:left="0" w:right="0" w:hanging="0"/>
              <w:jc w:val="left"/>
              <w:rPr/>
            </w:pPr>
            <w:r>
              <w:rPr/>
              <w:t>​</w:t>
            </w:r>
          </w:p>
        </w:tc>
        <w:tc>
          <w:tcPr>
            <w:tcW w:w="571" w:type="dxa"/>
            <w:tcBorders/>
            <w:vAlign w:val="center"/>
          </w:tcPr>
          <w:p>
            <w:pPr>
              <w:pStyle w:val="TableContents"/>
              <w:bidi w:val="0"/>
              <w:spacing w:before="0" w:after="240"/>
              <w:ind w:left="0" w:right="0" w:hanging="0"/>
              <w:jc w:val="right"/>
              <w:rPr/>
            </w:pPr>
            <w:r>
              <w:rPr/>
              <w:t>​</w:t>
            </w:r>
          </w:p>
        </w:tc>
      </w:tr>
      <w:tr>
        <w:trPr/>
        <w:tc>
          <w:tcPr>
            <w:tcW w:w="9288" w:type="dxa"/>
            <w:tcBorders/>
            <w:vAlign w:val="center"/>
          </w:tcPr>
          <w:p>
            <w:pPr>
              <w:pStyle w:val="TableContents"/>
              <w:bidi w:val="0"/>
              <w:spacing w:before="0" w:after="0"/>
              <w:ind w:left="0" w:right="0" w:hanging="0"/>
              <w:jc w:val="left"/>
              <w:rPr/>
            </w:pPr>
            <w:hyperlink w:anchor="PARTIIOTHERINFORMATION_482394">
              <w:r>
                <w:rPr>
                  <w:rStyle w:val="InternetLink"/>
                  <w:rFonts w:ascii="Times New Roman;Times;serif" w:hAnsi="Times New Roman;Times;serif"/>
                  <w:b w:val="false"/>
                  <w:i w:val="false"/>
                  <w:caps w:val="false"/>
                  <w:smallCaps w:val="false"/>
                  <w:sz w:val="20"/>
                </w:rPr>
                <w:t>PART II—OTHER INFORMATION</w:t>
              </w:r>
            </w:hyperlink>
          </w:p>
        </w:tc>
        <w:tc>
          <w:tcPr>
            <w:tcW w:w="346" w:type="dxa"/>
            <w:tcBorders/>
            <w:vAlign w:val="center"/>
          </w:tcPr>
          <w:p>
            <w:pPr>
              <w:pStyle w:val="TableContents"/>
              <w:bidi w:val="0"/>
              <w:spacing w:before="0" w:after="24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w:t>
            </w:r>
          </w:p>
        </w:tc>
      </w:tr>
      <w:tr>
        <w:trPr/>
        <w:tc>
          <w:tcPr>
            <w:tcW w:w="9288" w:type="dxa"/>
            <w:tcBorders/>
            <w:vAlign w:val="center"/>
          </w:tcPr>
          <w:p>
            <w:pPr>
              <w:pStyle w:val="TableContents"/>
              <w:bidi w:val="0"/>
              <w:spacing w:before="0" w:after="240"/>
              <w:ind w:left="0" w:right="0" w:hanging="0"/>
              <w:jc w:val="left"/>
              <w:rPr/>
            </w:pPr>
            <w:r>
              <w:rPr/>
              <w:t>​</w:t>
            </w:r>
          </w:p>
        </w:tc>
        <w:tc>
          <w:tcPr>
            <w:tcW w:w="346" w:type="dxa"/>
            <w:tcBorders/>
            <w:vAlign w:val="center"/>
          </w:tcPr>
          <w:p>
            <w:pPr>
              <w:pStyle w:val="TableContents"/>
              <w:bidi w:val="0"/>
              <w:spacing w:before="0" w:after="240"/>
              <w:ind w:left="0" w:right="0" w:hanging="0"/>
              <w:jc w:val="left"/>
              <w:rPr/>
            </w:pPr>
            <w:r>
              <w:rPr/>
              <w:t>​</w:t>
            </w:r>
          </w:p>
        </w:tc>
        <w:tc>
          <w:tcPr>
            <w:tcW w:w="571" w:type="dxa"/>
            <w:tcBorders/>
            <w:vAlign w:val="center"/>
          </w:tcPr>
          <w:p>
            <w:pPr>
              <w:pStyle w:val="TableContents"/>
              <w:bidi w:val="0"/>
              <w:spacing w:before="0" w:after="240"/>
              <w:ind w:left="0" w:right="0" w:hanging="0"/>
              <w:jc w:val="right"/>
              <w:rPr/>
            </w:pPr>
            <w:r>
              <w:rPr/>
              <w:t>​</w:t>
            </w:r>
          </w:p>
        </w:tc>
      </w:tr>
      <w:tr>
        <w:trPr/>
        <w:tc>
          <w:tcPr>
            <w:tcW w:w="9288" w:type="dxa"/>
            <w:tcBorders/>
            <w:vAlign w:val="center"/>
          </w:tcPr>
          <w:p>
            <w:pPr>
              <w:pStyle w:val="TableContents"/>
              <w:bidi w:val="0"/>
              <w:spacing w:before="0" w:after="0"/>
              <w:ind w:left="0" w:right="0" w:hanging="0"/>
              <w:jc w:val="left"/>
              <w:rPr/>
            </w:pPr>
            <w:hyperlink w:anchor="ITEM1LEGALPROCEEDINGS_782791">
              <w:r>
                <w:rPr>
                  <w:rStyle w:val="InternetLink"/>
                  <w:rFonts w:ascii="Times New Roman;Times;serif" w:hAnsi="Times New Roman;Times;serif"/>
                  <w:b w:val="false"/>
                  <w:i w:val="false"/>
                  <w:caps w:val="false"/>
                  <w:smallCaps w:val="false"/>
                  <w:sz w:val="20"/>
                </w:rPr>
                <w:t>Item 1.     Legal Proceedings</w:t>
              </w:r>
            </w:hyperlink>
          </w:p>
        </w:tc>
        <w:tc>
          <w:tcPr>
            <w:tcW w:w="346" w:type="dxa"/>
            <w:tcBorders/>
            <w:vAlign w:val="center"/>
          </w:tcPr>
          <w:p>
            <w:pPr>
              <w:pStyle w:val="TableContents"/>
              <w:bidi w:val="0"/>
              <w:spacing w:before="0" w:after="24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w:t>
            </w:r>
          </w:p>
        </w:tc>
      </w:tr>
      <w:tr>
        <w:trPr/>
        <w:tc>
          <w:tcPr>
            <w:tcW w:w="9288" w:type="dxa"/>
            <w:tcBorders/>
            <w:vAlign w:val="center"/>
          </w:tcPr>
          <w:p>
            <w:pPr>
              <w:pStyle w:val="TableContents"/>
              <w:bidi w:val="0"/>
              <w:spacing w:before="0" w:after="240"/>
              <w:ind w:left="0" w:right="0" w:hanging="0"/>
              <w:jc w:val="left"/>
              <w:rPr/>
            </w:pPr>
            <w:r>
              <w:rPr/>
              <w:t>​</w:t>
            </w:r>
          </w:p>
        </w:tc>
        <w:tc>
          <w:tcPr>
            <w:tcW w:w="346" w:type="dxa"/>
            <w:tcBorders/>
            <w:vAlign w:val="center"/>
          </w:tcPr>
          <w:p>
            <w:pPr>
              <w:pStyle w:val="TableContents"/>
              <w:bidi w:val="0"/>
              <w:spacing w:before="0" w:after="240"/>
              <w:ind w:left="0" w:right="0" w:hanging="0"/>
              <w:jc w:val="left"/>
              <w:rPr/>
            </w:pPr>
            <w:r>
              <w:rPr/>
              <w:t>​</w:t>
            </w:r>
          </w:p>
        </w:tc>
        <w:tc>
          <w:tcPr>
            <w:tcW w:w="571" w:type="dxa"/>
            <w:tcBorders/>
            <w:vAlign w:val="center"/>
          </w:tcPr>
          <w:p>
            <w:pPr>
              <w:pStyle w:val="TableContents"/>
              <w:bidi w:val="0"/>
              <w:spacing w:before="0" w:after="240"/>
              <w:ind w:left="0" w:right="0" w:hanging="0"/>
              <w:jc w:val="right"/>
              <w:rPr/>
            </w:pPr>
            <w:r>
              <w:rPr/>
              <w:t>​</w:t>
            </w:r>
          </w:p>
        </w:tc>
      </w:tr>
      <w:tr>
        <w:trPr/>
        <w:tc>
          <w:tcPr>
            <w:tcW w:w="9288" w:type="dxa"/>
            <w:tcBorders/>
            <w:vAlign w:val="center"/>
          </w:tcPr>
          <w:p>
            <w:pPr>
              <w:pStyle w:val="TableContents"/>
              <w:bidi w:val="0"/>
              <w:spacing w:before="0" w:after="0"/>
              <w:ind w:left="0" w:right="0" w:hanging="0"/>
              <w:jc w:val="left"/>
              <w:rPr/>
            </w:pPr>
            <w:hyperlink w:anchor="ITEM1ARISKFACTORS_792917">
              <w:r>
                <w:rPr>
                  <w:rStyle w:val="InternetLink"/>
                  <w:rFonts w:ascii="Times New Roman;Times;serif" w:hAnsi="Times New Roman;Times;serif"/>
                  <w:b w:val="false"/>
                  <w:i w:val="false"/>
                  <w:caps w:val="false"/>
                  <w:smallCaps w:val="false"/>
                  <w:sz w:val="20"/>
                </w:rPr>
                <w:t>Item 1A.  Risk Factors</w:t>
              </w:r>
            </w:hyperlink>
          </w:p>
        </w:tc>
        <w:tc>
          <w:tcPr>
            <w:tcW w:w="346" w:type="dxa"/>
            <w:tcBorders/>
            <w:vAlign w:val="center"/>
          </w:tcPr>
          <w:p>
            <w:pPr>
              <w:pStyle w:val="TableContents"/>
              <w:bidi w:val="0"/>
              <w:spacing w:before="0" w:after="24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w:t>
            </w:r>
          </w:p>
        </w:tc>
      </w:tr>
      <w:tr>
        <w:trPr/>
        <w:tc>
          <w:tcPr>
            <w:tcW w:w="9288" w:type="dxa"/>
            <w:tcBorders/>
            <w:vAlign w:val="center"/>
          </w:tcPr>
          <w:p>
            <w:pPr>
              <w:pStyle w:val="TableContents"/>
              <w:bidi w:val="0"/>
              <w:spacing w:before="0" w:after="240"/>
              <w:ind w:left="0" w:right="0" w:hanging="0"/>
              <w:jc w:val="left"/>
              <w:rPr/>
            </w:pPr>
            <w:r>
              <w:rPr/>
              <w:t>​</w:t>
            </w:r>
          </w:p>
        </w:tc>
        <w:tc>
          <w:tcPr>
            <w:tcW w:w="346" w:type="dxa"/>
            <w:tcBorders/>
            <w:vAlign w:val="center"/>
          </w:tcPr>
          <w:p>
            <w:pPr>
              <w:pStyle w:val="TableContents"/>
              <w:bidi w:val="0"/>
              <w:spacing w:before="0" w:after="240"/>
              <w:ind w:left="0" w:right="0" w:hanging="0"/>
              <w:jc w:val="left"/>
              <w:rPr/>
            </w:pPr>
            <w:r>
              <w:rPr/>
              <w:t>​</w:t>
            </w:r>
          </w:p>
        </w:tc>
        <w:tc>
          <w:tcPr>
            <w:tcW w:w="571" w:type="dxa"/>
            <w:tcBorders/>
            <w:vAlign w:val="center"/>
          </w:tcPr>
          <w:p>
            <w:pPr>
              <w:pStyle w:val="TableContents"/>
              <w:bidi w:val="0"/>
              <w:spacing w:before="0" w:after="240"/>
              <w:ind w:left="0" w:right="0" w:hanging="0"/>
              <w:jc w:val="right"/>
              <w:rPr/>
            </w:pPr>
            <w:r>
              <w:rPr/>
              <w:t>​</w:t>
            </w:r>
          </w:p>
        </w:tc>
      </w:tr>
      <w:tr>
        <w:trPr/>
        <w:tc>
          <w:tcPr>
            <w:tcW w:w="9288" w:type="dxa"/>
            <w:tcBorders/>
            <w:vAlign w:val="center"/>
          </w:tcPr>
          <w:p>
            <w:pPr>
              <w:pStyle w:val="TableContents"/>
              <w:bidi w:val="0"/>
              <w:spacing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Item 2.     Unregistered Sales of Equity Securities and Use of Proceeds</w:t>
              </w:r>
            </w:hyperlink>
          </w:p>
        </w:tc>
        <w:tc>
          <w:tcPr>
            <w:tcW w:w="346" w:type="dxa"/>
            <w:tcBorders/>
            <w:vAlign w:val="center"/>
          </w:tcPr>
          <w:p>
            <w:pPr>
              <w:pStyle w:val="TableContents"/>
              <w:bidi w:val="0"/>
              <w:spacing w:before="0" w:after="24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w:t>
            </w:r>
          </w:p>
        </w:tc>
      </w:tr>
      <w:tr>
        <w:trPr/>
        <w:tc>
          <w:tcPr>
            <w:tcW w:w="9288" w:type="dxa"/>
            <w:tcBorders/>
            <w:vAlign w:val="center"/>
          </w:tcPr>
          <w:p>
            <w:pPr>
              <w:pStyle w:val="TableContents"/>
              <w:bidi w:val="0"/>
              <w:spacing w:before="0" w:after="240"/>
              <w:ind w:left="0" w:right="0" w:hanging="0"/>
              <w:jc w:val="left"/>
              <w:rPr/>
            </w:pPr>
            <w:r>
              <w:rPr/>
              <w:t>​</w:t>
            </w:r>
          </w:p>
        </w:tc>
        <w:tc>
          <w:tcPr>
            <w:tcW w:w="346" w:type="dxa"/>
            <w:tcBorders/>
            <w:vAlign w:val="center"/>
          </w:tcPr>
          <w:p>
            <w:pPr>
              <w:pStyle w:val="TableContents"/>
              <w:bidi w:val="0"/>
              <w:spacing w:before="0" w:after="240"/>
              <w:ind w:left="0" w:right="0" w:hanging="0"/>
              <w:jc w:val="left"/>
              <w:rPr/>
            </w:pPr>
            <w:r>
              <w:rPr/>
              <w:t>​</w:t>
            </w:r>
          </w:p>
        </w:tc>
        <w:tc>
          <w:tcPr>
            <w:tcW w:w="571" w:type="dxa"/>
            <w:tcBorders/>
            <w:vAlign w:val="center"/>
          </w:tcPr>
          <w:p>
            <w:pPr>
              <w:pStyle w:val="TableContents"/>
              <w:bidi w:val="0"/>
              <w:spacing w:before="0" w:after="240"/>
              <w:ind w:left="0" w:right="0" w:hanging="0"/>
              <w:jc w:val="right"/>
              <w:rPr/>
            </w:pPr>
            <w:r>
              <w:rPr/>
              <w:t>​</w:t>
            </w:r>
          </w:p>
        </w:tc>
      </w:tr>
      <w:tr>
        <w:trPr/>
        <w:tc>
          <w:tcPr>
            <w:tcW w:w="9288" w:type="dxa"/>
            <w:tcBorders/>
            <w:vAlign w:val="center"/>
          </w:tcPr>
          <w:p>
            <w:pPr>
              <w:pStyle w:val="TableContents"/>
              <w:bidi w:val="0"/>
              <w:spacing w:before="0" w:after="0"/>
              <w:ind w:left="0" w:right="0" w:hanging="0"/>
              <w:jc w:val="left"/>
              <w:rPr/>
            </w:pPr>
            <w:hyperlink w:anchor="ITEM3DEFAULTSUPONSENIORSECURITIES_376496">
              <w:r>
                <w:rPr>
                  <w:rStyle w:val="InternetLink"/>
                  <w:rFonts w:ascii="Times New Roman;Times;serif" w:hAnsi="Times New Roman;Times;serif"/>
                  <w:b w:val="false"/>
                  <w:i w:val="false"/>
                  <w:caps w:val="false"/>
                  <w:smallCaps w:val="false"/>
                  <w:sz w:val="20"/>
                </w:rPr>
                <w:t>Item 3.     Defaults Upon Senior Securities</w:t>
              </w:r>
            </w:hyperlink>
          </w:p>
        </w:tc>
        <w:tc>
          <w:tcPr>
            <w:tcW w:w="346" w:type="dxa"/>
            <w:tcBorders/>
            <w:vAlign w:val="center"/>
          </w:tcPr>
          <w:p>
            <w:pPr>
              <w:pStyle w:val="TableContents"/>
              <w:bidi w:val="0"/>
              <w:spacing w:before="0" w:after="24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w:t>
            </w:r>
          </w:p>
        </w:tc>
      </w:tr>
      <w:tr>
        <w:trPr/>
        <w:tc>
          <w:tcPr>
            <w:tcW w:w="9288" w:type="dxa"/>
            <w:tcBorders/>
            <w:vAlign w:val="center"/>
          </w:tcPr>
          <w:p>
            <w:pPr>
              <w:pStyle w:val="TableContents"/>
              <w:bidi w:val="0"/>
              <w:spacing w:before="0" w:after="240"/>
              <w:ind w:left="0" w:right="0" w:hanging="0"/>
              <w:jc w:val="left"/>
              <w:rPr/>
            </w:pPr>
            <w:r>
              <w:rPr/>
              <w:t>​</w:t>
            </w:r>
          </w:p>
        </w:tc>
        <w:tc>
          <w:tcPr>
            <w:tcW w:w="346" w:type="dxa"/>
            <w:tcBorders/>
            <w:vAlign w:val="center"/>
          </w:tcPr>
          <w:p>
            <w:pPr>
              <w:pStyle w:val="TableContents"/>
              <w:bidi w:val="0"/>
              <w:spacing w:before="0" w:after="240"/>
              <w:ind w:left="0" w:right="0" w:hanging="0"/>
              <w:jc w:val="left"/>
              <w:rPr/>
            </w:pPr>
            <w:r>
              <w:rPr/>
              <w:t>​</w:t>
            </w:r>
          </w:p>
        </w:tc>
        <w:tc>
          <w:tcPr>
            <w:tcW w:w="571" w:type="dxa"/>
            <w:tcBorders/>
            <w:vAlign w:val="center"/>
          </w:tcPr>
          <w:p>
            <w:pPr>
              <w:pStyle w:val="TableContents"/>
              <w:bidi w:val="0"/>
              <w:spacing w:before="0" w:after="240"/>
              <w:ind w:left="0" w:right="0" w:hanging="0"/>
              <w:jc w:val="right"/>
              <w:rPr/>
            </w:pPr>
            <w:r>
              <w:rPr/>
              <w:t>​</w:t>
            </w:r>
          </w:p>
        </w:tc>
      </w:tr>
      <w:tr>
        <w:trPr/>
        <w:tc>
          <w:tcPr>
            <w:tcW w:w="9288" w:type="dxa"/>
            <w:tcBorders/>
            <w:vAlign w:val="center"/>
          </w:tcPr>
          <w:p>
            <w:pPr>
              <w:pStyle w:val="TableContents"/>
              <w:bidi w:val="0"/>
              <w:spacing w:before="0" w:after="0"/>
              <w:ind w:left="0" w:right="0" w:hanging="0"/>
              <w:jc w:val="left"/>
              <w:rPr/>
            </w:pPr>
            <w:hyperlink w:anchor="ITEM4MINESAFETYDISCLOSURES_109581">
              <w:r>
                <w:rPr>
                  <w:rStyle w:val="InternetLink"/>
                  <w:rFonts w:ascii="Times New Roman;Times;serif" w:hAnsi="Times New Roman;Times;serif"/>
                  <w:b w:val="false"/>
                  <w:i w:val="false"/>
                  <w:caps w:val="false"/>
                  <w:smallCaps w:val="false"/>
                  <w:sz w:val="20"/>
                </w:rPr>
                <w:t>Item 4.     Mine Safety Disclosures</w:t>
              </w:r>
            </w:hyperlink>
          </w:p>
        </w:tc>
        <w:tc>
          <w:tcPr>
            <w:tcW w:w="346" w:type="dxa"/>
            <w:tcBorders/>
            <w:vAlign w:val="center"/>
          </w:tcPr>
          <w:p>
            <w:pPr>
              <w:pStyle w:val="TableContents"/>
              <w:bidi w:val="0"/>
              <w:spacing w:before="0" w:after="24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w:t>
            </w:r>
          </w:p>
        </w:tc>
      </w:tr>
      <w:tr>
        <w:trPr/>
        <w:tc>
          <w:tcPr>
            <w:tcW w:w="9288" w:type="dxa"/>
            <w:tcBorders/>
            <w:vAlign w:val="center"/>
          </w:tcPr>
          <w:p>
            <w:pPr>
              <w:pStyle w:val="TableContents"/>
              <w:bidi w:val="0"/>
              <w:spacing w:before="0" w:after="240"/>
              <w:ind w:left="0" w:right="0" w:hanging="0"/>
              <w:jc w:val="left"/>
              <w:rPr/>
            </w:pPr>
            <w:r>
              <w:rPr/>
              <w:t>​</w:t>
            </w:r>
          </w:p>
        </w:tc>
        <w:tc>
          <w:tcPr>
            <w:tcW w:w="346" w:type="dxa"/>
            <w:tcBorders/>
            <w:vAlign w:val="center"/>
          </w:tcPr>
          <w:p>
            <w:pPr>
              <w:pStyle w:val="TableContents"/>
              <w:bidi w:val="0"/>
              <w:spacing w:before="0" w:after="240"/>
              <w:ind w:left="0" w:right="0" w:hanging="0"/>
              <w:jc w:val="left"/>
              <w:rPr/>
            </w:pPr>
            <w:r>
              <w:rPr/>
              <w:t>​</w:t>
            </w:r>
          </w:p>
        </w:tc>
        <w:tc>
          <w:tcPr>
            <w:tcW w:w="571" w:type="dxa"/>
            <w:tcBorders/>
            <w:vAlign w:val="center"/>
          </w:tcPr>
          <w:p>
            <w:pPr>
              <w:pStyle w:val="TableContents"/>
              <w:bidi w:val="0"/>
              <w:spacing w:before="0" w:after="240"/>
              <w:ind w:left="0" w:right="0" w:hanging="0"/>
              <w:jc w:val="right"/>
              <w:rPr/>
            </w:pPr>
            <w:r>
              <w:rPr/>
              <w:t>​</w:t>
            </w:r>
          </w:p>
        </w:tc>
      </w:tr>
      <w:tr>
        <w:trPr/>
        <w:tc>
          <w:tcPr>
            <w:tcW w:w="9288" w:type="dxa"/>
            <w:tcBorders/>
            <w:vAlign w:val="center"/>
          </w:tcPr>
          <w:p>
            <w:pPr>
              <w:pStyle w:val="TableContents"/>
              <w:bidi w:val="0"/>
              <w:spacing w:before="0" w:after="0"/>
              <w:ind w:left="0" w:right="0" w:hanging="0"/>
              <w:jc w:val="left"/>
              <w:rPr/>
            </w:pPr>
            <w:hyperlink w:anchor="ITEM5OTHERINFORMATION_915711">
              <w:r>
                <w:rPr>
                  <w:rStyle w:val="InternetLink"/>
                  <w:rFonts w:ascii="Times New Roman;Times;serif" w:hAnsi="Times New Roman;Times;serif"/>
                  <w:b w:val="false"/>
                  <w:i w:val="false"/>
                  <w:caps w:val="false"/>
                  <w:smallCaps w:val="false"/>
                  <w:sz w:val="20"/>
                </w:rPr>
                <w:t>Item 5.     Other Information</w:t>
              </w:r>
            </w:hyperlink>
          </w:p>
        </w:tc>
        <w:tc>
          <w:tcPr>
            <w:tcW w:w="346" w:type="dxa"/>
            <w:tcBorders/>
            <w:vAlign w:val="center"/>
          </w:tcPr>
          <w:p>
            <w:pPr>
              <w:pStyle w:val="TableContents"/>
              <w:bidi w:val="0"/>
              <w:spacing w:before="0" w:after="24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w:t>
            </w:r>
          </w:p>
        </w:tc>
      </w:tr>
      <w:tr>
        <w:trPr/>
        <w:tc>
          <w:tcPr>
            <w:tcW w:w="9288" w:type="dxa"/>
            <w:tcBorders/>
            <w:vAlign w:val="center"/>
          </w:tcPr>
          <w:p>
            <w:pPr>
              <w:pStyle w:val="TableContents"/>
              <w:bidi w:val="0"/>
              <w:spacing w:before="0" w:after="240"/>
              <w:ind w:left="0" w:right="0" w:hanging="0"/>
              <w:jc w:val="left"/>
              <w:rPr/>
            </w:pPr>
            <w:r>
              <w:rPr/>
              <w:t>​</w:t>
            </w:r>
          </w:p>
        </w:tc>
        <w:tc>
          <w:tcPr>
            <w:tcW w:w="346" w:type="dxa"/>
            <w:tcBorders/>
            <w:vAlign w:val="center"/>
          </w:tcPr>
          <w:p>
            <w:pPr>
              <w:pStyle w:val="TableContents"/>
              <w:bidi w:val="0"/>
              <w:spacing w:before="0" w:after="240"/>
              <w:ind w:left="0" w:right="0" w:hanging="0"/>
              <w:jc w:val="left"/>
              <w:rPr/>
            </w:pPr>
            <w:r>
              <w:rPr/>
              <w:t>​</w:t>
            </w:r>
          </w:p>
        </w:tc>
        <w:tc>
          <w:tcPr>
            <w:tcW w:w="571" w:type="dxa"/>
            <w:tcBorders/>
            <w:vAlign w:val="center"/>
          </w:tcPr>
          <w:p>
            <w:pPr>
              <w:pStyle w:val="TableContents"/>
              <w:bidi w:val="0"/>
              <w:spacing w:before="0" w:after="240"/>
              <w:ind w:left="0" w:right="0" w:hanging="0"/>
              <w:jc w:val="right"/>
              <w:rPr/>
            </w:pPr>
            <w:r>
              <w:rPr/>
              <w:t>​</w:t>
            </w:r>
          </w:p>
        </w:tc>
      </w:tr>
      <w:tr>
        <w:trPr/>
        <w:tc>
          <w:tcPr>
            <w:tcW w:w="9288" w:type="dxa"/>
            <w:tcBorders/>
            <w:vAlign w:val="center"/>
          </w:tcPr>
          <w:p>
            <w:pPr>
              <w:pStyle w:val="TableContents"/>
              <w:bidi w:val="0"/>
              <w:spacing w:before="0" w:after="0"/>
              <w:ind w:left="0" w:right="0" w:hanging="0"/>
              <w:jc w:val="left"/>
              <w:rPr/>
            </w:pPr>
            <w:hyperlink w:anchor="ITEM6EXHIBITS_110802">
              <w:r>
                <w:rPr>
                  <w:rStyle w:val="InternetLink"/>
                  <w:rFonts w:ascii="Times New Roman;Times;serif" w:hAnsi="Times New Roman;Times;serif"/>
                  <w:b w:val="false"/>
                  <w:i w:val="false"/>
                  <w:caps w:val="false"/>
                  <w:smallCaps w:val="false"/>
                  <w:sz w:val="20"/>
                </w:rPr>
                <w:t>Item 6.     Exhibits</w:t>
              </w:r>
            </w:hyperlink>
          </w:p>
        </w:tc>
        <w:tc>
          <w:tcPr>
            <w:tcW w:w="346" w:type="dxa"/>
            <w:tcBorders/>
            <w:vAlign w:val="center"/>
          </w:tcPr>
          <w:p>
            <w:pPr>
              <w:pStyle w:val="TableContents"/>
              <w:bidi w:val="0"/>
              <w:spacing w:before="0" w:after="24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w:t>
            </w:r>
          </w:p>
        </w:tc>
      </w:tr>
      <w:tr>
        <w:trPr/>
        <w:tc>
          <w:tcPr>
            <w:tcW w:w="9288" w:type="dxa"/>
            <w:tcBorders/>
            <w:vAlign w:val="center"/>
          </w:tcPr>
          <w:p>
            <w:pPr>
              <w:pStyle w:val="TableContents"/>
              <w:bidi w:val="0"/>
              <w:spacing w:before="0" w:after="240"/>
              <w:ind w:left="0" w:right="0" w:hanging="0"/>
              <w:jc w:val="left"/>
              <w:rPr/>
            </w:pPr>
            <w:r>
              <w:rPr/>
              <w:t>​</w:t>
            </w:r>
          </w:p>
        </w:tc>
        <w:tc>
          <w:tcPr>
            <w:tcW w:w="346" w:type="dxa"/>
            <w:tcBorders/>
            <w:vAlign w:val="center"/>
          </w:tcPr>
          <w:p>
            <w:pPr>
              <w:pStyle w:val="TableContents"/>
              <w:bidi w:val="0"/>
              <w:spacing w:before="0" w:after="240"/>
              <w:ind w:left="0" w:right="0" w:hanging="0"/>
              <w:jc w:val="left"/>
              <w:rPr/>
            </w:pPr>
            <w:r>
              <w:rPr/>
              <w:t>​</w:t>
            </w:r>
          </w:p>
        </w:tc>
        <w:tc>
          <w:tcPr>
            <w:tcW w:w="571" w:type="dxa"/>
            <w:tcBorders/>
            <w:vAlign w:val="center"/>
          </w:tcPr>
          <w:p>
            <w:pPr>
              <w:pStyle w:val="TableContents"/>
              <w:bidi w:val="0"/>
              <w:spacing w:before="0" w:after="240"/>
              <w:ind w:left="0" w:right="0" w:hanging="0"/>
              <w:jc w:val="right"/>
              <w:rPr/>
            </w:pPr>
            <w:r>
              <w:rPr/>
              <w:t>​</w:t>
            </w:r>
          </w:p>
        </w:tc>
      </w:tr>
      <w:tr>
        <w:trPr/>
        <w:tc>
          <w:tcPr>
            <w:tcW w:w="9288" w:type="dxa"/>
            <w:tcBorders/>
            <w:vAlign w:val="center"/>
          </w:tcPr>
          <w:p>
            <w:pPr>
              <w:pStyle w:val="TableContents"/>
              <w:bidi w:val="0"/>
              <w:spacing w:before="0" w:after="0"/>
              <w:ind w:left="0" w:right="0" w:hanging="0"/>
              <w:jc w:val="left"/>
              <w:rPr/>
            </w:pPr>
            <w:hyperlink w:anchor="Signatures_946901">
              <w:r>
                <w:rPr>
                  <w:rStyle w:val="InternetLink"/>
                  <w:rFonts w:ascii="Times New Roman;Times;serif" w:hAnsi="Times New Roman;Times;serif"/>
                  <w:b w:val="false"/>
                  <w:i w:val="false"/>
                  <w:caps w:val="false"/>
                  <w:smallCaps w:val="false"/>
                  <w:sz w:val="20"/>
                </w:rPr>
                <w:t>SIGNATURES</w:t>
              </w:r>
            </w:hyperlink>
          </w:p>
        </w:tc>
        <w:tc>
          <w:tcPr>
            <w:tcW w:w="346" w:type="dxa"/>
            <w:tcBorders/>
            <w:vAlign w:val="center"/>
          </w:tcPr>
          <w:p>
            <w:pPr>
              <w:pStyle w:val="TableContents"/>
              <w:bidi w:val="0"/>
              <w:spacing w:before="0" w:after="24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47" w:name="PARTIFINANCIALINFORMATION"/>
      <w:bookmarkStart w:id="48" w:name="_08d941c8_8233_4a6c_a5f8_7264357844dd"/>
      <w:bookmarkEnd w:id="47"/>
      <w:bookmarkEnd w:id="48"/>
      <w:r>
        <w:rPr>
          <w:rFonts w:ascii="Times New Roman;Times;serif" w:hAnsi="Times New Roman;Times;serif"/>
          <w:b/>
          <w:sz w:val="20"/>
        </w:rPr>
        <w:t>PART I—FINANCIAL INFORMATION</w:t>
      </w:r>
    </w:p>
    <w:p>
      <w:pPr>
        <w:pStyle w:val="TextBody"/>
        <w:bidi w:val="0"/>
        <w:spacing w:before="0" w:after="0"/>
        <w:ind w:left="0" w:right="0" w:hanging="0"/>
        <w:jc w:val="center"/>
        <w:rPr>
          <w:rFonts w:ascii="Times New Roman;Times;serif" w:hAnsi="Times New Roman;Times;serif"/>
          <w:b/>
          <w:sz w:val="20"/>
        </w:rPr>
      </w:pPr>
      <w:bookmarkStart w:id="49" w:name="ITEM1FINANCIALSTATEMENTS_291469"/>
      <w:bookmarkEnd w:id="49"/>
      <w:r>
        <w:rPr>
          <w:rFonts w:ascii="Times New Roman;Times;serif" w:hAnsi="Times New Roman;Times;serif"/>
          <w:b/>
          <w:sz w:val="20"/>
        </w:rPr>
        <w:t>ITEM 1. FINANCIAL STATEMENTS</w:t>
      </w:r>
    </w:p>
    <w:p>
      <w:pPr>
        <w:pStyle w:val="TextBody"/>
        <w:bidi w:val="0"/>
        <w:spacing w:before="0" w:after="24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bookmarkStart w:id="50" w:name="CONSOLIDATEDBALANCESHEETS"/>
      <w:bookmarkEnd w:id="50"/>
      <w:r>
        <w:rPr>
          <w:rFonts w:ascii="Times New Roman;Times;serif" w:hAnsi="Times New Roman;Times;serif"/>
          <w:sz w:val="20"/>
        </w:rPr>
        <w:t>ALPINE INCOME PROPERTY TRUST, INC.</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CONSOLIDATED BALANCE SHEETS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(In thousands, except share and per share data)</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51" w:name="Tc_vbCsf696OkCAQqW5eqmVUQ_36_4"/>
      <w:bookmarkStart w:id="52" w:name="Tc_hP2NbpaeskaHTA7_K0WYrg_36_1"/>
      <w:bookmarkStart w:id="53" w:name="Tc_4iuSfYVYc0aYDjN3ZEzPIQ_36_0"/>
      <w:bookmarkStart w:id="54" w:name="Tc_h-119PRiakegsAyxPOQMww_35_0"/>
      <w:bookmarkStart w:id="55" w:name="Tc_HlWZ9ysciUuS6GEsJy_BaQ_34_0"/>
      <w:bookmarkStart w:id="56" w:name="Tc_Z9Ic4uVT9EePRZob-_br6Q_33_0"/>
      <w:bookmarkStart w:id="57" w:name="Tc_t1zZrVuOz0GHngBAP6c7MA_32_0"/>
      <w:bookmarkStart w:id="58" w:name="Tc_fMMFS9sjl02IINJ1Vn1mnQ_31_0"/>
      <w:bookmarkStart w:id="59" w:name="Tc_l9fot9E2TUuxIAdQwcsTDA_30_0"/>
      <w:bookmarkStart w:id="60" w:name="Tc_CdOtSSqbwUmv6s5QWsd0QA_29_0"/>
      <w:bookmarkStart w:id="61" w:name="Tc_jzW1XF42fUWmo5R4DNLp0A_28_0"/>
      <w:bookmarkStart w:id="62" w:name="Tc_eGvQGx8OOUOiMkEZ9cmqLQ_27_0"/>
      <w:bookmarkStart w:id="63" w:name="Tc_ZUmEU5tzQU-fQdjc6tMdfw_26_0"/>
      <w:bookmarkStart w:id="64" w:name="Tc_89ajTtHUPU6v68lXYCaiEg_25_0"/>
      <w:bookmarkStart w:id="65" w:name="Tc_sqaLZl6MFkG8CHjEU7Mg-Q_24_0"/>
      <w:bookmarkStart w:id="66" w:name="Tc_-IMkFDXoiUaRMV31Vd0alA_23_0"/>
      <w:bookmarkStart w:id="67" w:name="Tc_hul0S-3Ryk6ElYqTvnzd9w_22_0"/>
      <w:bookmarkStart w:id="68" w:name="Tc_4-0rrIULSkW7hje_epDcVg_21_0"/>
      <w:bookmarkStart w:id="69" w:name="Tc_DJJvF7p4jUmuuC2WixXJYw_20_4"/>
      <w:bookmarkStart w:id="70" w:name="Tc_j6zmcXJX9E-Y5dWBtDjWZQ_20_1"/>
      <w:bookmarkStart w:id="71" w:name="Tc_BHCyWyjAkEyeLD9Q2xIh0g_20_0"/>
      <w:bookmarkStart w:id="72" w:name="Tc_hvAj8VOHbU24u_F7s6DPDQ_19_0"/>
      <w:bookmarkStart w:id="73" w:name="Tc_c6-6jg6ijEuSIJJ0XB-vzQ_18_0"/>
      <w:bookmarkStart w:id="74" w:name="Tc_N_-bXm5gQ0mtTOJsY4bWnA_17_4"/>
      <w:bookmarkStart w:id="75" w:name="Tc_yjMimrMwjEmEH9sqYpC6Pw_17_1"/>
      <w:bookmarkStart w:id="76" w:name="Tc_VebjoHNkrEybH7NpDXSeXg_17_0"/>
      <w:bookmarkStart w:id="77" w:name="Tc_2jOJ2O3E9E6-DmWjl1hCPg_16_0"/>
      <w:bookmarkStart w:id="78" w:name="Tc_9N-7y2VBjUimUpmERFnqbA_15_0"/>
      <w:bookmarkStart w:id="79" w:name="Tc_wLIr_BCSAECsKx22GQJ5yg_14_0"/>
      <w:bookmarkStart w:id="80" w:name="Tc_yn94vRhXvEWiP4YFdZdbWw_13_0"/>
      <w:bookmarkStart w:id="81" w:name="Tc_5BfZ8n7d2kSFzsF9Ps6QOw_12_0"/>
      <w:bookmarkStart w:id="82" w:name="Tc__RYU-MWI0kSpE7kXNSQM_A_11_0"/>
      <w:bookmarkStart w:id="83" w:name="Tc_WyVowp7hrEKF7K1nijhaig_10_0"/>
      <w:bookmarkStart w:id="84" w:name="Tc_GGyo_0siT0mf2xatS5V54A_9_0"/>
      <w:bookmarkStart w:id="85" w:name="Tc_8PzP2sS47kixlxWuHsAuXA_8_0"/>
      <w:bookmarkStart w:id="86" w:name="Tc_MZvXQPc16EST2UFlKBcs0w_7_0"/>
      <w:bookmarkStart w:id="87" w:name="Tc_kXaOXKX15E6UAhvsbPmsZQ_6_0"/>
      <w:bookmarkStart w:id="88" w:name="Tc_5_wHF2zxCU-LpCMm2MJhRw_5_4"/>
      <w:bookmarkStart w:id="89" w:name="Tc_o7Jrz9UeFU-haShpzlma9g_5_1"/>
      <w:bookmarkStart w:id="90" w:name="Tc_TAMW-ilCPUOGvAmIWQK8WA_5_0"/>
      <w:bookmarkStart w:id="91" w:name="Tc_MGtyrGH5QEiZmQ56XYraXA_4_0"/>
      <w:bookmarkStart w:id="92" w:name="Tc_M0DaEkyTe0im_F0bx48GSw_3_0"/>
      <w:bookmarkStart w:id="93" w:name="Tc_1U8qSJzRQk2OU2OMhv52Hg_2_4"/>
      <w:bookmarkStart w:id="94" w:name="Tc_4015mGr7REGoj528gHrbng_2_1"/>
      <w:bookmarkStart w:id="95" w:name="Tc_5mdujtRaiUWqZshfjFY7kw_1_1"/>
      <w:bookmarkStart w:id="96" w:name="_971efe10_ccec_48bd_b991_1a980d5198a1"/>
      <w:bookmarkStart w:id="97" w:name="Tc_vbCsf696OkCAQqW5eqmVUQ_36_4"/>
      <w:bookmarkStart w:id="98" w:name="Tc_hP2NbpaeskaHTA7_K0WYrg_36_1"/>
      <w:bookmarkStart w:id="99" w:name="Tc_4iuSfYVYc0aYDjN3ZEzPIQ_36_0"/>
      <w:bookmarkStart w:id="100" w:name="Tc_h-119PRiakegsAyxPOQMww_35_0"/>
      <w:bookmarkStart w:id="101" w:name="Tc_HlWZ9ysciUuS6GEsJy_BaQ_34_0"/>
      <w:bookmarkStart w:id="102" w:name="Tc_Z9Ic4uVT9EePRZob-_br6Q_33_0"/>
      <w:bookmarkStart w:id="103" w:name="Tc_t1zZrVuOz0GHngBAP6c7MA_32_0"/>
      <w:bookmarkStart w:id="104" w:name="Tc_fMMFS9sjl02IINJ1Vn1mnQ_31_0"/>
      <w:bookmarkStart w:id="105" w:name="Tc_l9fot9E2TUuxIAdQwcsTDA_30_0"/>
      <w:bookmarkStart w:id="106" w:name="Tc_CdOtSSqbwUmv6s5QWsd0QA_29_0"/>
      <w:bookmarkStart w:id="107" w:name="Tc_jzW1XF42fUWmo5R4DNLp0A_28_0"/>
      <w:bookmarkStart w:id="108" w:name="Tc_eGvQGx8OOUOiMkEZ9cmqLQ_27_0"/>
      <w:bookmarkStart w:id="109" w:name="Tc_ZUmEU5tzQU-fQdjc6tMdfw_26_0"/>
      <w:bookmarkStart w:id="110" w:name="Tc_89ajTtHUPU6v68lXYCaiEg_25_0"/>
      <w:bookmarkStart w:id="111" w:name="Tc_sqaLZl6MFkG8CHjEU7Mg-Q_24_0"/>
      <w:bookmarkStart w:id="112" w:name="Tc_-IMkFDXoiUaRMV31Vd0alA_23_0"/>
      <w:bookmarkStart w:id="113" w:name="Tc_hul0S-3Ryk6ElYqTvnzd9w_22_0"/>
      <w:bookmarkStart w:id="114" w:name="Tc_4-0rrIULSkW7hje_epDcVg_21_0"/>
      <w:bookmarkStart w:id="115" w:name="Tc_DJJvF7p4jUmuuC2WixXJYw_20_4"/>
      <w:bookmarkStart w:id="116" w:name="Tc_j6zmcXJX9E-Y5dWBtDjWZQ_20_1"/>
      <w:bookmarkStart w:id="117" w:name="Tc_BHCyWyjAkEyeLD9Q2xIh0g_20_0"/>
      <w:bookmarkStart w:id="118" w:name="Tc_hvAj8VOHbU24u_F7s6DPDQ_19_0"/>
      <w:bookmarkStart w:id="119" w:name="Tc_c6-6jg6ijEuSIJJ0XB-vzQ_18_0"/>
      <w:bookmarkStart w:id="120" w:name="Tc_N_-bXm5gQ0mtTOJsY4bWnA_17_4"/>
      <w:bookmarkStart w:id="121" w:name="Tc_yjMimrMwjEmEH9sqYpC6Pw_17_1"/>
      <w:bookmarkStart w:id="122" w:name="Tc_VebjoHNkrEybH7NpDXSeXg_17_0"/>
      <w:bookmarkStart w:id="123" w:name="Tc_2jOJ2O3E9E6-DmWjl1hCPg_16_0"/>
      <w:bookmarkStart w:id="124" w:name="Tc_9N-7y2VBjUimUpmERFnqbA_15_0"/>
      <w:bookmarkStart w:id="125" w:name="Tc_wLIr_BCSAECsKx22GQJ5yg_14_0"/>
      <w:bookmarkStart w:id="126" w:name="Tc_yn94vRhXvEWiP4YFdZdbWw_13_0"/>
      <w:bookmarkStart w:id="127" w:name="Tc_5BfZ8n7d2kSFzsF9Ps6QOw_12_0"/>
      <w:bookmarkStart w:id="128" w:name="Tc__RYU-MWI0kSpE7kXNSQM_A_11_0"/>
      <w:bookmarkStart w:id="129" w:name="Tc_WyVowp7hrEKF7K1nijhaig_10_0"/>
      <w:bookmarkStart w:id="130" w:name="Tc_GGyo_0siT0mf2xatS5V54A_9_0"/>
      <w:bookmarkStart w:id="131" w:name="Tc_8PzP2sS47kixlxWuHsAuXA_8_0"/>
      <w:bookmarkStart w:id="132" w:name="Tc_MZvXQPc16EST2UFlKBcs0w_7_0"/>
      <w:bookmarkStart w:id="133" w:name="Tc_kXaOXKX15E6UAhvsbPmsZQ_6_0"/>
      <w:bookmarkStart w:id="134" w:name="Tc_5_wHF2zxCU-LpCMm2MJhRw_5_4"/>
      <w:bookmarkStart w:id="135" w:name="Tc_o7Jrz9UeFU-haShpzlma9g_5_1"/>
      <w:bookmarkStart w:id="136" w:name="Tc_TAMW-ilCPUOGvAmIWQK8WA_5_0"/>
      <w:bookmarkStart w:id="137" w:name="Tc_MGtyrGH5QEiZmQ56XYraXA_4_0"/>
      <w:bookmarkStart w:id="138" w:name="Tc_M0DaEkyTe0im_F0bx48GSw_3_0"/>
      <w:bookmarkStart w:id="139" w:name="Tc_1U8qSJzRQk2OU2OMhv52Hg_2_4"/>
      <w:bookmarkStart w:id="140" w:name="Tc_4015mGr7REGoj528gHrbng_2_1"/>
      <w:bookmarkStart w:id="141" w:name="Tc_5mdujtRaiUWqZshfjFY7kw_1_1"/>
      <w:bookmarkStart w:id="142" w:name="_971efe10_ccec_48bd_b991_1a980d5198a1"/>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p>
    <w:tbl>
      <w:tblPr>
        <w:tblW w:w="10205" w:type="dxa"/>
        <w:jc w:val="left"/>
        <w:tblInd w:w="0" w:type="dxa"/>
        <w:tblLayout w:type="fixed"/>
        <w:tblCellMar>
          <w:top w:w="0" w:type="dxa"/>
          <w:left w:w="0" w:type="dxa"/>
          <w:bottom w:w="0" w:type="dxa"/>
          <w:right w:w="0" w:type="dxa"/>
        </w:tblCellMar>
      </w:tblPr>
      <w:tblGrid>
        <w:gridCol w:w="7365"/>
        <w:gridCol w:w="225"/>
        <w:gridCol w:w="840"/>
        <w:gridCol w:w="346"/>
        <w:gridCol w:w="271"/>
        <w:gridCol w:w="1158"/>
      </w:tblGrid>
      <w:tr>
        <w:trPr/>
        <w:tc>
          <w:tcPr>
            <w:tcW w:w="7365"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142875" cy="175260"/>
                      <wp:effectExtent l="0" t="0" r="0" b="0"/>
                      <wp:wrapNone/>
                      <wp:docPr id="1" name="Frame1"/>
                      <a:graphic xmlns:a="http://schemas.openxmlformats.org/drawingml/2006/main">
                        <a:graphicData uri="http://schemas.microsoft.com/office/word/2010/wordprocessingShape">
                          <wps:wsp>
                            <wps:cNvSpPr txBox="1"/>
                            <wps:spPr>
                              <a:xfrm>
                                <a:off x="0" y="0"/>
                                <a:ext cx="1428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533400" cy="175260"/>
                      <wp:effectExtent l="0" t="0" r="0" b="0"/>
                      <wp:wrapNone/>
                      <wp:docPr id="2" name="Frame2"/>
                      <a:graphic xmlns:a="http://schemas.openxmlformats.org/drawingml/2006/main">
                        <a:graphicData uri="http://schemas.microsoft.com/office/word/2010/wordprocessingShape">
                          <wps:wsp>
                            <wps:cNvSpPr txBox="1"/>
                            <wps:spPr>
                              <a:xfrm>
                                <a:off x="0" y="0"/>
                                <a:ext cx="5334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219710" cy="175260"/>
                      <wp:effectExtent l="0" t="0" r="0" b="0"/>
                      <wp:wrapNone/>
                      <wp:docPr id="3" name="Frame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172085" cy="175260"/>
                      <wp:effectExtent l="0" t="0" r="0" b="0"/>
                      <wp:wrapNone/>
                      <wp:docPr id="4" name="Frame4"/>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735330" cy="175260"/>
                      <wp:effectExtent l="0" t="0" r="0" b="0"/>
                      <wp:wrapNone/>
                      <wp:docPr id="5" name="Frame5"/>
                      <a:graphic xmlns:a="http://schemas.openxmlformats.org/drawingml/2006/main">
                        <a:graphicData uri="http://schemas.microsoft.com/office/word/2010/wordprocessingShape">
                          <wps:wsp>
                            <wps:cNvSpPr txBox="1"/>
                            <wps:spPr>
                              <a:xfrm>
                                <a:off x="0" y="0"/>
                                <a:ext cx="7353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7365" w:type="dxa"/>
            <w:tcBorders/>
            <w:vAlign w:val="center"/>
          </w:tcPr>
          <w:p>
            <w:pPr>
              <w:pStyle w:val="TableContents"/>
              <w:bidi w:val="0"/>
              <w:spacing w:before="0" w:after="1"/>
              <w:ind w:left="0" w:right="0" w:hanging="0"/>
              <w:jc w:val="left"/>
              <w:rPr/>
            </w:pPr>
            <w:r>
              <w:rPr/>
              <w:t>​</w:t>
            </w:r>
          </w:p>
        </w:tc>
        <w:tc>
          <w:tcPr>
            <w:tcW w:w="284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As of</w:t>
            </w:r>
          </w:p>
        </w:tc>
      </w:tr>
      <w:tr>
        <w:trPr/>
        <w:tc>
          <w:tcPr>
            <w:tcW w:w="7365" w:type="dxa"/>
            <w:tcBorders/>
            <w:vAlign w:val="center"/>
          </w:tcPr>
          <w:p>
            <w:pPr>
              <w:pStyle w:val="TableContents"/>
              <w:bidi w:val="0"/>
              <w:spacing w:before="0" w:after="1"/>
              <w:ind w:left="0" w:right="0" w:hanging="0"/>
              <w:jc w:val="left"/>
              <w:rPr/>
            </w:pPr>
            <w:r>
              <w:rPr/>
              <w:t>​</w:t>
            </w:r>
          </w:p>
        </w:tc>
        <w:tc>
          <w:tcPr>
            <w:tcW w:w="106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June 30, 2026</w:t>
            </w:r>
          </w:p>
        </w:tc>
        <w:tc>
          <w:tcPr>
            <w:tcW w:w="346" w:type="dxa"/>
            <w:tcBorders/>
            <w:vAlign w:val="center"/>
          </w:tcPr>
          <w:p>
            <w:pPr>
              <w:pStyle w:val="TableContents"/>
              <w:bidi w:val="0"/>
              <w:spacing w:before="0" w:after="1"/>
              <w:ind w:left="0" w:right="0" w:hanging="0"/>
              <w:jc w:val="center"/>
              <w:rPr/>
            </w:pPr>
            <w:r>
              <w:rPr/>
              <w:t>  ​ ​ ​</w:t>
            </w:r>
          </w:p>
        </w:tc>
        <w:tc>
          <w:tcPr>
            <w:tcW w:w="142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 2025</w:t>
            </w:r>
          </w:p>
        </w:tc>
      </w:tr>
      <w:tr>
        <w:trPr/>
        <w:tc>
          <w:tcPr>
            <w:tcW w:w="7365" w:type="dxa"/>
            <w:tcBorders/>
            <w:shd w:fill="CCEEFF" w:val="cle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ASSETS</w:t>
            </w:r>
          </w:p>
        </w:tc>
        <w:tc>
          <w:tcPr>
            <w:tcW w:w="1065" w:type="dxa"/>
            <w:gridSpan w:val="2"/>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429" w:type="dxa"/>
            <w:gridSpan w:val="2"/>
            <w:tcBorders/>
            <w:shd w:fill="CCEEFF" w:val="clear"/>
            <w:vAlign w:val="center"/>
          </w:tcPr>
          <w:p>
            <w:pPr>
              <w:pStyle w:val="TableContents"/>
              <w:bidi w:val="0"/>
              <w:spacing w:before="0" w:after="1"/>
              <w:ind w:left="0" w:right="0" w:hanging="0"/>
              <w:jc w:val="center"/>
              <w:rPr/>
            </w:pPr>
            <w:r>
              <w:rPr/>
              <w:t>​</w:t>
            </w:r>
          </w:p>
        </w:tc>
      </w:tr>
      <w:tr>
        <w:trPr/>
        <w:tc>
          <w:tcPr>
            <w:tcW w:w="736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Real Estate:</w:t>
            </w:r>
          </w:p>
        </w:tc>
        <w:tc>
          <w:tcPr>
            <w:tcW w:w="225" w:type="dxa"/>
            <w:tcBorders/>
            <w:vAlign w:val="center"/>
          </w:tcPr>
          <w:p>
            <w:pPr>
              <w:pStyle w:val="TableContents"/>
              <w:bidi w:val="0"/>
              <w:spacing w:before="0" w:after="1"/>
              <w:ind w:left="0" w:right="0" w:hanging="0"/>
              <w:jc w:val="left"/>
              <w:rPr/>
            </w:pPr>
            <w:r>
              <w:rPr/>
              <w:t>​</w:t>
            </w:r>
          </w:p>
        </w:tc>
        <w:tc>
          <w:tcPr>
            <w:tcW w:w="840"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71" w:type="dxa"/>
            <w:tcBorders/>
            <w:vAlign w:val="center"/>
          </w:tcPr>
          <w:p>
            <w:pPr>
              <w:pStyle w:val="TableContents"/>
              <w:bidi w:val="0"/>
              <w:spacing w:before="0" w:after="1"/>
              <w:ind w:left="0" w:right="0" w:hanging="0"/>
              <w:jc w:val="left"/>
              <w:rPr/>
            </w:pPr>
            <w:r>
              <w:rPr/>
              <w:t>​</w:t>
            </w:r>
          </w:p>
        </w:tc>
        <w:tc>
          <w:tcPr>
            <w:tcW w:w="1158" w:type="dxa"/>
            <w:tcBorders/>
            <w:vAlign w:val="center"/>
          </w:tcPr>
          <w:p>
            <w:pPr>
              <w:pStyle w:val="TableContents"/>
              <w:bidi w:val="0"/>
              <w:spacing w:before="0" w:after="1"/>
              <w:ind w:left="0" w:right="0" w:hanging="0"/>
              <w:jc w:val="right"/>
              <w:rPr/>
            </w:pPr>
            <w:r>
              <w:rPr/>
              <w:t>​</w:t>
            </w:r>
          </w:p>
        </w:tc>
      </w:tr>
      <w:tr>
        <w:trPr/>
        <w:tc>
          <w:tcPr>
            <w:tcW w:w="736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Land, at Cost</w:t>
            </w:r>
          </w:p>
        </w:tc>
        <w:tc>
          <w:tcPr>
            <w:tcW w:w="22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166,572</w:t>
            </w:r>
          </w:p>
        </w:tc>
        <w:tc>
          <w:tcPr>
            <w:tcW w:w="346" w:type="dxa"/>
            <w:tcBorders/>
            <w:shd w:fill="CCEEFF" w:val="clear"/>
            <w:vAlign w:val="center"/>
          </w:tcPr>
          <w:p>
            <w:pPr>
              <w:pStyle w:val="TableContents"/>
              <w:bidi w:val="0"/>
              <w:spacing w:before="0" w:after="1"/>
              <w:ind w:left="0" w:right="0" w:hanging="0"/>
              <w:jc w:val="left"/>
              <w:rPr/>
            </w:pPr>
            <w:r>
              <w:rPr/>
              <w:t>​</w:t>
            </w:r>
          </w:p>
        </w:tc>
        <w:tc>
          <w:tcPr>
            <w:tcW w:w="2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5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151,628</w:t>
            </w:r>
          </w:p>
        </w:tc>
      </w:tr>
      <w:tr>
        <w:trPr/>
        <w:tc>
          <w:tcPr>
            <w:tcW w:w="736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Building and Improvements, at Cost</w:t>
            </w:r>
          </w:p>
        </w:tc>
        <w:tc>
          <w:tcPr>
            <w:tcW w:w="22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4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349,449</w:t>
            </w:r>
          </w:p>
        </w:tc>
        <w:tc>
          <w:tcPr>
            <w:tcW w:w="346" w:type="dxa"/>
            <w:tcBorders/>
            <w:vAlign w:val="center"/>
          </w:tcPr>
          <w:p>
            <w:pPr>
              <w:pStyle w:val="TableContents"/>
              <w:bidi w:val="0"/>
              <w:spacing w:before="0" w:after="1"/>
              <w:ind w:left="0" w:right="0" w:hanging="0"/>
              <w:jc w:val="left"/>
              <w:rPr/>
            </w:pPr>
            <w:r>
              <w:rPr/>
              <w:t>​</w:t>
            </w:r>
          </w:p>
        </w:tc>
        <w:tc>
          <w:tcPr>
            <w:tcW w:w="27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5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344,138</w:t>
            </w:r>
          </w:p>
        </w:tc>
      </w:tr>
      <w:tr>
        <w:trPr/>
        <w:tc>
          <w:tcPr>
            <w:tcW w:w="736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Real Estate, at Cost</w:t>
            </w:r>
          </w:p>
        </w:tc>
        <w:tc>
          <w:tcPr>
            <w:tcW w:w="225" w:type="dxa"/>
            <w:tcBorders/>
            <w:shd w:fill="CCEEFF" w:val="clear"/>
            <w:vAlign w:val="center"/>
          </w:tcPr>
          <w:p>
            <w:pPr>
              <w:pStyle w:val="TableContents"/>
              <w:bidi w:val="0"/>
              <w:spacing w:before="0" w:after="1"/>
              <w:ind w:left="0" w:right="0" w:hanging="0"/>
              <w:jc w:val="left"/>
              <w:rPr/>
            </w:pPr>
            <w:r>
              <w:rPr/>
              <w:t>​</w:t>
            </w:r>
          </w:p>
        </w:tc>
        <w:tc>
          <w:tcPr>
            <w:tcW w:w="84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516,021</w:t>
            </w:r>
          </w:p>
        </w:tc>
        <w:tc>
          <w:tcPr>
            <w:tcW w:w="346" w:type="dxa"/>
            <w:tcBorders/>
            <w:shd w:fill="CCEEFF" w:val="clear"/>
            <w:vAlign w:val="center"/>
          </w:tcPr>
          <w:p>
            <w:pPr>
              <w:pStyle w:val="TableContents"/>
              <w:bidi w:val="0"/>
              <w:spacing w:before="0" w:after="1"/>
              <w:ind w:left="0" w:right="0" w:hanging="0"/>
              <w:jc w:val="left"/>
              <w:rPr/>
            </w:pPr>
            <w:r>
              <w:rPr/>
              <w:t>​</w:t>
            </w:r>
          </w:p>
        </w:tc>
        <w:tc>
          <w:tcPr>
            <w:tcW w:w="271" w:type="dxa"/>
            <w:tcBorders/>
            <w:shd w:fill="CCEEFF" w:val="clear"/>
            <w:vAlign w:val="center"/>
          </w:tcPr>
          <w:p>
            <w:pPr>
              <w:pStyle w:val="TableContents"/>
              <w:bidi w:val="0"/>
              <w:spacing w:before="0" w:after="1"/>
              <w:ind w:left="0" w:right="0" w:hanging="0"/>
              <w:jc w:val="left"/>
              <w:rPr/>
            </w:pPr>
            <w:r>
              <w:rPr/>
              <w:t>​</w:t>
            </w:r>
          </w:p>
        </w:tc>
        <w:tc>
          <w:tcPr>
            <w:tcW w:w="115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495,766</w:t>
            </w:r>
          </w:p>
        </w:tc>
      </w:tr>
      <w:tr>
        <w:trPr/>
        <w:tc>
          <w:tcPr>
            <w:tcW w:w="736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Accumulated Depreciation</w:t>
            </w:r>
          </w:p>
        </w:tc>
        <w:tc>
          <w:tcPr>
            <w:tcW w:w="22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4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(62,863)</w:t>
            </w:r>
          </w:p>
        </w:tc>
        <w:tc>
          <w:tcPr>
            <w:tcW w:w="346" w:type="dxa"/>
            <w:tcBorders/>
            <w:vAlign w:val="center"/>
          </w:tcPr>
          <w:p>
            <w:pPr>
              <w:pStyle w:val="TableContents"/>
              <w:bidi w:val="0"/>
              <w:spacing w:before="0" w:after="1"/>
              <w:ind w:left="0" w:right="0" w:hanging="0"/>
              <w:jc w:val="left"/>
              <w:rPr/>
            </w:pPr>
            <w:r>
              <w:rPr/>
              <w:t>​</w:t>
            </w:r>
          </w:p>
        </w:tc>
        <w:tc>
          <w:tcPr>
            <w:tcW w:w="27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5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(54,446)</w:t>
            </w:r>
          </w:p>
        </w:tc>
      </w:tr>
      <w:tr>
        <w:trPr/>
        <w:tc>
          <w:tcPr>
            <w:tcW w:w="736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Real Estate—Net</w:t>
            </w:r>
          </w:p>
        </w:tc>
        <w:tc>
          <w:tcPr>
            <w:tcW w:w="225" w:type="dxa"/>
            <w:tcBorders/>
            <w:shd w:fill="CCEEFF" w:val="clear"/>
            <w:vAlign w:val="center"/>
          </w:tcPr>
          <w:p>
            <w:pPr>
              <w:pStyle w:val="TableContents"/>
              <w:bidi w:val="0"/>
              <w:spacing w:before="0" w:after="1"/>
              <w:ind w:left="0" w:right="0" w:hanging="0"/>
              <w:jc w:val="left"/>
              <w:rPr/>
            </w:pPr>
            <w:r>
              <w:rPr/>
              <w:t>​</w:t>
            </w:r>
          </w:p>
        </w:tc>
        <w:tc>
          <w:tcPr>
            <w:tcW w:w="84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453,158</w:t>
            </w:r>
          </w:p>
        </w:tc>
        <w:tc>
          <w:tcPr>
            <w:tcW w:w="346" w:type="dxa"/>
            <w:tcBorders/>
            <w:shd w:fill="CCEEFF" w:val="clear"/>
            <w:vAlign w:val="center"/>
          </w:tcPr>
          <w:p>
            <w:pPr>
              <w:pStyle w:val="TableContents"/>
              <w:bidi w:val="0"/>
              <w:spacing w:before="0" w:after="1"/>
              <w:ind w:left="0" w:right="0" w:hanging="0"/>
              <w:jc w:val="left"/>
              <w:rPr/>
            </w:pPr>
            <w:r>
              <w:rPr/>
              <w:t>​</w:t>
            </w:r>
          </w:p>
        </w:tc>
        <w:tc>
          <w:tcPr>
            <w:tcW w:w="271" w:type="dxa"/>
            <w:tcBorders/>
            <w:shd w:fill="CCEEFF" w:val="clear"/>
            <w:vAlign w:val="center"/>
          </w:tcPr>
          <w:p>
            <w:pPr>
              <w:pStyle w:val="TableContents"/>
              <w:bidi w:val="0"/>
              <w:spacing w:before="0" w:after="1"/>
              <w:ind w:left="0" w:right="0" w:hanging="0"/>
              <w:jc w:val="left"/>
              <w:rPr/>
            </w:pPr>
            <w:r>
              <w:rPr/>
              <w:t>​</w:t>
            </w:r>
          </w:p>
        </w:tc>
        <w:tc>
          <w:tcPr>
            <w:tcW w:w="115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441,320</w:t>
            </w:r>
          </w:p>
        </w:tc>
      </w:tr>
      <w:tr>
        <w:trPr/>
        <w:tc>
          <w:tcPr>
            <w:tcW w:w="736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Assets Held for Sale</w:t>
            </w:r>
          </w:p>
        </w:tc>
        <w:tc>
          <w:tcPr>
            <w:tcW w:w="225" w:type="dxa"/>
            <w:tcBorders/>
            <w:vAlign w:val="center"/>
          </w:tcPr>
          <w:p>
            <w:pPr>
              <w:pStyle w:val="TableContents"/>
              <w:bidi w:val="0"/>
              <w:spacing w:before="0" w:after="1"/>
              <w:ind w:left="0" w:right="0" w:hanging="0"/>
              <w:jc w:val="left"/>
              <w:rPr/>
            </w:pPr>
            <w:r>
              <w:rPr/>
              <w:t>​</w:t>
            </w:r>
          </w:p>
        </w:tc>
        <w:tc>
          <w:tcPr>
            <w:tcW w:w="84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375</w:t>
            </w:r>
          </w:p>
        </w:tc>
        <w:tc>
          <w:tcPr>
            <w:tcW w:w="346" w:type="dxa"/>
            <w:tcBorders/>
            <w:vAlign w:val="center"/>
          </w:tcPr>
          <w:p>
            <w:pPr>
              <w:pStyle w:val="TableContents"/>
              <w:bidi w:val="0"/>
              <w:spacing w:before="0" w:after="1"/>
              <w:ind w:left="0" w:right="0" w:hanging="0"/>
              <w:jc w:val="left"/>
              <w:rPr/>
            </w:pPr>
            <w:r>
              <w:rPr/>
              <w:t>​</w:t>
            </w:r>
          </w:p>
        </w:tc>
        <w:tc>
          <w:tcPr>
            <w:tcW w:w="271" w:type="dxa"/>
            <w:tcBorders/>
            <w:vAlign w:val="center"/>
          </w:tcPr>
          <w:p>
            <w:pPr>
              <w:pStyle w:val="TableContents"/>
              <w:bidi w:val="0"/>
              <w:spacing w:before="0" w:after="1"/>
              <w:ind w:left="0" w:right="0" w:hanging="0"/>
              <w:jc w:val="left"/>
              <w:rPr/>
            </w:pPr>
            <w:r>
              <w:rPr/>
              <w:t>​</w:t>
            </w:r>
          </w:p>
        </w:tc>
        <w:tc>
          <w:tcPr>
            <w:tcW w:w="115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8,077</w:t>
            </w:r>
          </w:p>
        </w:tc>
      </w:tr>
      <w:tr>
        <w:trPr/>
        <w:tc>
          <w:tcPr>
            <w:tcW w:w="736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Commercial Loans and Investments</w:t>
            </w:r>
          </w:p>
        </w:tc>
        <w:tc>
          <w:tcPr>
            <w:tcW w:w="225" w:type="dxa"/>
            <w:tcBorders/>
            <w:shd w:fill="CCEEFF" w:val="clear"/>
            <w:vAlign w:val="center"/>
          </w:tcPr>
          <w:p>
            <w:pPr>
              <w:pStyle w:val="TableContents"/>
              <w:bidi w:val="0"/>
              <w:spacing w:before="0" w:after="1"/>
              <w:ind w:left="0" w:right="0" w:hanging="0"/>
              <w:jc w:val="left"/>
              <w:rPr/>
            </w:pPr>
            <w:r>
              <w:rPr/>
              <w:t>​</w:t>
            </w:r>
          </w:p>
        </w:tc>
        <w:tc>
          <w:tcPr>
            <w:tcW w:w="84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238,575</w:t>
            </w:r>
          </w:p>
        </w:tc>
        <w:tc>
          <w:tcPr>
            <w:tcW w:w="346" w:type="dxa"/>
            <w:tcBorders/>
            <w:shd w:fill="CCEEFF" w:val="clear"/>
            <w:vAlign w:val="center"/>
          </w:tcPr>
          <w:p>
            <w:pPr>
              <w:pStyle w:val="TableContents"/>
              <w:bidi w:val="0"/>
              <w:spacing w:before="0" w:after="1"/>
              <w:ind w:left="0" w:right="0" w:hanging="0"/>
              <w:jc w:val="left"/>
              <w:rPr/>
            </w:pPr>
            <w:r>
              <w:rPr/>
              <w:t>​</w:t>
            </w:r>
          </w:p>
        </w:tc>
        <w:tc>
          <w:tcPr>
            <w:tcW w:w="271" w:type="dxa"/>
            <w:tcBorders/>
            <w:shd w:fill="CCEEFF" w:val="clear"/>
            <w:vAlign w:val="center"/>
          </w:tcPr>
          <w:p>
            <w:pPr>
              <w:pStyle w:val="TableContents"/>
              <w:bidi w:val="0"/>
              <w:spacing w:before="0" w:after="1"/>
              <w:ind w:left="0" w:right="0" w:hanging="0"/>
              <w:jc w:val="left"/>
              <w:rPr/>
            </w:pPr>
            <w:r>
              <w:rPr/>
              <w:t>​</w:t>
            </w:r>
          </w:p>
        </w:tc>
        <w:tc>
          <w:tcPr>
            <w:tcW w:w="115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167,553</w:t>
            </w:r>
          </w:p>
        </w:tc>
      </w:tr>
      <w:tr>
        <w:trPr/>
        <w:tc>
          <w:tcPr>
            <w:tcW w:w="736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225" w:type="dxa"/>
            <w:tcBorders/>
            <w:vAlign w:val="center"/>
          </w:tcPr>
          <w:p>
            <w:pPr>
              <w:pStyle w:val="TableContents"/>
              <w:bidi w:val="0"/>
              <w:spacing w:before="0" w:after="1"/>
              <w:ind w:left="0" w:right="0" w:hanging="0"/>
              <w:jc w:val="left"/>
              <w:rPr/>
            </w:pPr>
            <w:r>
              <w:rPr/>
              <w:t>​</w:t>
            </w:r>
          </w:p>
        </w:tc>
        <w:tc>
          <w:tcPr>
            <w:tcW w:w="84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2,778</w:t>
            </w:r>
          </w:p>
        </w:tc>
        <w:tc>
          <w:tcPr>
            <w:tcW w:w="346" w:type="dxa"/>
            <w:tcBorders/>
            <w:vAlign w:val="center"/>
          </w:tcPr>
          <w:p>
            <w:pPr>
              <w:pStyle w:val="TableContents"/>
              <w:bidi w:val="0"/>
              <w:spacing w:before="0" w:after="1"/>
              <w:ind w:left="0" w:right="0" w:hanging="0"/>
              <w:jc w:val="left"/>
              <w:rPr/>
            </w:pPr>
            <w:r>
              <w:rPr/>
              <w:t>​</w:t>
            </w:r>
          </w:p>
        </w:tc>
        <w:tc>
          <w:tcPr>
            <w:tcW w:w="271" w:type="dxa"/>
            <w:tcBorders/>
            <w:vAlign w:val="center"/>
          </w:tcPr>
          <w:p>
            <w:pPr>
              <w:pStyle w:val="TableContents"/>
              <w:bidi w:val="0"/>
              <w:spacing w:before="0" w:after="1"/>
              <w:ind w:left="0" w:right="0" w:hanging="0"/>
              <w:jc w:val="left"/>
              <w:rPr/>
            </w:pPr>
            <w:r>
              <w:rPr/>
              <w:t>​</w:t>
            </w:r>
          </w:p>
        </w:tc>
        <w:tc>
          <w:tcPr>
            <w:tcW w:w="115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4,589</w:t>
            </w:r>
          </w:p>
        </w:tc>
      </w:tr>
      <w:tr>
        <w:trPr/>
        <w:tc>
          <w:tcPr>
            <w:tcW w:w="736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Restricted Cash</w:t>
            </w:r>
          </w:p>
        </w:tc>
        <w:tc>
          <w:tcPr>
            <w:tcW w:w="225" w:type="dxa"/>
            <w:tcBorders/>
            <w:shd w:fill="CCEEFF" w:val="clear"/>
            <w:vAlign w:val="center"/>
          </w:tcPr>
          <w:p>
            <w:pPr>
              <w:pStyle w:val="TableContents"/>
              <w:bidi w:val="0"/>
              <w:spacing w:before="0" w:after="1"/>
              <w:ind w:left="0" w:right="0" w:hanging="0"/>
              <w:jc w:val="left"/>
              <w:rPr/>
            </w:pPr>
            <w:r>
              <w:rPr/>
              <w:t>​</w:t>
            </w:r>
          </w:p>
        </w:tc>
        <w:tc>
          <w:tcPr>
            <w:tcW w:w="84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23,296</w:t>
            </w:r>
          </w:p>
        </w:tc>
        <w:tc>
          <w:tcPr>
            <w:tcW w:w="346" w:type="dxa"/>
            <w:tcBorders/>
            <w:shd w:fill="CCEEFF" w:val="clear"/>
            <w:vAlign w:val="center"/>
          </w:tcPr>
          <w:p>
            <w:pPr>
              <w:pStyle w:val="TableContents"/>
              <w:bidi w:val="0"/>
              <w:spacing w:before="0" w:after="1"/>
              <w:ind w:left="0" w:right="0" w:hanging="0"/>
              <w:jc w:val="left"/>
              <w:rPr/>
            </w:pPr>
            <w:r>
              <w:rPr/>
              <w:t>​</w:t>
            </w:r>
          </w:p>
        </w:tc>
        <w:tc>
          <w:tcPr>
            <w:tcW w:w="271" w:type="dxa"/>
            <w:tcBorders/>
            <w:shd w:fill="CCEEFF" w:val="clear"/>
            <w:vAlign w:val="center"/>
          </w:tcPr>
          <w:p>
            <w:pPr>
              <w:pStyle w:val="TableContents"/>
              <w:bidi w:val="0"/>
              <w:spacing w:before="0" w:after="1"/>
              <w:ind w:left="0" w:right="0" w:hanging="0"/>
              <w:jc w:val="left"/>
              <w:rPr/>
            </w:pPr>
            <w:r>
              <w:rPr/>
              <w:t>​</w:t>
            </w:r>
          </w:p>
        </w:tc>
        <w:tc>
          <w:tcPr>
            <w:tcW w:w="115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34,410</w:t>
            </w:r>
          </w:p>
        </w:tc>
      </w:tr>
      <w:tr>
        <w:trPr/>
        <w:tc>
          <w:tcPr>
            <w:tcW w:w="736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Intangible Lease Assets—Net</w:t>
            </w:r>
          </w:p>
        </w:tc>
        <w:tc>
          <w:tcPr>
            <w:tcW w:w="225" w:type="dxa"/>
            <w:tcBorders/>
            <w:vAlign w:val="center"/>
          </w:tcPr>
          <w:p>
            <w:pPr>
              <w:pStyle w:val="TableContents"/>
              <w:bidi w:val="0"/>
              <w:spacing w:before="0" w:after="1"/>
              <w:ind w:left="0" w:right="0" w:hanging="0"/>
              <w:jc w:val="left"/>
              <w:rPr/>
            </w:pPr>
            <w:r>
              <w:rPr/>
              <w:t>​</w:t>
            </w:r>
          </w:p>
        </w:tc>
        <w:tc>
          <w:tcPr>
            <w:tcW w:w="84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46,151</w:t>
            </w:r>
          </w:p>
        </w:tc>
        <w:tc>
          <w:tcPr>
            <w:tcW w:w="346" w:type="dxa"/>
            <w:tcBorders/>
            <w:vAlign w:val="center"/>
          </w:tcPr>
          <w:p>
            <w:pPr>
              <w:pStyle w:val="TableContents"/>
              <w:bidi w:val="0"/>
              <w:spacing w:before="0" w:after="1"/>
              <w:ind w:left="0" w:right="0" w:hanging="0"/>
              <w:jc w:val="left"/>
              <w:rPr/>
            </w:pPr>
            <w:r>
              <w:rPr/>
              <w:t>​</w:t>
            </w:r>
          </w:p>
        </w:tc>
        <w:tc>
          <w:tcPr>
            <w:tcW w:w="271" w:type="dxa"/>
            <w:tcBorders/>
            <w:vAlign w:val="center"/>
          </w:tcPr>
          <w:p>
            <w:pPr>
              <w:pStyle w:val="TableContents"/>
              <w:bidi w:val="0"/>
              <w:spacing w:before="0" w:after="1"/>
              <w:ind w:left="0" w:right="0" w:hanging="0"/>
              <w:jc w:val="left"/>
              <w:rPr/>
            </w:pPr>
            <w:r>
              <w:rPr/>
              <w:t>​</w:t>
            </w:r>
          </w:p>
        </w:tc>
        <w:tc>
          <w:tcPr>
            <w:tcW w:w="115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48,925</w:t>
            </w:r>
          </w:p>
        </w:tc>
      </w:tr>
      <w:tr>
        <w:trPr/>
        <w:tc>
          <w:tcPr>
            <w:tcW w:w="736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Straight-Line Rent Adjustment</w:t>
            </w:r>
          </w:p>
        </w:tc>
        <w:tc>
          <w:tcPr>
            <w:tcW w:w="225" w:type="dxa"/>
            <w:tcBorders/>
            <w:shd w:fill="CCEEFF" w:val="clear"/>
            <w:vAlign w:val="center"/>
          </w:tcPr>
          <w:p>
            <w:pPr>
              <w:pStyle w:val="TableContents"/>
              <w:bidi w:val="0"/>
              <w:spacing w:before="0" w:after="1"/>
              <w:ind w:left="0" w:right="0" w:hanging="0"/>
              <w:jc w:val="left"/>
              <w:rPr/>
            </w:pPr>
            <w:r>
              <w:rPr/>
              <w:t>​</w:t>
            </w:r>
          </w:p>
        </w:tc>
        <w:tc>
          <w:tcPr>
            <w:tcW w:w="84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2,406</w:t>
            </w:r>
          </w:p>
        </w:tc>
        <w:tc>
          <w:tcPr>
            <w:tcW w:w="346" w:type="dxa"/>
            <w:tcBorders/>
            <w:shd w:fill="CCEEFF" w:val="clear"/>
            <w:vAlign w:val="center"/>
          </w:tcPr>
          <w:p>
            <w:pPr>
              <w:pStyle w:val="TableContents"/>
              <w:bidi w:val="0"/>
              <w:spacing w:before="0" w:after="1"/>
              <w:ind w:left="0" w:right="0" w:hanging="0"/>
              <w:jc w:val="left"/>
              <w:rPr/>
            </w:pPr>
            <w:r>
              <w:rPr/>
              <w:t>​</w:t>
            </w:r>
          </w:p>
        </w:tc>
        <w:tc>
          <w:tcPr>
            <w:tcW w:w="271" w:type="dxa"/>
            <w:tcBorders/>
            <w:shd w:fill="CCEEFF" w:val="clear"/>
            <w:vAlign w:val="center"/>
          </w:tcPr>
          <w:p>
            <w:pPr>
              <w:pStyle w:val="TableContents"/>
              <w:bidi w:val="0"/>
              <w:spacing w:before="0" w:after="1"/>
              <w:ind w:left="0" w:right="0" w:hanging="0"/>
              <w:jc w:val="left"/>
              <w:rPr/>
            </w:pPr>
            <w:r>
              <w:rPr/>
              <w:t>​</w:t>
            </w:r>
          </w:p>
        </w:tc>
        <w:tc>
          <w:tcPr>
            <w:tcW w:w="115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2,092</w:t>
            </w:r>
          </w:p>
        </w:tc>
      </w:tr>
      <w:tr>
        <w:trPr/>
        <w:tc>
          <w:tcPr>
            <w:tcW w:w="736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22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4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14,774</w:t>
            </w:r>
          </w:p>
        </w:tc>
        <w:tc>
          <w:tcPr>
            <w:tcW w:w="346" w:type="dxa"/>
            <w:tcBorders/>
            <w:vAlign w:val="center"/>
          </w:tcPr>
          <w:p>
            <w:pPr>
              <w:pStyle w:val="TableContents"/>
              <w:bidi w:val="0"/>
              <w:spacing w:before="0" w:after="1"/>
              <w:ind w:left="0" w:right="0" w:hanging="0"/>
              <w:jc w:val="left"/>
              <w:rPr/>
            </w:pPr>
            <w:r>
              <w:rPr/>
              <w:t>​</w:t>
            </w:r>
          </w:p>
        </w:tc>
        <w:tc>
          <w:tcPr>
            <w:tcW w:w="27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5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8,908</w:t>
            </w:r>
          </w:p>
        </w:tc>
      </w:tr>
      <w:tr>
        <w:trPr/>
        <w:tc>
          <w:tcPr>
            <w:tcW w:w="736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22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781,513</w:t>
            </w:r>
          </w:p>
        </w:tc>
        <w:tc>
          <w:tcPr>
            <w:tcW w:w="346" w:type="dxa"/>
            <w:tcBorders/>
            <w:shd w:fill="CCEEFF" w:val="clear"/>
            <w:vAlign w:val="center"/>
          </w:tcPr>
          <w:p>
            <w:pPr>
              <w:pStyle w:val="TableContents"/>
              <w:bidi w:val="0"/>
              <w:spacing w:before="0" w:after="1"/>
              <w:ind w:left="0" w:right="0" w:hanging="0"/>
              <w:jc w:val="left"/>
              <w:rPr/>
            </w:pPr>
            <w:r>
              <w:rPr/>
              <w:t>​</w:t>
            </w:r>
          </w:p>
        </w:tc>
        <w:tc>
          <w:tcPr>
            <w:tcW w:w="27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5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715,874</w:t>
            </w:r>
          </w:p>
        </w:tc>
      </w:tr>
      <w:tr>
        <w:trPr/>
        <w:tc>
          <w:tcPr>
            <w:tcW w:w="7365"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LIABILITIES AND EQUITY</w:t>
            </w:r>
          </w:p>
        </w:tc>
        <w:tc>
          <w:tcPr>
            <w:tcW w:w="225" w:type="dxa"/>
            <w:tcBorders/>
            <w:vAlign w:val="center"/>
          </w:tcPr>
          <w:p>
            <w:pPr>
              <w:pStyle w:val="TableContents"/>
              <w:bidi w:val="0"/>
              <w:spacing w:before="0" w:after="1"/>
              <w:ind w:left="0" w:right="0" w:hanging="0"/>
              <w:jc w:val="left"/>
              <w:rPr/>
            </w:pPr>
            <w:r>
              <w:rPr/>
              <w:t>​</w:t>
            </w:r>
          </w:p>
        </w:tc>
        <w:tc>
          <w:tcPr>
            <w:tcW w:w="840"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71" w:type="dxa"/>
            <w:tcBorders/>
            <w:vAlign w:val="center"/>
          </w:tcPr>
          <w:p>
            <w:pPr>
              <w:pStyle w:val="TableContents"/>
              <w:bidi w:val="0"/>
              <w:spacing w:before="0" w:after="1"/>
              <w:ind w:left="0" w:right="0" w:hanging="0"/>
              <w:jc w:val="left"/>
              <w:rPr/>
            </w:pPr>
            <w:r>
              <w:rPr/>
              <w:t>​</w:t>
            </w:r>
          </w:p>
        </w:tc>
        <w:tc>
          <w:tcPr>
            <w:tcW w:w="1158" w:type="dxa"/>
            <w:tcBorders/>
            <w:vAlign w:val="center"/>
          </w:tcPr>
          <w:p>
            <w:pPr>
              <w:pStyle w:val="TableContents"/>
              <w:bidi w:val="0"/>
              <w:spacing w:before="0" w:after="1"/>
              <w:ind w:left="0" w:right="0" w:hanging="0"/>
              <w:jc w:val="right"/>
              <w:rPr/>
            </w:pPr>
            <w:r>
              <w:rPr/>
              <w:t>​</w:t>
            </w:r>
          </w:p>
        </w:tc>
      </w:tr>
      <w:tr>
        <w:trPr/>
        <w:tc>
          <w:tcPr>
            <w:tcW w:w="736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Liabilities:</w:t>
            </w:r>
          </w:p>
        </w:tc>
        <w:tc>
          <w:tcPr>
            <w:tcW w:w="225" w:type="dxa"/>
            <w:tcBorders/>
            <w:shd w:fill="CCEEFF" w:val="clear"/>
            <w:vAlign w:val="center"/>
          </w:tcPr>
          <w:p>
            <w:pPr>
              <w:pStyle w:val="TableContents"/>
              <w:bidi w:val="0"/>
              <w:spacing w:before="0" w:after="1"/>
              <w:ind w:left="0" w:right="0" w:hanging="0"/>
              <w:jc w:val="left"/>
              <w:rPr/>
            </w:pPr>
            <w:r>
              <w:rPr/>
              <w:t>​</w:t>
            </w:r>
          </w:p>
        </w:tc>
        <w:tc>
          <w:tcPr>
            <w:tcW w:w="840"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71" w:type="dxa"/>
            <w:tcBorders/>
            <w:shd w:fill="CCEEFF" w:val="clear"/>
            <w:vAlign w:val="center"/>
          </w:tcPr>
          <w:p>
            <w:pPr>
              <w:pStyle w:val="TableContents"/>
              <w:bidi w:val="0"/>
              <w:spacing w:before="0" w:after="1"/>
              <w:ind w:left="0" w:right="0" w:hanging="0"/>
              <w:jc w:val="left"/>
              <w:rPr/>
            </w:pPr>
            <w:r>
              <w:rPr/>
              <w:t>​</w:t>
            </w:r>
          </w:p>
        </w:tc>
        <w:tc>
          <w:tcPr>
            <w:tcW w:w="1158" w:type="dxa"/>
            <w:tcBorders/>
            <w:shd w:fill="CCEEFF" w:val="clear"/>
            <w:vAlign w:val="center"/>
          </w:tcPr>
          <w:p>
            <w:pPr>
              <w:pStyle w:val="TableContents"/>
              <w:bidi w:val="0"/>
              <w:spacing w:before="0" w:after="1"/>
              <w:ind w:left="0" w:right="0" w:hanging="0"/>
              <w:jc w:val="right"/>
              <w:rPr/>
            </w:pPr>
            <w:r>
              <w:rPr/>
              <w:t>​</w:t>
            </w:r>
          </w:p>
        </w:tc>
      </w:tr>
      <w:tr>
        <w:trPr/>
        <w:tc>
          <w:tcPr>
            <w:tcW w:w="736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Payable, Accrued Expenses, and Other Liabilities</w:t>
            </w:r>
          </w:p>
        </w:tc>
        <w:tc>
          <w:tcPr>
            <w:tcW w:w="22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14,093</w:t>
            </w:r>
          </w:p>
        </w:tc>
        <w:tc>
          <w:tcPr>
            <w:tcW w:w="346" w:type="dxa"/>
            <w:tcBorders/>
            <w:vAlign w:val="center"/>
          </w:tcPr>
          <w:p>
            <w:pPr>
              <w:pStyle w:val="TableContents"/>
              <w:bidi w:val="0"/>
              <w:spacing w:before="0" w:after="1"/>
              <w:ind w:left="0" w:right="0" w:hanging="0"/>
              <w:jc w:val="left"/>
              <w:rPr/>
            </w:pPr>
            <w:r>
              <w:rPr/>
              <w:t>​</w:t>
            </w:r>
          </w:p>
        </w:tc>
        <w:tc>
          <w:tcPr>
            <w:tcW w:w="2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5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7,877</w:t>
            </w:r>
          </w:p>
        </w:tc>
      </w:tr>
      <w:tr>
        <w:trPr/>
        <w:tc>
          <w:tcPr>
            <w:tcW w:w="736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Prepaid Rent and Deferred Revenue</w:t>
            </w:r>
          </w:p>
        </w:tc>
        <w:tc>
          <w:tcPr>
            <w:tcW w:w="225" w:type="dxa"/>
            <w:tcBorders/>
            <w:shd w:fill="CCEEFF" w:val="clear"/>
            <w:vAlign w:val="center"/>
          </w:tcPr>
          <w:p>
            <w:pPr>
              <w:pStyle w:val="TableContents"/>
              <w:bidi w:val="0"/>
              <w:spacing w:before="0" w:after="1"/>
              <w:ind w:left="0" w:right="0" w:hanging="0"/>
              <w:jc w:val="left"/>
              <w:rPr/>
            </w:pPr>
            <w:r>
              <w:rPr/>
              <w:t>​</w:t>
            </w:r>
          </w:p>
        </w:tc>
        <w:tc>
          <w:tcPr>
            <w:tcW w:w="84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17,661</w:t>
            </w:r>
          </w:p>
        </w:tc>
        <w:tc>
          <w:tcPr>
            <w:tcW w:w="346" w:type="dxa"/>
            <w:tcBorders/>
            <w:shd w:fill="CCEEFF" w:val="clear"/>
            <w:vAlign w:val="center"/>
          </w:tcPr>
          <w:p>
            <w:pPr>
              <w:pStyle w:val="TableContents"/>
              <w:bidi w:val="0"/>
              <w:spacing w:before="0" w:after="1"/>
              <w:ind w:left="0" w:right="0" w:hanging="0"/>
              <w:jc w:val="left"/>
              <w:rPr/>
            </w:pPr>
            <w:r>
              <w:rPr/>
              <w:t>​</w:t>
            </w:r>
          </w:p>
        </w:tc>
        <w:tc>
          <w:tcPr>
            <w:tcW w:w="271" w:type="dxa"/>
            <w:tcBorders/>
            <w:shd w:fill="CCEEFF" w:val="clear"/>
            <w:vAlign w:val="center"/>
          </w:tcPr>
          <w:p>
            <w:pPr>
              <w:pStyle w:val="TableContents"/>
              <w:bidi w:val="0"/>
              <w:spacing w:before="0" w:after="1"/>
              <w:ind w:left="0" w:right="0" w:hanging="0"/>
              <w:jc w:val="left"/>
              <w:rPr/>
            </w:pPr>
            <w:r>
              <w:rPr/>
              <w:t>​</w:t>
            </w:r>
          </w:p>
        </w:tc>
        <w:tc>
          <w:tcPr>
            <w:tcW w:w="115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14,031</w:t>
            </w:r>
          </w:p>
        </w:tc>
      </w:tr>
      <w:tr>
        <w:trPr/>
        <w:tc>
          <w:tcPr>
            <w:tcW w:w="736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Intangible Lease Liabilities—Net</w:t>
            </w:r>
          </w:p>
        </w:tc>
        <w:tc>
          <w:tcPr>
            <w:tcW w:w="225" w:type="dxa"/>
            <w:tcBorders/>
            <w:vAlign w:val="center"/>
          </w:tcPr>
          <w:p>
            <w:pPr>
              <w:pStyle w:val="TableContents"/>
              <w:bidi w:val="0"/>
              <w:spacing w:before="0" w:after="1"/>
              <w:ind w:left="0" w:right="0" w:hanging="0"/>
              <w:jc w:val="left"/>
              <w:rPr/>
            </w:pPr>
            <w:r>
              <w:rPr/>
              <w:t>​</w:t>
            </w:r>
          </w:p>
        </w:tc>
        <w:tc>
          <w:tcPr>
            <w:tcW w:w="84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4,602</w:t>
            </w:r>
          </w:p>
        </w:tc>
        <w:tc>
          <w:tcPr>
            <w:tcW w:w="346" w:type="dxa"/>
            <w:tcBorders/>
            <w:vAlign w:val="center"/>
          </w:tcPr>
          <w:p>
            <w:pPr>
              <w:pStyle w:val="TableContents"/>
              <w:bidi w:val="0"/>
              <w:spacing w:before="0" w:after="1"/>
              <w:ind w:left="0" w:right="0" w:hanging="0"/>
              <w:jc w:val="left"/>
              <w:rPr/>
            </w:pPr>
            <w:r>
              <w:rPr/>
              <w:t>​</w:t>
            </w:r>
          </w:p>
        </w:tc>
        <w:tc>
          <w:tcPr>
            <w:tcW w:w="271" w:type="dxa"/>
            <w:tcBorders/>
            <w:vAlign w:val="center"/>
          </w:tcPr>
          <w:p>
            <w:pPr>
              <w:pStyle w:val="TableContents"/>
              <w:bidi w:val="0"/>
              <w:spacing w:before="0" w:after="1"/>
              <w:ind w:left="0" w:right="0" w:hanging="0"/>
              <w:jc w:val="left"/>
              <w:rPr/>
            </w:pPr>
            <w:r>
              <w:rPr/>
              <w:t>​</w:t>
            </w:r>
          </w:p>
        </w:tc>
        <w:tc>
          <w:tcPr>
            <w:tcW w:w="115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4,971</w:t>
            </w:r>
          </w:p>
        </w:tc>
      </w:tr>
      <w:tr>
        <w:trPr/>
        <w:tc>
          <w:tcPr>
            <w:tcW w:w="736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Obligation Under Participation Agreement</w:t>
            </w:r>
          </w:p>
        </w:tc>
        <w:tc>
          <w:tcPr>
            <w:tcW w:w="225" w:type="dxa"/>
            <w:tcBorders/>
            <w:shd w:fill="CCEEFF" w:val="clear"/>
            <w:vAlign w:val="center"/>
          </w:tcPr>
          <w:p>
            <w:pPr>
              <w:pStyle w:val="TableContents"/>
              <w:bidi w:val="0"/>
              <w:spacing w:before="0" w:after="1"/>
              <w:ind w:left="0" w:right="0" w:hanging="0"/>
              <w:jc w:val="left"/>
              <w:rPr/>
            </w:pPr>
            <w:r>
              <w:rPr/>
              <w:t>​</w:t>
            </w:r>
          </w:p>
        </w:tc>
        <w:tc>
          <w:tcPr>
            <w:tcW w:w="84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19,062</w:t>
            </w:r>
          </w:p>
        </w:tc>
        <w:tc>
          <w:tcPr>
            <w:tcW w:w="346" w:type="dxa"/>
            <w:tcBorders/>
            <w:shd w:fill="CCEEFF" w:val="clear"/>
            <w:vAlign w:val="center"/>
          </w:tcPr>
          <w:p>
            <w:pPr>
              <w:pStyle w:val="TableContents"/>
              <w:bidi w:val="0"/>
              <w:spacing w:before="0" w:after="1"/>
              <w:ind w:left="0" w:right="0" w:hanging="0"/>
              <w:jc w:val="left"/>
              <w:rPr/>
            </w:pPr>
            <w:r>
              <w:rPr/>
              <w:t>​</w:t>
            </w:r>
          </w:p>
        </w:tc>
        <w:tc>
          <w:tcPr>
            <w:tcW w:w="271" w:type="dxa"/>
            <w:tcBorders/>
            <w:shd w:fill="CCEEFF" w:val="clear"/>
            <w:vAlign w:val="center"/>
          </w:tcPr>
          <w:p>
            <w:pPr>
              <w:pStyle w:val="TableContents"/>
              <w:bidi w:val="0"/>
              <w:spacing w:before="0" w:after="1"/>
              <w:ind w:left="0" w:right="0" w:hanging="0"/>
              <w:jc w:val="left"/>
              <w:rPr/>
            </w:pPr>
            <w:r>
              <w:rPr/>
              <w:t>​</w:t>
            </w:r>
          </w:p>
        </w:tc>
        <w:tc>
          <w:tcPr>
            <w:tcW w:w="115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10,000</w:t>
            </w:r>
          </w:p>
        </w:tc>
      </w:tr>
      <w:tr>
        <w:trPr/>
        <w:tc>
          <w:tcPr>
            <w:tcW w:w="736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Long-Term Debt—Net</w:t>
            </w:r>
          </w:p>
        </w:tc>
        <w:tc>
          <w:tcPr>
            <w:tcW w:w="22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4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367,552</w:t>
            </w:r>
          </w:p>
        </w:tc>
        <w:tc>
          <w:tcPr>
            <w:tcW w:w="346" w:type="dxa"/>
            <w:tcBorders/>
            <w:vAlign w:val="center"/>
          </w:tcPr>
          <w:p>
            <w:pPr>
              <w:pStyle w:val="TableContents"/>
              <w:bidi w:val="0"/>
              <w:spacing w:before="0" w:after="1"/>
              <w:ind w:left="0" w:right="0" w:hanging="0"/>
              <w:jc w:val="left"/>
              <w:rPr/>
            </w:pPr>
            <w:r>
              <w:rPr/>
              <w:t>​</w:t>
            </w:r>
          </w:p>
        </w:tc>
        <w:tc>
          <w:tcPr>
            <w:tcW w:w="27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5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377,739</w:t>
            </w:r>
          </w:p>
        </w:tc>
      </w:tr>
      <w:tr>
        <w:trPr/>
        <w:tc>
          <w:tcPr>
            <w:tcW w:w="736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Liabilities</w:t>
            </w:r>
          </w:p>
        </w:tc>
        <w:tc>
          <w:tcPr>
            <w:tcW w:w="22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4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422,970</w:t>
            </w:r>
          </w:p>
        </w:tc>
        <w:tc>
          <w:tcPr>
            <w:tcW w:w="346" w:type="dxa"/>
            <w:tcBorders/>
            <w:shd w:fill="CCEEFF" w:val="clear"/>
            <w:vAlign w:val="center"/>
          </w:tcPr>
          <w:p>
            <w:pPr>
              <w:pStyle w:val="TableContents"/>
              <w:bidi w:val="0"/>
              <w:spacing w:before="0" w:after="1"/>
              <w:ind w:left="0" w:right="0" w:hanging="0"/>
              <w:jc w:val="left"/>
              <w:rPr/>
            </w:pPr>
            <w:r>
              <w:rPr/>
              <w:t>​</w:t>
            </w:r>
          </w:p>
        </w:tc>
        <w:tc>
          <w:tcPr>
            <w:tcW w:w="27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15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414,618</w:t>
            </w:r>
          </w:p>
        </w:tc>
      </w:tr>
      <w:tr>
        <w:trPr/>
        <w:tc>
          <w:tcPr>
            <w:tcW w:w="736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Commitments and Contingencies—See Note 20</w:t>
            </w:r>
          </w:p>
        </w:tc>
        <w:tc>
          <w:tcPr>
            <w:tcW w:w="225" w:type="dxa"/>
            <w:tcBorders/>
            <w:vAlign w:val="center"/>
          </w:tcPr>
          <w:p>
            <w:pPr>
              <w:pStyle w:val="TableContents"/>
              <w:bidi w:val="0"/>
              <w:spacing w:before="0" w:after="1"/>
              <w:ind w:left="0" w:right="0" w:hanging="0"/>
              <w:jc w:val="left"/>
              <w:rPr/>
            </w:pPr>
            <w:r>
              <w:rPr/>
              <w:t>​</w:t>
            </w:r>
          </w:p>
        </w:tc>
        <w:tc>
          <w:tcPr>
            <w:tcW w:w="840"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71" w:type="dxa"/>
            <w:tcBorders/>
            <w:vAlign w:val="center"/>
          </w:tcPr>
          <w:p>
            <w:pPr>
              <w:pStyle w:val="TableContents"/>
              <w:bidi w:val="0"/>
              <w:spacing w:before="0" w:after="1"/>
              <w:ind w:left="0" w:right="0" w:hanging="0"/>
              <w:jc w:val="left"/>
              <w:rPr/>
            </w:pPr>
            <w:r>
              <w:rPr/>
              <w:t>​</w:t>
            </w:r>
          </w:p>
        </w:tc>
        <w:tc>
          <w:tcPr>
            <w:tcW w:w="1158" w:type="dxa"/>
            <w:tcBorders/>
            <w:vAlign w:val="center"/>
          </w:tcPr>
          <w:p>
            <w:pPr>
              <w:pStyle w:val="TableContents"/>
              <w:bidi w:val="0"/>
              <w:spacing w:before="0" w:after="1"/>
              <w:ind w:left="0" w:right="0" w:hanging="0"/>
              <w:jc w:val="right"/>
              <w:rPr/>
            </w:pPr>
            <w:r>
              <w:rPr/>
              <w:t>​</w:t>
            </w:r>
          </w:p>
        </w:tc>
      </w:tr>
      <w:tr>
        <w:trPr/>
        <w:tc>
          <w:tcPr>
            <w:tcW w:w="736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Equity:</w:t>
            </w:r>
          </w:p>
        </w:tc>
        <w:tc>
          <w:tcPr>
            <w:tcW w:w="225" w:type="dxa"/>
            <w:tcBorders/>
            <w:shd w:fill="CCEEFF" w:val="clear"/>
            <w:vAlign w:val="center"/>
          </w:tcPr>
          <w:p>
            <w:pPr>
              <w:pStyle w:val="TableContents"/>
              <w:bidi w:val="0"/>
              <w:spacing w:before="0" w:after="1"/>
              <w:ind w:left="0" w:right="0" w:hanging="0"/>
              <w:jc w:val="left"/>
              <w:rPr/>
            </w:pPr>
            <w:r>
              <w:rPr/>
              <w:t>​</w:t>
            </w:r>
          </w:p>
        </w:tc>
        <w:tc>
          <w:tcPr>
            <w:tcW w:w="840"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71" w:type="dxa"/>
            <w:tcBorders/>
            <w:shd w:fill="CCEEFF" w:val="clear"/>
            <w:vAlign w:val="center"/>
          </w:tcPr>
          <w:p>
            <w:pPr>
              <w:pStyle w:val="TableContents"/>
              <w:bidi w:val="0"/>
              <w:spacing w:before="0" w:after="1"/>
              <w:ind w:left="0" w:right="0" w:hanging="0"/>
              <w:jc w:val="left"/>
              <w:rPr/>
            </w:pPr>
            <w:r>
              <w:rPr/>
              <w:t>​</w:t>
            </w:r>
          </w:p>
        </w:tc>
        <w:tc>
          <w:tcPr>
            <w:tcW w:w="1158" w:type="dxa"/>
            <w:tcBorders/>
            <w:shd w:fill="CCEEFF" w:val="clear"/>
            <w:vAlign w:val="center"/>
          </w:tcPr>
          <w:p>
            <w:pPr>
              <w:pStyle w:val="TableContents"/>
              <w:bidi w:val="0"/>
              <w:spacing w:before="0" w:after="1"/>
              <w:ind w:left="0" w:right="0" w:hanging="0"/>
              <w:jc w:val="right"/>
              <w:rPr/>
            </w:pPr>
            <w:r>
              <w:rPr/>
              <w:t>​</w:t>
            </w:r>
          </w:p>
        </w:tc>
      </w:tr>
      <w:tr>
        <w:trPr/>
        <w:tc>
          <w:tcPr>
            <w:tcW w:w="736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Preferred Stock, 100 million shares authorized, $0.01 par value, 8.00% Series A Cumulative Redeemable Preferred Stock, $25.00 Per Share Liquidation Preference, 2,425,868 shares issued and outstanding as of June 30, 2026 and 2,083,328 shares issued and outstanding as of December 31, 2025</w:t>
            </w:r>
          </w:p>
        </w:tc>
        <w:tc>
          <w:tcPr>
            <w:tcW w:w="225" w:type="dxa"/>
            <w:tcBorders/>
            <w:vAlign w:val="center"/>
          </w:tcPr>
          <w:p>
            <w:pPr>
              <w:pStyle w:val="TableContents"/>
              <w:bidi w:val="0"/>
              <w:spacing w:before="0" w:after="1"/>
              <w:ind w:left="0" w:right="0" w:hanging="0"/>
              <w:jc w:val="left"/>
              <w:rPr/>
            </w:pPr>
            <w:r>
              <w:rPr/>
              <w:t>​</w:t>
            </w:r>
          </w:p>
        </w:tc>
        <w:tc>
          <w:tcPr>
            <w:tcW w:w="84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w:t>
            </w:r>
          </w:p>
        </w:tc>
        <w:tc>
          <w:tcPr>
            <w:tcW w:w="346" w:type="dxa"/>
            <w:tcBorders/>
            <w:vAlign w:val="center"/>
          </w:tcPr>
          <w:p>
            <w:pPr>
              <w:pStyle w:val="TableContents"/>
              <w:bidi w:val="0"/>
              <w:spacing w:before="0" w:after="1"/>
              <w:ind w:left="0" w:right="0" w:hanging="0"/>
              <w:jc w:val="left"/>
              <w:rPr/>
            </w:pPr>
            <w:r>
              <w:rPr/>
              <w:t>​</w:t>
            </w:r>
          </w:p>
        </w:tc>
        <w:tc>
          <w:tcPr>
            <w:tcW w:w="271" w:type="dxa"/>
            <w:tcBorders/>
            <w:vAlign w:val="center"/>
          </w:tcPr>
          <w:p>
            <w:pPr>
              <w:pStyle w:val="TableContents"/>
              <w:bidi w:val="0"/>
              <w:spacing w:before="0" w:after="1"/>
              <w:ind w:left="0" w:right="0" w:hanging="0"/>
              <w:jc w:val="left"/>
              <w:rPr/>
            </w:pPr>
            <w:r>
              <w:rPr/>
              <w:t>​</w:t>
            </w:r>
          </w:p>
        </w:tc>
        <w:tc>
          <w:tcPr>
            <w:tcW w:w="115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w:t>
            </w:r>
          </w:p>
        </w:tc>
      </w:tr>
      <w:tr>
        <w:trPr/>
        <w:tc>
          <w:tcPr>
            <w:tcW w:w="736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Common Stock, $0.01 par value per share, 500 million shares authorized, 17,595,168 shares issued and outstanding as of June 30, 2026 and 14,783,419 shares issued and outstanding as of December 31, 2025</w:t>
            </w:r>
          </w:p>
        </w:tc>
        <w:tc>
          <w:tcPr>
            <w:tcW w:w="225" w:type="dxa"/>
            <w:tcBorders/>
            <w:shd w:fill="CCEEFF" w:val="clear"/>
            <w:vAlign w:val="center"/>
          </w:tcPr>
          <w:p>
            <w:pPr>
              <w:pStyle w:val="TableContents"/>
              <w:bidi w:val="0"/>
              <w:spacing w:before="0" w:after="1"/>
              <w:ind w:left="0" w:right="0" w:hanging="0"/>
              <w:jc w:val="left"/>
              <w:rPr/>
            </w:pPr>
            <w:r>
              <w:rPr/>
              <w:t>​</w:t>
            </w:r>
          </w:p>
        </w:tc>
        <w:tc>
          <w:tcPr>
            <w:tcW w:w="84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176</w:t>
            </w:r>
          </w:p>
        </w:tc>
        <w:tc>
          <w:tcPr>
            <w:tcW w:w="346" w:type="dxa"/>
            <w:tcBorders/>
            <w:shd w:fill="CCEEFF" w:val="clear"/>
            <w:vAlign w:val="center"/>
          </w:tcPr>
          <w:p>
            <w:pPr>
              <w:pStyle w:val="TableContents"/>
              <w:bidi w:val="0"/>
              <w:spacing w:before="0" w:after="1"/>
              <w:ind w:left="0" w:right="0" w:hanging="0"/>
              <w:jc w:val="left"/>
              <w:rPr/>
            </w:pPr>
            <w:r>
              <w:rPr/>
              <w:t>​</w:t>
            </w:r>
          </w:p>
        </w:tc>
        <w:tc>
          <w:tcPr>
            <w:tcW w:w="271" w:type="dxa"/>
            <w:tcBorders/>
            <w:shd w:fill="CCEEFF" w:val="clear"/>
            <w:vAlign w:val="center"/>
          </w:tcPr>
          <w:p>
            <w:pPr>
              <w:pStyle w:val="TableContents"/>
              <w:bidi w:val="0"/>
              <w:spacing w:before="0" w:after="1"/>
              <w:ind w:left="0" w:right="0" w:hanging="0"/>
              <w:jc w:val="left"/>
              <w:rPr/>
            </w:pPr>
            <w:r>
              <w:rPr/>
              <w:t>​</w:t>
            </w:r>
          </w:p>
        </w:tc>
        <w:tc>
          <w:tcPr>
            <w:tcW w:w="115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148</w:t>
            </w:r>
          </w:p>
        </w:tc>
      </w:tr>
      <w:tr>
        <w:trPr/>
        <w:tc>
          <w:tcPr>
            <w:tcW w:w="736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Additional Paid-in Capital</w:t>
            </w:r>
          </w:p>
        </w:tc>
        <w:tc>
          <w:tcPr>
            <w:tcW w:w="225" w:type="dxa"/>
            <w:tcBorders/>
            <w:vAlign w:val="center"/>
          </w:tcPr>
          <w:p>
            <w:pPr>
              <w:pStyle w:val="TableContents"/>
              <w:bidi w:val="0"/>
              <w:spacing w:before="0" w:after="1"/>
              <w:ind w:left="0" w:right="0" w:hanging="0"/>
              <w:jc w:val="left"/>
              <w:rPr/>
            </w:pPr>
            <w:r>
              <w:rPr/>
              <w:t>​</w:t>
            </w:r>
          </w:p>
        </w:tc>
        <w:tc>
          <w:tcPr>
            <w:tcW w:w="84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375,337</w:t>
            </w:r>
          </w:p>
        </w:tc>
        <w:tc>
          <w:tcPr>
            <w:tcW w:w="346" w:type="dxa"/>
            <w:tcBorders/>
            <w:vAlign w:val="center"/>
          </w:tcPr>
          <w:p>
            <w:pPr>
              <w:pStyle w:val="TableContents"/>
              <w:bidi w:val="0"/>
              <w:spacing w:before="0" w:after="1"/>
              <w:ind w:left="0" w:right="0" w:hanging="0"/>
              <w:jc w:val="left"/>
              <w:rPr/>
            </w:pPr>
            <w:r>
              <w:rPr/>
              <w:t>​</w:t>
            </w:r>
          </w:p>
        </w:tc>
        <w:tc>
          <w:tcPr>
            <w:tcW w:w="271" w:type="dxa"/>
            <w:tcBorders/>
            <w:vAlign w:val="center"/>
          </w:tcPr>
          <w:p>
            <w:pPr>
              <w:pStyle w:val="TableContents"/>
              <w:bidi w:val="0"/>
              <w:spacing w:before="0" w:after="1"/>
              <w:ind w:left="0" w:right="0" w:hanging="0"/>
              <w:jc w:val="left"/>
              <w:rPr/>
            </w:pPr>
            <w:r>
              <w:rPr/>
              <w:t>​</w:t>
            </w:r>
          </w:p>
        </w:tc>
        <w:tc>
          <w:tcPr>
            <w:tcW w:w="115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313,690</w:t>
            </w:r>
          </w:p>
        </w:tc>
      </w:tr>
      <w:tr>
        <w:trPr/>
        <w:tc>
          <w:tcPr>
            <w:tcW w:w="736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Dividends in Excess of Net Income</w:t>
            </w:r>
          </w:p>
        </w:tc>
        <w:tc>
          <w:tcPr>
            <w:tcW w:w="225" w:type="dxa"/>
            <w:tcBorders/>
            <w:shd w:fill="CCEEFF" w:val="clear"/>
            <w:vAlign w:val="center"/>
          </w:tcPr>
          <w:p>
            <w:pPr>
              <w:pStyle w:val="TableContents"/>
              <w:bidi w:val="0"/>
              <w:spacing w:before="0" w:after="1"/>
              <w:ind w:left="0" w:right="0" w:hanging="0"/>
              <w:jc w:val="left"/>
              <w:rPr/>
            </w:pPr>
            <w:r>
              <w:rPr/>
              <w:t>​</w:t>
            </w:r>
          </w:p>
        </w:tc>
        <w:tc>
          <w:tcPr>
            <w:tcW w:w="84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(41,394)</w:t>
            </w:r>
          </w:p>
        </w:tc>
        <w:tc>
          <w:tcPr>
            <w:tcW w:w="346" w:type="dxa"/>
            <w:tcBorders/>
            <w:shd w:fill="CCEEFF" w:val="clear"/>
            <w:vAlign w:val="center"/>
          </w:tcPr>
          <w:p>
            <w:pPr>
              <w:pStyle w:val="TableContents"/>
              <w:bidi w:val="0"/>
              <w:spacing w:before="0" w:after="1"/>
              <w:ind w:left="0" w:right="0" w:hanging="0"/>
              <w:jc w:val="left"/>
              <w:rPr/>
            </w:pPr>
            <w:r>
              <w:rPr/>
              <w:t>​</w:t>
            </w:r>
          </w:p>
        </w:tc>
        <w:tc>
          <w:tcPr>
            <w:tcW w:w="271" w:type="dxa"/>
            <w:tcBorders/>
            <w:shd w:fill="CCEEFF" w:val="clear"/>
            <w:vAlign w:val="center"/>
          </w:tcPr>
          <w:p>
            <w:pPr>
              <w:pStyle w:val="TableContents"/>
              <w:bidi w:val="0"/>
              <w:spacing w:before="0" w:after="1"/>
              <w:ind w:left="0" w:right="0" w:hanging="0"/>
              <w:jc w:val="left"/>
              <w:rPr/>
            </w:pPr>
            <w:r>
              <w:rPr/>
              <w:t>​</w:t>
            </w:r>
          </w:p>
        </w:tc>
        <w:tc>
          <w:tcPr>
            <w:tcW w:w="115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(35,276)</w:t>
            </w:r>
          </w:p>
        </w:tc>
      </w:tr>
      <w:tr>
        <w:trPr/>
        <w:tc>
          <w:tcPr>
            <w:tcW w:w="736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Accumulated Other Comprehensive Income</w:t>
            </w:r>
          </w:p>
        </w:tc>
        <w:tc>
          <w:tcPr>
            <w:tcW w:w="22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4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3,148</w:t>
            </w:r>
          </w:p>
        </w:tc>
        <w:tc>
          <w:tcPr>
            <w:tcW w:w="346" w:type="dxa"/>
            <w:tcBorders/>
            <w:vAlign w:val="center"/>
          </w:tcPr>
          <w:p>
            <w:pPr>
              <w:pStyle w:val="TableContents"/>
              <w:bidi w:val="0"/>
              <w:spacing w:before="0" w:after="1"/>
              <w:ind w:left="0" w:right="0" w:hanging="0"/>
              <w:jc w:val="left"/>
              <w:rPr/>
            </w:pPr>
            <w:r>
              <w:rPr/>
              <w:t>​</w:t>
            </w:r>
          </w:p>
        </w:tc>
        <w:tc>
          <w:tcPr>
            <w:tcW w:w="27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5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1,293</w:t>
            </w:r>
          </w:p>
        </w:tc>
      </w:tr>
      <w:tr>
        <w:trPr/>
        <w:tc>
          <w:tcPr>
            <w:tcW w:w="736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Stockholders' Equity</w:t>
            </w:r>
          </w:p>
        </w:tc>
        <w:tc>
          <w:tcPr>
            <w:tcW w:w="225" w:type="dxa"/>
            <w:tcBorders/>
            <w:shd w:fill="CCEEFF" w:val="clear"/>
            <w:vAlign w:val="center"/>
          </w:tcPr>
          <w:p>
            <w:pPr>
              <w:pStyle w:val="TableContents"/>
              <w:bidi w:val="0"/>
              <w:spacing w:before="0" w:after="1"/>
              <w:ind w:left="0" w:right="0" w:hanging="0"/>
              <w:jc w:val="left"/>
              <w:rPr/>
            </w:pPr>
            <w:r>
              <w:rPr/>
              <w:t>​</w:t>
            </w:r>
          </w:p>
        </w:tc>
        <w:tc>
          <w:tcPr>
            <w:tcW w:w="84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337,291</w:t>
            </w:r>
          </w:p>
        </w:tc>
        <w:tc>
          <w:tcPr>
            <w:tcW w:w="346" w:type="dxa"/>
            <w:tcBorders/>
            <w:shd w:fill="CCEEFF" w:val="clear"/>
            <w:vAlign w:val="center"/>
          </w:tcPr>
          <w:p>
            <w:pPr>
              <w:pStyle w:val="TableContents"/>
              <w:bidi w:val="0"/>
              <w:spacing w:before="0" w:after="1"/>
              <w:ind w:left="0" w:right="0" w:hanging="0"/>
              <w:jc w:val="left"/>
              <w:rPr/>
            </w:pPr>
            <w:r>
              <w:rPr/>
              <w:t>​</w:t>
            </w:r>
          </w:p>
        </w:tc>
        <w:tc>
          <w:tcPr>
            <w:tcW w:w="271" w:type="dxa"/>
            <w:tcBorders/>
            <w:shd w:fill="CCEEFF" w:val="clear"/>
            <w:vAlign w:val="center"/>
          </w:tcPr>
          <w:p>
            <w:pPr>
              <w:pStyle w:val="TableContents"/>
              <w:bidi w:val="0"/>
              <w:spacing w:before="0" w:after="1"/>
              <w:ind w:left="0" w:right="0" w:hanging="0"/>
              <w:jc w:val="left"/>
              <w:rPr/>
            </w:pPr>
            <w:r>
              <w:rPr/>
              <w:t>​</w:t>
            </w:r>
          </w:p>
        </w:tc>
        <w:tc>
          <w:tcPr>
            <w:tcW w:w="115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279,876</w:t>
            </w:r>
          </w:p>
        </w:tc>
      </w:tr>
      <w:tr>
        <w:trPr/>
        <w:tc>
          <w:tcPr>
            <w:tcW w:w="736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Noncontrolling Interest</w:t>
            </w:r>
          </w:p>
        </w:tc>
        <w:tc>
          <w:tcPr>
            <w:tcW w:w="22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4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21,252</w:t>
            </w:r>
          </w:p>
        </w:tc>
        <w:tc>
          <w:tcPr>
            <w:tcW w:w="346" w:type="dxa"/>
            <w:tcBorders/>
            <w:vAlign w:val="center"/>
          </w:tcPr>
          <w:p>
            <w:pPr>
              <w:pStyle w:val="TableContents"/>
              <w:bidi w:val="0"/>
              <w:spacing w:before="0" w:after="1"/>
              <w:ind w:left="0" w:right="0" w:hanging="0"/>
              <w:jc w:val="left"/>
              <w:rPr/>
            </w:pPr>
            <w:r>
              <w:rPr/>
              <w:t>​</w:t>
            </w:r>
          </w:p>
        </w:tc>
        <w:tc>
          <w:tcPr>
            <w:tcW w:w="27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5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21,380</w:t>
            </w:r>
          </w:p>
        </w:tc>
      </w:tr>
      <w:tr>
        <w:trPr/>
        <w:tc>
          <w:tcPr>
            <w:tcW w:w="736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Equity</w:t>
            </w:r>
          </w:p>
        </w:tc>
        <w:tc>
          <w:tcPr>
            <w:tcW w:w="22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4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358,543</w:t>
            </w:r>
          </w:p>
        </w:tc>
        <w:tc>
          <w:tcPr>
            <w:tcW w:w="346" w:type="dxa"/>
            <w:tcBorders/>
            <w:shd w:fill="CCEEFF" w:val="clear"/>
            <w:vAlign w:val="center"/>
          </w:tcPr>
          <w:p>
            <w:pPr>
              <w:pStyle w:val="TableContents"/>
              <w:bidi w:val="0"/>
              <w:spacing w:before="0" w:after="1"/>
              <w:ind w:left="0" w:right="0" w:hanging="0"/>
              <w:jc w:val="left"/>
              <w:rPr/>
            </w:pPr>
            <w:r>
              <w:rPr/>
              <w:t>​</w:t>
            </w:r>
          </w:p>
        </w:tc>
        <w:tc>
          <w:tcPr>
            <w:tcW w:w="27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15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301,256</w:t>
            </w:r>
          </w:p>
        </w:tc>
      </w:tr>
      <w:tr>
        <w:trPr/>
        <w:tc>
          <w:tcPr>
            <w:tcW w:w="736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Liabilities and Equity</w:t>
            </w:r>
          </w:p>
        </w:tc>
        <w:tc>
          <w:tcPr>
            <w:tcW w:w="225"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0"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781,513</w:t>
            </w:r>
          </w:p>
        </w:tc>
        <w:tc>
          <w:tcPr>
            <w:tcW w:w="346" w:type="dxa"/>
            <w:tcBorders/>
            <w:vAlign w:val="center"/>
          </w:tcPr>
          <w:p>
            <w:pPr>
              <w:pStyle w:val="TableContents"/>
              <w:bidi w:val="0"/>
              <w:spacing w:before="0" w:after="1"/>
              <w:ind w:left="0" w:right="0" w:hanging="0"/>
              <w:jc w:val="left"/>
              <w:rPr/>
            </w:pPr>
            <w:r>
              <w:rPr/>
              <w:t>​</w:t>
            </w:r>
          </w:p>
        </w:tc>
        <w:tc>
          <w:tcPr>
            <w:tcW w:w="27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58" w:type="dxa"/>
            <w:tcBorders>
              <w:bottom w:val="double" w:sz="6" w:space="0" w:color="000000"/>
            </w:tcBorders>
            <w:tcMar>
              <w:bottom w:w="28" w:type="dxa"/>
            </w:tcMar>
            <w:vAlign w:val="center"/>
          </w:tcPr>
          <w:p>
            <w:pPr>
              <w:pStyle w:val="TableContents"/>
              <w:bidi w:val="0"/>
              <w:spacing w:before="0" w:after="1"/>
              <w:ind w:left="0" w:right="72" w:hanging="0"/>
              <w:jc w:val="right"/>
              <w:rPr>
                <w:rFonts w:ascii="Times New Roman;Times;serif" w:hAnsi="Times New Roman;Times;serif"/>
                <w:sz w:val="20"/>
              </w:rPr>
            </w:pPr>
            <w:r>
              <w:rPr>
                <w:rFonts w:ascii="Times New Roman;Times;serif" w:hAnsi="Times New Roman;Times;serif"/>
                <w:sz w:val="20"/>
              </w:rPr>
              <w:t>715,874</w:t>
            </w:r>
          </w:p>
        </w:tc>
      </w:tr>
    </w:tbl>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accompanying notes are an integral part of these consolidated financial statements.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sz w:val="20"/>
        </w:rPr>
      </w:pPr>
      <w:bookmarkStart w:id="143" w:name="_b0a3ab94_58f6_4cb9_9100_47f2d7e256ce"/>
      <w:bookmarkEnd w:id="143"/>
      <w:r>
        <w:rPr>
          <w:rFonts w:ascii="Times New Roman;Times;serif" w:hAnsi="Times New Roman;Times;serif"/>
          <w:sz w:val="20"/>
        </w:rPr>
        <w:t>ALPINE INCOME PROPERTY TRUST, INC.</w:t>
      </w:r>
    </w:p>
    <w:p>
      <w:pPr>
        <w:pStyle w:val="TextBody"/>
        <w:bidi w:val="0"/>
        <w:spacing w:before="0" w:after="0"/>
        <w:ind w:left="0" w:right="0" w:hanging="0"/>
        <w:jc w:val="center"/>
        <w:rPr>
          <w:rFonts w:ascii="Times New Roman;Times;serif" w:hAnsi="Times New Roman;Times;serif"/>
          <w:sz w:val="20"/>
        </w:rPr>
      </w:pPr>
      <w:bookmarkStart w:id="144" w:name="CONSOLIDATEDSTATEMENTSOPERATIONS"/>
      <w:bookmarkEnd w:id="144"/>
      <w:r>
        <w:rPr>
          <w:rFonts w:ascii="Times New Roman;Times;serif" w:hAnsi="Times New Roman;Times;serif"/>
          <w:sz w:val="20"/>
        </w:rPr>
        <w:t>CONSOLIDATED STATEMENTS OF OPERATIONS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(Unaudited, in thousands, except share and per share data)</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145" w:name="Tc_xhhQ-VOXoUCvVOFl-ddorw_31_0"/>
      <w:bookmarkStart w:id="146" w:name="Tc_t-eZ_6mccEyNKQP8xn1iFg_30_0"/>
      <w:bookmarkStart w:id="147" w:name="Tc_nlcatwTcV0ic34LrTq9qwA_29_0"/>
      <w:bookmarkStart w:id="148" w:name="Tc_yKLTNtMUeUOkqcbJud9W1g_27_11"/>
      <w:bookmarkStart w:id="149" w:name="Tc_1Sdt5wNWr0qnwNrjoTFKhA_27_8"/>
      <w:bookmarkStart w:id="150" w:name="Tc_ZYWyRrTGPEeH0d-wF74H9Q_27_5"/>
      <w:bookmarkStart w:id="151" w:name="Tc_7x6cGqZT2UWdeHa4o8hkLw_27_2"/>
      <w:bookmarkStart w:id="152" w:name="Tc_u9s_MsCh0kmqpAtN2KnMoA_27_0"/>
      <w:bookmarkStart w:id="153" w:name="Tc_sty9ARUk20iGkFTNd5u6_g_26_11"/>
      <w:bookmarkStart w:id="154" w:name="Tc_emgIIryKQEuQpyBB8F0Bug_26_8"/>
      <w:bookmarkStart w:id="155" w:name="Tc_WcDMUf3R-k65KLDjPkNDjg_26_5"/>
      <w:bookmarkStart w:id="156" w:name="Tc_kZMuqDssH0S3zlnj4Kjm1w_26_2"/>
      <w:bookmarkStart w:id="157" w:name="Tc_1cjML2eZL06djNXyPVbMpw_26_0"/>
      <w:bookmarkStart w:id="158" w:name="Tc_lzJKmwLDSE20JiWGwkQW8w_25_0"/>
      <w:bookmarkStart w:id="159" w:name="Tc_8wfZ7UhYe0qSpnSc2GcjGw_24_0"/>
      <w:bookmarkStart w:id="160" w:name="Tc_lZgldrREr02iKQppN6O7DA_22_11"/>
      <w:bookmarkStart w:id="161" w:name="Tc_YNwVW72uiUuabGiJoDEcGg_22_8"/>
      <w:bookmarkStart w:id="162" w:name="Tc_5exnep9ZlkSdhFPSYa8hMA_22_5"/>
      <w:bookmarkStart w:id="163" w:name="Tc_8_zURaQGqE6dd4SUlVVjjw_22_2"/>
      <w:bookmarkStart w:id="164" w:name="Tc_x0pSWx2RfEGszNqEhHuCZQ_22_0"/>
      <w:bookmarkStart w:id="165" w:name="Tc_4RomnE2ce0mTMM5eOI_UOg_21_12"/>
      <w:bookmarkStart w:id="166" w:name="Tc_ytuhTDnPlkOJOfcGtxu48g_21_6"/>
      <w:bookmarkStart w:id="167" w:name="Tc_436ajW1s-E-8zgdYADkVxA_21_0"/>
      <w:bookmarkStart w:id="168" w:name="Tc_BkBqSjW8wUKIgvvMNTGkEw_20_0"/>
      <w:bookmarkStart w:id="169" w:name="Tc_cRoxH8_In0GXprWPlkC61Q_19_0"/>
      <w:bookmarkStart w:id="170" w:name="Tc_EQpsD6bDsEasTS0TJfidow_18_0"/>
      <w:bookmarkStart w:id="171" w:name="Tc_THziBEu8W0WoOP-3rH3NJw_17_0"/>
      <w:bookmarkStart w:id="172" w:name="Tc_MlbwHt5f9EGb8jXrllcoGA_16_0"/>
      <w:bookmarkStart w:id="173" w:name="Tc_9Gtry_1qEU-KIwAKrHrB7w_15_0"/>
      <w:bookmarkStart w:id="174" w:name="Tc_qDO8oiGrsESwXKTb6-3Bgg_14_3"/>
      <w:bookmarkStart w:id="175" w:name="Tc_o9QykEkzHEWhVPVEGEsJzg_14_0"/>
      <w:bookmarkStart w:id="176" w:name="Tc_AAEtUxi9KESVMqx7CNZdyw_13_0"/>
      <w:bookmarkStart w:id="177" w:name="Tc_NDolXkxa6U2AZYiTKLg9Xg_12_0"/>
      <w:bookmarkStart w:id="178" w:name="Tc_yLtp3dFhoUuslAAbWs7KAg_11_0"/>
      <w:bookmarkStart w:id="179" w:name="Tc_AflyrTqkYkeUpgrnVcjpWg_10_0"/>
      <w:bookmarkStart w:id="180" w:name="Tc_8bXajl3UCkW7EY3nxGZ-Eg_9_0"/>
      <w:bookmarkStart w:id="181" w:name="Tc_HScgsDFQbUCPDNbKQwFHkA_8_0"/>
      <w:bookmarkStart w:id="182" w:name="Tc_nKiwDKo7n0G4xQXTU33JsA_7_0"/>
      <w:bookmarkStart w:id="183" w:name="Tc_6VlcsxC5JECLsKwQBQKe9g_6_0"/>
      <w:bookmarkStart w:id="184" w:name="Tc_a3_ZTORbgE6Hxjco_ria2Q_5_0"/>
      <w:bookmarkStart w:id="185" w:name="Tc_V7zm93ofB0CgEN1-3-4K6g_4_11"/>
      <w:bookmarkStart w:id="186" w:name="Tc_agP8i9nQYU6yE0ZMUuoT_w_4_8"/>
      <w:bookmarkStart w:id="187" w:name="Tc_4sVmdXYAYkWlohmS8W0AKg_4_5"/>
      <w:bookmarkStart w:id="188" w:name="Tc_fnNvLl1F7EaNwBEceONLKg_4_2"/>
      <w:bookmarkStart w:id="189" w:name="Tc_AAZAF2Pt002SPrC1SdI3GQ_4_0"/>
      <w:bookmarkStart w:id="190" w:name="Tc_6-Tp22Z070GgwnRq9COtCA_3_0"/>
      <w:bookmarkStart w:id="191" w:name="Tc_MhmCTRIBgk6hgUxcbY-bMg_2_11"/>
      <w:bookmarkStart w:id="192" w:name="Tc_Zg1wnVxZxESuVzHj5UmKPw_2_8"/>
      <w:bookmarkStart w:id="193" w:name="Tc_Fn9mOm2M_kOgIuBz9uWMaA_2_5"/>
      <w:bookmarkStart w:id="194" w:name="Tc_FJHH0MukAEapVeoMIMnSRg_2_2"/>
      <w:bookmarkStart w:id="195" w:name="Tc_JALZbkZjr0iikXaHAQPH_w_1_8"/>
      <w:bookmarkStart w:id="196" w:name="Tc_uCYsVsrewEiUcd0ZBo2yLA_1_2"/>
      <w:bookmarkStart w:id="197" w:name="_28da37b6_eced_4282_8387_5058a00681d4"/>
      <w:bookmarkStart w:id="198" w:name="Tc_xhhQ-VOXoUCvVOFl-ddorw_31_0"/>
      <w:bookmarkStart w:id="199" w:name="Tc_t-eZ_6mccEyNKQP8xn1iFg_30_0"/>
      <w:bookmarkStart w:id="200" w:name="Tc_nlcatwTcV0ic34LrTq9qwA_29_0"/>
      <w:bookmarkStart w:id="201" w:name="Tc_yKLTNtMUeUOkqcbJud9W1g_27_11"/>
      <w:bookmarkStart w:id="202" w:name="Tc_1Sdt5wNWr0qnwNrjoTFKhA_27_8"/>
      <w:bookmarkStart w:id="203" w:name="Tc_ZYWyRrTGPEeH0d-wF74H9Q_27_5"/>
      <w:bookmarkStart w:id="204" w:name="Tc_7x6cGqZT2UWdeHa4o8hkLw_27_2"/>
      <w:bookmarkStart w:id="205" w:name="Tc_u9s_MsCh0kmqpAtN2KnMoA_27_0"/>
      <w:bookmarkStart w:id="206" w:name="Tc_sty9ARUk20iGkFTNd5u6_g_26_11"/>
      <w:bookmarkStart w:id="207" w:name="Tc_emgIIryKQEuQpyBB8F0Bug_26_8"/>
      <w:bookmarkStart w:id="208" w:name="Tc_WcDMUf3R-k65KLDjPkNDjg_26_5"/>
      <w:bookmarkStart w:id="209" w:name="Tc_kZMuqDssH0S3zlnj4Kjm1w_26_2"/>
      <w:bookmarkStart w:id="210" w:name="Tc_1cjML2eZL06djNXyPVbMpw_26_0"/>
      <w:bookmarkStart w:id="211" w:name="Tc_lzJKmwLDSE20JiWGwkQW8w_25_0"/>
      <w:bookmarkStart w:id="212" w:name="Tc_8wfZ7UhYe0qSpnSc2GcjGw_24_0"/>
      <w:bookmarkStart w:id="213" w:name="Tc_lZgldrREr02iKQppN6O7DA_22_11"/>
      <w:bookmarkStart w:id="214" w:name="Tc_YNwVW72uiUuabGiJoDEcGg_22_8"/>
      <w:bookmarkStart w:id="215" w:name="Tc_5exnep9ZlkSdhFPSYa8hMA_22_5"/>
      <w:bookmarkStart w:id="216" w:name="Tc_8_zURaQGqE6dd4SUlVVjjw_22_2"/>
      <w:bookmarkStart w:id="217" w:name="Tc_x0pSWx2RfEGszNqEhHuCZQ_22_0"/>
      <w:bookmarkStart w:id="218" w:name="Tc_4RomnE2ce0mTMM5eOI_UOg_21_12"/>
      <w:bookmarkStart w:id="219" w:name="Tc_ytuhTDnPlkOJOfcGtxu48g_21_6"/>
      <w:bookmarkStart w:id="220" w:name="Tc_436ajW1s-E-8zgdYADkVxA_21_0"/>
      <w:bookmarkStart w:id="221" w:name="Tc_BkBqSjW8wUKIgvvMNTGkEw_20_0"/>
      <w:bookmarkStart w:id="222" w:name="Tc_cRoxH8_In0GXprWPlkC61Q_19_0"/>
      <w:bookmarkStart w:id="223" w:name="Tc_EQpsD6bDsEasTS0TJfidow_18_0"/>
      <w:bookmarkStart w:id="224" w:name="Tc_THziBEu8W0WoOP-3rH3NJw_17_0"/>
      <w:bookmarkStart w:id="225" w:name="Tc_MlbwHt5f9EGb8jXrllcoGA_16_0"/>
      <w:bookmarkStart w:id="226" w:name="Tc_9Gtry_1qEU-KIwAKrHrB7w_15_0"/>
      <w:bookmarkStart w:id="227" w:name="Tc_qDO8oiGrsESwXKTb6-3Bgg_14_3"/>
      <w:bookmarkStart w:id="228" w:name="Tc_o9QykEkzHEWhVPVEGEsJzg_14_0"/>
      <w:bookmarkStart w:id="229" w:name="Tc_AAEtUxi9KESVMqx7CNZdyw_13_0"/>
      <w:bookmarkStart w:id="230" w:name="Tc_NDolXkxa6U2AZYiTKLg9Xg_12_0"/>
      <w:bookmarkStart w:id="231" w:name="Tc_yLtp3dFhoUuslAAbWs7KAg_11_0"/>
      <w:bookmarkStart w:id="232" w:name="Tc_AflyrTqkYkeUpgrnVcjpWg_10_0"/>
      <w:bookmarkStart w:id="233" w:name="Tc_8bXajl3UCkW7EY3nxGZ-Eg_9_0"/>
      <w:bookmarkStart w:id="234" w:name="Tc_HScgsDFQbUCPDNbKQwFHkA_8_0"/>
      <w:bookmarkStart w:id="235" w:name="Tc_nKiwDKo7n0G4xQXTU33JsA_7_0"/>
      <w:bookmarkStart w:id="236" w:name="Tc_6VlcsxC5JECLsKwQBQKe9g_6_0"/>
      <w:bookmarkStart w:id="237" w:name="Tc_a3_ZTORbgE6Hxjco_ria2Q_5_0"/>
      <w:bookmarkStart w:id="238" w:name="Tc_V7zm93ofB0CgEN1-3-4K6g_4_11"/>
      <w:bookmarkStart w:id="239" w:name="Tc_agP8i9nQYU6yE0ZMUuoT_w_4_8"/>
      <w:bookmarkStart w:id="240" w:name="Tc_4sVmdXYAYkWlohmS8W0AKg_4_5"/>
      <w:bookmarkStart w:id="241" w:name="Tc_fnNvLl1F7EaNwBEceONLKg_4_2"/>
      <w:bookmarkStart w:id="242" w:name="Tc_AAZAF2Pt002SPrC1SdI3GQ_4_0"/>
      <w:bookmarkStart w:id="243" w:name="Tc_6-Tp22Z070GgwnRq9COtCA_3_0"/>
      <w:bookmarkStart w:id="244" w:name="Tc_MhmCTRIBgk6hgUxcbY-bMg_2_11"/>
      <w:bookmarkStart w:id="245" w:name="Tc_Zg1wnVxZxESuVzHj5UmKPw_2_8"/>
      <w:bookmarkStart w:id="246" w:name="Tc_Fn9mOm2M_kOgIuBz9uWMaA_2_5"/>
      <w:bookmarkStart w:id="247" w:name="Tc_FJHH0MukAEapVeoMIMnSRg_2_2"/>
      <w:bookmarkStart w:id="248" w:name="Tc_JALZbkZjr0iikXaHAQPH_w_1_8"/>
      <w:bookmarkStart w:id="249" w:name="Tc_uCYsVsrewEiUcd0ZBo2yLA_1_2"/>
      <w:bookmarkStart w:id="250" w:name="_28da37b6_eced_4282_8387_5058a00681d4"/>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p>
    <w:tbl>
      <w:tblPr>
        <w:tblW w:w="10205" w:type="dxa"/>
        <w:jc w:val="left"/>
        <w:tblInd w:w="0" w:type="dxa"/>
        <w:tblLayout w:type="fixed"/>
        <w:tblCellMar>
          <w:top w:w="0" w:type="dxa"/>
          <w:left w:w="0" w:type="dxa"/>
          <w:bottom w:w="0" w:type="dxa"/>
          <w:right w:w="0" w:type="dxa"/>
        </w:tblCellMar>
      </w:tblPr>
      <w:tblGrid>
        <w:gridCol w:w="4600"/>
        <w:gridCol w:w="109"/>
        <w:gridCol w:w="214"/>
        <w:gridCol w:w="1054"/>
        <w:gridCol w:w="109"/>
        <w:gridCol w:w="214"/>
        <w:gridCol w:w="1054"/>
        <w:gridCol w:w="109"/>
        <w:gridCol w:w="214"/>
        <w:gridCol w:w="1054"/>
        <w:gridCol w:w="109"/>
        <w:gridCol w:w="211"/>
        <w:gridCol w:w="1154"/>
      </w:tblGrid>
      <w:tr>
        <w:trPr/>
        <w:tc>
          <w:tcPr>
            <w:tcW w:w="4600"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9215" cy="175260"/>
                      <wp:effectExtent l="0" t="0" r="0" b="0"/>
                      <wp:wrapNone/>
                      <wp:docPr id="6" name="Frame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135890" cy="175260"/>
                      <wp:effectExtent l="0" t="0" r="0" b="0"/>
                      <wp:wrapNone/>
                      <wp:docPr id="7" name="Frame7"/>
                      <a:graphic xmlns:a="http://schemas.openxmlformats.org/drawingml/2006/main">
                        <a:graphicData uri="http://schemas.microsoft.com/office/word/2010/wordprocessingShape">
                          <wps:wsp>
                            <wps:cNvSpPr txBox="1"/>
                            <wps:spPr>
                              <a:xfrm>
                                <a:off x="0" y="0"/>
                                <a:ext cx="1358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69290" cy="175260"/>
                      <wp:effectExtent l="0" t="0" r="0" b="0"/>
                      <wp:wrapNone/>
                      <wp:docPr id="8" name="Frame8"/>
                      <a:graphic xmlns:a="http://schemas.openxmlformats.org/drawingml/2006/main">
                        <a:graphicData uri="http://schemas.microsoft.com/office/word/2010/wordprocessingShape">
                          <wps:wsp>
                            <wps:cNvSpPr txBox="1"/>
                            <wps:spPr>
                              <a:xfrm>
                                <a:off x="0" y="0"/>
                                <a:ext cx="6692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9215" cy="175260"/>
                      <wp:effectExtent l="0" t="0" r="0" b="0"/>
                      <wp:wrapNone/>
                      <wp:docPr id="9" name="Frame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135890" cy="175260"/>
                      <wp:effectExtent l="0" t="0" r="0" b="0"/>
                      <wp:wrapNone/>
                      <wp:docPr id="10" name="Frame10"/>
                      <a:graphic xmlns:a="http://schemas.openxmlformats.org/drawingml/2006/main">
                        <a:graphicData uri="http://schemas.microsoft.com/office/word/2010/wordprocessingShape">
                          <wps:wsp>
                            <wps:cNvSpPr txBox="1"/>
                            <wps:spPr>
                              <a:xfrm>
                                <a:off x="0" y="0"/>
                                <a:ext cx="1358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69290" cy="175260"/>
                      <wp:effectExtent l="0" t="0" r="0" b="0"/>
                      <wp:wrapNone/>
                      <wp:docPr id="11" name="Frame11"/>
                      <a:graphic xmlns:a="http://schemas.openxmlformats.org/drawingml/2006/main">
                        <a:graphicData uri="http://schemas.microsoft.com/office/word/2010/wordprocessingShape">
                          <wps:wsp>
                            <wps:cNvSpPr txBox="1"/>
                            <wps:spPr>
                              <a:xfrm>
                                <a:off x="0" y="0"/>
                                <a:ext cx="6692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9215" cy="175260"/>
                      <wp:effectExtent l="0" t="0" r="0" b="0"/>
                      <wp:wrapNone/>
                      <wp:docPr id="12" name="Frame1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135890" cy="175260"/>
                      <wp:effectExtent l="0" t="0" r="0" b="0"/>
                      <wp:wrapNone/>
                      <wp:docPr id="13" name="Frame13"/>
                      <a:graphic xmlns:a="http://schemas.openxmlformats.org/drawingml/2006/main">
                        <a:graphicData uri="http://schemas.microsoft.com/office/word/2010/wordprocessingShape">
                          <wps:wsp>
                            <wps:cNvSpPr txBox="1"/>
                            <wps:spPr>
                              <a:xfrm>
                                <a:off x="0" y="0"/>
                                <a:ext cx="1358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69290" cy="175260"/>
                      <wp:effectExtent l="0" t="0" r="0" b="0"/>
                      <wp:wrapNone/>
                      <wp:docPr id="14" name="Frame14"/>
                      <a:graphic xmlns:a="http://schemas.openxmlformats.org/drawingml/2006/main">
                        <a:graphicData uri="http://schemas.microsoft.com/office/word/2010/wordprocessingShape">
                          <wps:wsp>
                            <wps:cNvSpPr txBox="1"/>
                            <wps:spPr>
                              <a:xfrm>
                                <a:off x="0" y="0"/>
                                <a:ext cx="6692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9215" cy="175260"/>
                      <wp:effectExtent l="0" t="0" r="0" b="0"/>
                      <wp:wrapNone/>
                      <wp:docPr id="15" name="Frame1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133985" cy="175260"/>
                      <wp:effectExtent l="0" t="0" r="0" b="0"/>
                      <wp:wrapNone/>
                      <wp:docPr id="16" name="Frame1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732790" cy="175260"/>
                      <wp:effectExtent l="0" t="0" r="0" b="0"/>
                      <wp:wrapNone/>
                      <wp:docPr id="17" name="Frame17"/>
                      <a:graphic xmlns:a="http://schemas.openxmlformats.org/drawingml/2006/main">
                        <a:graphicData uri="http://schemas.microsoft.com/office/word/2010/wordprocessingShape">
                          <wps:wsp>
                            <wps:cNvSpPr txBox="1"/>
                            <wps:spPr>
                              <a:xfrm>
                                <a:off x="0" y="0"/>
                                <a:ext cx="7327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600" w:type="dxa"/>
            <w:tcBorders/>
            <w:vAlign w:val="center"/>
          </w:tcPr>
          <w:p>
            <w:pPr>
              <w:pStyle w:val="TableContents"/>
              <w:bidi w:val="0"/>
              <w:spacing w:before="0" w:after="1"/>
              <w:ind w:left="0" w:right="0" w:hanging="0"/>
              <w:jc w:val="left"/>
              <w:rPr>
                <w:color w:val="FF0000"/>
              </w:rPr>
            </w:pPr>
            <w:r>
              <w:rPr>
                <w:color w:val="FF0000"/>
              </w:rPr>
              <w:t>​</w:t>
            </w:r>
          </w:p>
        </w:tc>
        <w:tc>
          <w:tcPr>
            <w:tcW w:w="109" w:type="dxa"/>
            <w:tcBorders/>
            <w:vAlign w:val="center"/>
          </w:tcPr>
          <w:p>
            <w:pPr>
              <w:pStyle w:val="TableContents"/>
              <w:bidi w:val="0"/>
              <w:spacing w:before="0" w:after="1"/>
              <w:ind w:left="0" w:right="0" w:hanging="0"/>
              <w:jc w:val="left"/>
              <w:rPr/>
            </w:pPr>
            <w:r>
              <w:rPr/>
              <w:t>​</w:t>
            </w:r>
          </w:p>
        </w:tc>
        <w:tc>
          <w:tcPr>
            <w:tcW w:w="264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Three Months Ended</w:t>
            </w:r>
          </w:p>
        </w:tc>
        <w:tc>
          <w:tcPr>
            <w:tcW w:w="109" w:type="dxa"/>
            <w:tcBorders/>
            <w:vAlign w:val="center"/>
          </w:tcPr>
          <w:p>
            <w:pPr>
              <w:pStyle w:val="TableContents"/>
              <w:bidi w:val="0"/>
              <w:spacing w:before="0" w:after="1"/>
              <w:ind w:left="0" w:right="0" w:hanging="0"/>
              <w:jc w:val="left"/>
              <w:rPr/>
            </w:pPr>
            <w:r>
              <w:rPr/>
              <w:t>​</w:t>
            </w:r>
          </w:p>
        </w:tc>
        <w:tc>
          <w:tcPr>
            <w:tcW w:w="2742"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Six Months Ended</w:t>
            </w:r>
          </w:p>
        </w:tc>
      </w:tr>
      <w:tr>
        <w:trPr/>
        <w:tc>
          <w:tcPr>
            <w:tcW w:w="4600"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126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June 30, 2026</w:t>
            </w:r>
          </w:p>
        </w:tc>
        <w:tc>
          <w:tcPr>
            <w:tcW w:w="109" w:type="dxa"/>
            <w:tcBorders/>
            <w:vAlign w:val="center"/>
          </w:tcPr>
          <w:p>
            <w:pPr>
              <w:pStyle w:val="TableContents"/>
              <w:bidi w:val="0"/>
              <w:spacing w:before="0" w:after="1"/>
              <w:ind w:left="0" w:right="0" w:hanging="0"/>
              <w:jc w:val="center"/>
              <w:rPr/>
            </w:pPr>
            <w:r>
              <w:rPr/>
              <w:t>​</w:t>
            </w:r>
          </w:p>
        </w:tc>
        <w:tc>
          <w:tcPr>
            <w:tcW w:w="126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June 30, 2025</w:t>
            </w:r>
          </w:p>
        </w:tc>
        <w:tc>
          <w:tcPr>
            <w:tcW w:w="109" w:type="dxa"/>
            <w:tcBorders/>
            <w:vAlign w:val="center"/>
          </w:tcPr>
          <w:p>
            <w:pPr>
              <w:pStyle w:val="TableContents"/>
              <w:bidi w:val="0"/>
              <w:spacing w:before="0" w:after="1"/>
              <w:ind w:left="0" w:right="0" w:hanging="0"/>
              <w:jc w:val="center"/>
              <w:rPr/>
            </w:pPr>
            <w:r>
              <w:rPr/>
              <w:t>​</w:t>
            </w:r>
          </w:p>
        </w:tc>
        <w:tc>
          <w:tcPr>
            <w:tcW w:w="126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June 30, 2026</w:t>
            </w:r>
          </w:p>
        </w:tc>
        <w:tc>
          <w:tcPr>
            <w:tcW w:w="109" w:type="dxa"/>
            <w:tcBorders/>
            <w:vAlign w:val="center"/>
          </w:tcPr>
          <w:p>
            <w:pPr>
              <w:pStyle w:val="TableContents"/>
              <w:bidi w:val="0"/>
              <w:spacing w:before="0" w:after="1"/>
              <w:ind w:left="0" w:right="0" w:hanging="0"/>
              <w:jc w:val="center"/>
              <w:rPr/>
            </w:pPr>
            <w:r>
              <w:rPr/>
              <w:t>​</w:t>
            </w:r>
          </w:p>
        </w:tc>
        <w:tc>
          <w:tcPr>
            <w:tcW w:w="136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June 30, 2025</w:t>
            </w:r>
          </w:p>
        </w:tc>
      </w:tr>
      <w:tr>
        <w:trPr/>
        <w:tc>
          <w:tcPr>
            <w:tcW w:w="460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Revenues:</w:t>
            </w:r>
          </w:p>
        </w:tc>
        <w:tc>
          <w:tcPr>
            <w:tcW w:w="109"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center"/>
              <w:rPr/>
            </w:pPr>
            <w:r>
              <w:rPr/>
              <w:t>​</w:t>
            </w:r>
          </w:p>
        </w:tc>
        <w:tc>
          <w:tcPr>
            <w:tcW w:w="1054" w:type="dxa"/>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center"/>
              <w:rPr/>
            </w:pPr>
            <w:r>
              <w:rPr/>
              <w:t>​</w:t>
            </w:r>
          </w:p>
        </w:tc>
        <w:tc>
          <w:tcPr>
            <w:tcW w:w="1054" w:type="dxa"/>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center"/>
              <w:rPr/>
            </w:pPr>
            <w:r>
              <w:rPr/>
              <w:t>​</w:t>
            </w:r>
          </w:p>
        </w:tc>
        <w:tc>
          <w:tcPr>
            <w:tcW w:w="1054" w:type="dxa"/>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1154" w:type="dxa"/>
            <w:tcBorders/>
            <w:shd w:fill="CCEEFF" w:val="clear"/>
            <w:vAlign w:val="center"/>
          </w:tcPr>
          <w:p>
            <w:pPr>
              <w:pStyle w:val="TableContents"/>
              <w:bidi w:val="0"/>
              <w:spacing w:before="0" w:after="1"/>
              <w:ind w:left="0" w:right="0" w:hanging="0"/>
              <w:jc w:val="center"/>
              <w:rPr/>
            </w:pPr>
            <w:r>
              <w:rPr/>
              <w:t>​</w:t>
            </w:r>
          </w:p>
        </w:tc>
      </w:tr>
      <w:tr>
        <w:trPr/>
        <w:tc>
          <w:tcPr>
            <w:tcW w:w="460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Lease Income</w:t>
            </w:r>
          </w:p>
        </w:tc>
        <w:tc>
          <w:tcPr>
            <w:tcW w:w="109"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5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12,637</w:t>
            </w:r>
          </w:p>
        </w:tc>
        <w:tc>
          <w:tcPr>
            <w:tcW w:w="109"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5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12,022</w:t>
            </w:r>
          </w:p>
        </w:tc>
        <w:tc>
          <w:tcPr>
            <w:tcW w:w="109"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5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25,239</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5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23,848</w:t>
            </w:r>
          </w:p>
        </w:tc>
      </w:tr>
      <w:tr>
        <w:trPr/>
        <w:tc>
          <w:tcPr>
            <w:tcW w:w="460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Income from Commercial Loans and Investments</w:t>
            </w:r>
          </w:p>
        </w:tc>
        <w:tc>
          <w:tcPr>
            <w:tcW w:w="109"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pPr>
            <w:r>
              <w:rPr/>
              <w:t>​</w:t>
            </w:r>
          </w:p>
        </w:tc>
        <w:tc>
          <w:tcPr>
            <w:tcW w:w="105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7,331</w:t>
            </w:r>
          </w:p>
        </w:tc>
        <w:tc>
          <w:tcPr>
            <w:tcW w:w="109"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pPr>
            <w:r>
              <w:rPr/>
              <w:t>​</w:t>
            </w:r>
          </w:p>
        </w:tc>
        <w:tc>
          <w:tcPr>
            <w:tcW w:w="105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2,737</w:t>
            </w:r>
          </w:p>
        </w:tc>
        <w:tc>
          <w:tcPr>
            <w:tcW w:w="109"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pPr>
            <w:r>
              <w:rPr/>
              <w:t>​</w:t>
            </w:r>
          </w:p>
        </w:tc>
        <w:tc>
          <w:tcPr>
            <w:tcW w:w="105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13,089</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15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5,038</w:t>
            </w:r>
          </w:p>
        </w:tc>
      </w:tr>
      <w:tr>
        <w:trPr/>
        <w:tc>
          <w:tcPr>
            <w:tcW w:w="460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Revenue</w:t>
            </w:r>
          </w:p>
        </w:tc>
        <w:tc>
          <w:tcPr>
            <w:tcW w:w="109" w:type="dxa"/>
            <w:tcBorders/>
            <w:vAlign w:val="center"/>
          </w:tcPr>
          <w:p>
            <w:pPr>
              <w:pStyle w:val="TableContents"/>
              <w:bidi w:val="0"/>
              <w:spacing w:before="0" w:after="1"/>
              <w:ind w:left="0" w:right="0" w:hanging="0"/>
              <w:jc w:val="left"/>
              <w:rPr/>
            </w:pPr>
            <w:r>
              <w:rPr/>
              <w:t>​</w:t>
            </w:r>
          </w:p>
        </w:tc>
        <w:tc>
          <w:tcPr>
            <w:tcW w:w="21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5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w:t>
            </w:r>
          </w:p>
        </w:tc>
        <w:tc>
          <w:tcPr>
            <w:tcW w:w="109" w:type="dxa"/>
            <w:tcBorders/>
            <w:vAlign w:val="center"/>
          </w:tcPr>
          <w:p>
            <w:pPr>
              <w:pStyle w:val="TableContents"/>
              <w:bidi w:val="0"/>
              <w:spacing w:before="0" w:after="1"/>
              <w:ind w:left="0" w:right="0" w:hanging="0"/>
              <w:jc w:val="left"/>
              <w:rPr/>
            </w:pPr>
            <w:r>
              <w:rPr/>
              <w:t>​</w:t>
            </w:r>
          </w:p>
        </w:tc>
        <w:tc>
          <w:tcPr>
            <w:tcW w:w="21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5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104</w:t>
            </w:r>
          </w:p>
        </w:tc>
        <w:tc>
          <w:tcPr>
            <w:tcW w:w="109" w:type="dxa"/>
            <w:tcBorders/>
            <w:vAlign w:val="center"/>
          </w:tcPr>
          <w:p>
            <w:pPr>
              <w:pStyle w:val="TableContents"/>
              <w:bidi w:val="0"/>
              <w:spacing w:before="0" w:after="1"/>
              <w:ind w:left="0" w:right="0" w:hanging="0"/>
              <w:jc w:val="left"/>
              <w:rPr/>
            </w:pPr>
            <w:r>
              <w:rPr/>
              <w:t>​</w:t>
            </w:r>
          </w:p>
        </w:tc>
        <w:tc>
          <w:tcPr>
            <w:tcW w:w="21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5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5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183</w:t>
            </w:r>
          </w:p>
        </w:tc>
      </w:tr>
      <w:tr>
        <w:trPr/>
        <w:tc>
          <w:tcPr>
            <w:tcW w:w="460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Revenues</w:t>
            </w:r>
          </w:p>
        </w:tc>
        <w:tc>
          <w:tcPr>
            <w:tcW w:w="109" w:type="dxa"/>
            <w:tcBorders/>
            <w:shd w:fill="CCEEFF" w:val="clear"/>
            <w:vAlign w:val="center"/>
          </w:tcPr>
          <w:p>
            <w:pPr>
              <w:pStyle w:val="TableContents"/>
              <w:bidi w:val="0"/>
              <w:spacing w:before="0" w:after="1"/>
              <w:ind w:left="0" w:right="0" w:hanging="0"/>
              <w:jc w:val="left"/>
              <w:rPr/>
            </w:pPr>
            <w:r>
              <w:rPr/>
              <w:t>​</w:t>
            </w:r>
          </w:p>
        </w:tc>
        <w:tc>
          <w:tcPr>
            <w:tcW w:w="21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5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20,002</w:t>
            </w:r>
          </w:p>
        </w:tc>
        <w:tc>
          <w:tcPr>
            <w:tcW w:w="109" w:type="dxa"/>
            <w:tcBorders/>
            <w:shd w:fill="CCEEFF" w:val="clear"/>
            <w:vAlign w:val="center"/>
          </w:tcPr>
          <w:p>
            <w:pPr>
              <w:pStyle w:val="TableContents"/>
              <w:bidi w:val="0"/>
              <w:spacing w:before="0" w:after="1"/>
              <w:ind w:left="0" w:right="0" w:hanging="0"/>
              <w:jc w:val="left"/>
              <w:rPr/>
            </w:pPr>
            <w:r>
              <w:rPr/>
              <w:t>​</w:t>
            </w:r>
          </w:p>
        </w:tc>
        <w:tc>
          <w:tcPr>
            <w:tcW w:w="21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5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14,863</w:t>
            </w:r>
          </w:p>
        </w:tc>
        <w:tc>
          <w:tcPr>
            <w:tcW w:w="109" w:type="dxa"/>
            <w:tcBorders/>
            <w:shd w:fill="CCEEFF" w:val="clear"/>
            <w:vAlign w:val="center"/>
          </w:tcPr>
          <w:p>
            <w:pPr>
              <w:pStyle w:val="TableContents"/>
              <w:bidi w:val="0"/>
              <w:spacing w:before="0" w:after="1"/>
              <w:ind w:left="0" w:right="0" w:hanging="0"/>
              <w:jc w:val="left"/>
              <w:rPr/>
            </w:pPr>
            <w:r>
              <w:rPr/>
              <w:t>​</w:t>
            </w:r>
          </w:p>
        </w:tc>
        <w:tc>
          <w:tcPr>
            <w:tcW w:w="21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5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38,408</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15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29,069</w:t>
            </w:r>
          </w:p>
        </w:tc>
      </w:tr>
      <w:tr>
        <w:trPr/>
        <w:tc>
          <w:tcPr>
            <w:tcW w:w="460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109"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w:t>
            </w:r>
          </w:p>
        </w:tc>
        <w:tc>
          <w:tcPr>
            <w:tcW w:w="1054"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w:t>
            </w:r>
          </w:p>
        </w:tc>
        <w:tc>
          <w:tcPr>
            <w:tcW w:w="1054"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w:t>
            </w:r>
          </w:p>
        </w:tc>
        <w:tc>
          <w:tcPr>
            <w:tcW w:w="1054"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54" w:type="dxa"/>
            <w:tcBorders/>
            <w:vAlign w:val="center"/>
          </w:tcPr>
          <w:p>
            <w:pPr>
              <w:pStyle w:val="TableContents"/>
              <w:bidi w:val="0"/>
              <w:spacing w:before="0" w:after="1"/>
              <w:ind w:left="0" w:right="0" w:hanging="0"/>
              <w:jc w:val="right"/>
              <w:rPr/>
            </w:pPr>
            <w:r>
              <w:rPr/>
              <w:t>​</w:t>
            </w:r>
          </w:p>
        </w:tc>
      </w:tr>
      <w:tr>
        <w:trPr/>
        <w:tc>
          <w:tcPr>
            <w:tcW w:w="460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Real Estate Expenses</w:t>
            </w:r>
          </w:p>
        </w:tc>
        <w:tc>
          <w:tcPr>
            <w:tcW w:w="109"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pPr>
            <w:r>
              <w:rPr/>
              <w:t>​</w:t>
            </w:r>
          </w:p>
        </w:tc>
        <w:tc>
          <w:tcPr>
            <w:tcW w:w="105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2,085</w:t>
            </w:r>
          </w:p>
        </w:tc>
        <w:tc>
          <w:tcPr>
            <w:tcW w:w="109"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pPr>
            <w:r>
              <w:rPr/>
              <w:t>​</w:t>
            </w:r>
          </w:p>
        </w:tc>
        <w:tc>
          <w:tcPr>
            <w:tcW w:w="105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2,105</w:t>
            </w:r>
          </w:p>
        </w:tc>
        <w:tc>
          <w:tcPr>
            <w:tcW w:w="109"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pPr>
            <w:r>
              <w:rPr/>
              <w:t>​</w:t>
            </w:r>
          </w:p>
        </w:tc>
        <w:tc>
          <w:tcPr>
            <w:tcW w:w="105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4,387</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15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4,139</w:t>
            </w:r>
          </w:p>
        </w:tc>
      </w:tr>
      <w:tr>
        <w:trPr/>
        <w:tc>
          <w:tcPr>
            <w:tcW w:w="460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General and Administrative Expenses</w:t>
            </w:r>
          </w:p>
        </w:tc>
        <w:tc>
          <w:tcPr>
            <w:tcW w:w="109"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w:t>
            </w:r>
          </w:p>
        </w:tc>
        <w:tc>
          <w:tcPr>
            <w:tcW w:w="105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2,028</w:t>
            </w:r>
          </w:p>
        </w:tc>
        <w:tc>
          <w:tcPr>
            <w:tcW w:w="109"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w:t>
            </w:r>
          </w:p>
        </w:tc>
        <w:tc>
          <w:tcPr>
            <w:tcW w:w="105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1,697</w:t>
            </w:r>
          </w:p>
        </w:tc>
        <w:tc>
          <w:tcPr>
            <w:tcW w:w="109"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w:t>
            </w:r>
          </w:p>
        </w:tc>
        <w:tc>
          <w:tcPr>
            <w:tcW w:w="105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3,887</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5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3,413</w:t>
            </w:r>
          </w:p>
        </w:tc>
      </w:tr>
      <w:tr>
        <w:trPr/>
        <w:tc>
          <w:tcPr>
            <w:tcW w:w="460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Provision for Impairment</w:t>
            </w:r>
          </w:p>
        </w:tc>
        <w:tc>
          <w:tcPr>
            <w:tcW w:w="109"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pPr>
            <w:r>
              <w:rPr/>
              <w:t>​</w:t>
            </w:r>
          </w:p>
        </w:tc>
        <w:tc>
          <w:tcPr>
            <w:tcW w:w="105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377</w:t>
            </w:r>
          </w:p>
        </w:tc>
        <w:tc>
          <w:tcPr>
            <w:tcW w:w="109"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pPr>
            <w:r>
              <w:rPr/>
              <w:t>​</w:t>
            </w:r>
          </w:p>
        </w:tc>
        <w:tc>
          <w:tcPr>
            <w:tcW w:w="105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2,803</w:t>
            </w:r>
          </w:p>
        </w:tc>
        <w:tc>
          <w:tcPr>
            <w:tcW w:w="109"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pPr>
            <w:r>
              <w:rPr/>
              <w:t>​</w:t>
            </w:r>
          </w:p>
        </w:tc>
        <w:tc>
          <w:tcPr>
            <w:tcW w:w="105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885</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15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4,834</w:t>
            </w:r>
          </w:p>
        </w:tc>
      </w:tr>
      <w:tr>
        <w:trPr/>
        <w:tc>
          <w:tcPr>
            <w:tcW w:w="460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109" w:type="dxa"/>
            <w:tcBorders/>
            <w:vAlign w:val="center"/>
          </w:tcPr>
          <w:p>
            <w:pPr>
              <w:pStyle w:val="TableContents"/>
              <w:bidi w:val="0"/>
              <w:spacing w:before="0" w:after="1"/>
              <w:ind w:left="0" w:right="0" w:hanging="0"/>
              <w:jc w:val="left"/>
              <w:rPr/>
            </w:pPr>
            <w:r>
              <w:rPr/>
              <w:t>​</w:t>
            </w:r>
          </w:p>
        </w:tc>
        <w:tc>
          <w:tcPr>
            <w:tcW w:w="21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5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6,805</w:t>
            </w:r>
          </w:p>
        </w:tc>
        <w:tc>
          <w:tcPr>
            <w:tcW w:w="109" w:type="dxa"/>
            <w:tcBorders/>
            <w:vAlign w:val="center"/>
          </w:tcPr>
          <w:p>
            <w:pPr>
              <w:pStyle w:val="TableContents"/>
              <w:bidi w:val="0"/>
              <w:spacing w:before="0" w:after="1"/>
              <w:ind w:left="0" w:right="0" w:hanging="0"/>
              <w:jc w:val="left"/>
              <w:rPr/>
            </w:pPr>
            <w:r>
              <w:rPr/>
              <w:t>​</w:t>
            </w:r>
          </w:p>
        </w:tc>
        <w:tc>
          <w:tcPr>
            <w:tcW w:w="21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5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6,705</w:t>
            </w:r>
          </w:p>
        </w:tc>
        <w:tc>
          <w:tcPr>
            <w:tcW w:w="109" w:type="dxa"/>
            <w:tcBorders/>
            <w:vAlign w:val="center"/>
          </w:tcPr>
          <w:p>
            <w:pPr>
              <w:pStyle w:val="TableContents"/>
              <w:bidi w:val="0"/>
              <w:spacing w:before="0" w:after="1"/>
              <w:ind w:left="0" w:right="0" w:hanging="0"/>
              <w:jc w:val="left"/>
              <w:rPr/>
            </w:pPr>
            <w:r>
              <w:rPr/>
              <w:t>​</w:t>
            </w:r>
          </w:p>
        </w:tc>
        <w:tc>
          <w:tcPr>
            <w:tcW w:w="21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5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14,020</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5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14,012</w:t>
            </w:r>
          </w:p>
        </w:tc>
      </w:tr>
      <w:tr>
        <w:trPr/>
        <w:tc>
          <w:tcPr>
            <w:tcW w:w="460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109"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pPr>
            <w:r>
              <w:rPr/>
              <w:t>​</w:t>
            </w:r>
          </w:p>
        </w:tc>
        <w:tc>
          <w:tcPr>
            <w:tcW w:w="105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11,295</w:t>
            </w:r>
          </w:p>
        </w:tc>
        <w:tc>
          <w:tcPr>
            <w:tcW w:w="109"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pPr>
            <w:r>
              <w:rPr/>
              <w:t>​</w:t>
            </w:r>
          </w:p>
        </w:tc>
        <w:tc>
          <w:tcPr>
            <w:tcW w:w="105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13,310</w:t>
            </w:r>
          </w:p>
        </w:tc>
        <w:tc>
          <w:tcPr>
            <w:tcW w:w="109"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pPr>
            <w:r>
              <w:rPr/>
              <w:t>​</w:t>
            </w:r>
          </w:p>
        </w:tc>
        <w:tc>
          <w:tcPr>
            <w:tcW w:w="105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23,179</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15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26,398</w:t>
            </w:r>
          </w:p>
        </w:tc>
      </w:tr>
      <w:tr>
        <w:trPr/>
        <w:tc>
          <w:tcPr>
            <w:tcW w:w="460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Gain on Disposition of Assets</w:t>
            </w:r>
          </w:p>
        </w:tc>
        <w:tc>
          <w:tcPr>
            <w:tcW w:w="109" w:type="dxa"/>
            <w:tcBorders/>
            <w:vAlign w:val="center"/>
          </w:tcPr>
          <w:p>
            <w:pPr>
              <w:pStyle w:val="TableContents"/>
              <w:bidi w:val="0"/>
              <w:spacing w:before="0" w:after="1"/>
              <w:ind w:left="0" w:right="0" w:hanging="0"/>
              <w:jc w:val="left"/>
              <w:rPr/>
            </w:pPr>
            <w:r>
              <w:rPr/>
              <w:t>​</w:t>
            </w:r>
          </w:p>
        </w:tc>
        <w:tc>
          <w:tcPr>
            <w:tcW w:w="21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54"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5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938</w:t>
            </w:r>
          </w:p>
        </w:tc>
        <w:tc>
          <w:tcPr>
            <w:tcW w:w="109" w:type="dxa"/>
            <w:tcBorders/>
            <w:vAlign w:val="center"/>
          </w:tcPr>
          <w:p>
            <w:pPr>
              <w:pStyle w:val="TableContents"/>
              <w:bidi w:val="0"/>
              <w:spacing w:before="0" w:after="1"/>
              <w:ind w:left="0" w:right="0" w:hanging="0"/>
              <w:jc w:val="left"/>
              <w:rPr/>
            </w:pPr>
            <w:r>
              <w:rPr/>
              <w:t>​</w:t>
            </w:r>
          </w:p>
        </w:tc>
        <w:tc>
          <w:tcPr>
            <w:tcW w:w="21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5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5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2,089</w:t>
            </w:r>
          </w:p>
        </w:tc>
      </w:tr>
      <w:tr>
        <w:trPr/>
        <w:tc>
          <w:tcPr>
            <w:tcW w:w="460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 From Operations</w:t>
            </w:r>
          </w:p>
        </w:tc>
        <w:tc>
          <w:tcPr>
            <w:tcW w:w="109"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pPr>
            <w:r>
              <w:rPr/>
              <w:t>​</w:t>
            </w:r>
          </w:p>
        </w:tc>
        <w:tc>
          <w:tcPr>
            <w:tcW w:w="105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8,707</w:t>
            </w:r>
          </w:p>
        </w:tc>
        <w:tc>
          <w:tcPr>
            <w:tcW w:w="109"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pPr>
            <w:r>
              <w:rPr/>
              <w:t>​</w:t>
            </w:r>
          </w:p>
        </w:tc>
        <w:tc>
          <w:tcPr>
            <w:tcW w:w="105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2,491</w:t>
            </w:r>
          </w:p>
        </w:tc>
        <w:tc>
          <w:tcPr>
            <w:tcW w:w="109"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pPr>
            <w:r>
              <w:rPr/>
              <w:t>​</w:t>
            </w:r>
          </w:p>
        </w:tc>
        <w:tc>
          <w:tcPr>
            <w:tcW w:w="105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15,326</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15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4,760</w:t>
            </w:r>
          </w:p>
        </w:tc>
      </w:tr>
      <w:tr>
        <w:trPr/>
        <w:tc>
          <w:tcPr>
            <w:tcW w:w="460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Investment and Other Income</w:t>
            </w:r>
          </w:p>
        </w:tc>
        <w:tc>
          <w:tcPr>
            <w:tcW w:w="109"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w:t>
            </w:r>
          </w:p>
        </w:tc>
        <w:tc>
          <w:tcPr>
            <w:tcW w:w="105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364</w:t>
            </w:r>
          </w:p>
        </w:tc>
        <w:tc>
          <w:tcPr>
            <w:tcW w:w="109"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w:t>
            </w:r>
          </w:p>
        </w:tc>
        <w:tc>
          <w:tcPr>
            <w:tcW w:w="105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w:t>
            </w:r>
          </w:p>
        </w:tc>
        <w:tc>
          <w:tcPr>
            <w:tcW w:w="109"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w:t>
            </w:r>
          </w:p>
        </w:tc>
        <w:tc>
          <w:tcPr>
            <w:tcW w:w="105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455</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5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w:t>
            </w:r>
          </w:p>
        </w:tc>
      </w:tr>
      <w:tr>
        <w:trPr/>
        <w:tc>
          <w:tcPr>
            <w:tcW w:w="460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109" w:type="dxa"/>
            <w:tcBorders/>
            <w:shd w:fill="CCEEFF" w:val="clear"/>
            <w:vAlign w:val="center"/>
          </w:tcPr>
          <w:p>
            <w:pPr>
              <w:pStyle w:val="TableContents"/>
              <w:bidi w:val="0"/>
              <w:spacing w:before="0" w:after="1"/>
              <w:ind w:left="0" w:right="0" w:hanging="0"/>
              <w:jc w:val="left"/>
              <w:rPr/>
            </w:pPr>
            <w:r>
              <w:rPr/>
              <w:t>​</w:t>
            </w:r>
          </w:p>
        </w:tc>
        <w:tc>
          <w:tcPr>
            <w:tcW w:w="21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5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(4,579)</w:t>
            </w:r>
          </w:p>
        </w:tc>
        <w:tc>
          <w:tcPr>
            <w:tcW w:w="109" w:type="dxa"/>
            <w:tcBorders/>
            <w:shd w:fill="CCEEFF" w:val="clear"/>
            <w:vAlign w:val="center"/>
          </w:tcPr>
          <w:p>
            <w:pPr>
              <w:pStyle w:val="TableContents"/>
              <w:bidi w:val="0"/>
              <w:spacing w:before="0" w:after="1"/>
              <w:ind w:left="0" w:right="0" w:hanging="0"/>
              <w:jc w:val="left"/>
              <w:rPr/>
            </w:pPr>
            <w:r>
              <w:rPr/>
              <w:t>​</w:t>
            </w:r>
          </w:p>
        </w:tc>
        <w:tc>
          <w:tcPr>
            <w:tcW w:w="21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5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(4,320)</w:t>
            </w:r>
          </w:p>
        </w:tc>
        <w:tc>
          <w:tcPr>
            <w:tcW w:w="109" w:type="dxa"/>
            <w:tcBorders/>
            <w:shd w:fill="CCEEFF" w:val="clear"/>
            <w:vAlign w:val="center"/>
          </w:tcPr>
          <w:p>
            <w:pPr>
              <w:pStyle w:val="TableContents"/>
              <w:bidi w:val="0"/>
              <w:spacing w:before="0" w:after="1"/>
              <w:ind w:left="0" w:right="0" w:hanging="0"/>
              <w:jc w:val="left"/>
              <w:rPr/>
            </w:pPr>
            <w:r>
              <w:rPr/>
              <w:t>​</w:t>
            </w:r>
          </w:p>
        </w:tc>
        <w:tc>
          <w:tcPr>
            <w:tcW w:w="21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5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(8,932)</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15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(7,912)</w:t>
            </w:r>
          </w:p>
        </w:tc>
      </w:tr>
      <w:tr>
        <w:trPr/>
        <w:tc>
          <w:tcPr>
            <w:tcW w:w="460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 (Loss)</w:t>
            </w:r>
          </w:p>
        </w:tc>
        <w:tc>
          <w:tcPr>
            <w:tcW w:w="109"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w:t>
            </w:r>
          </w:p>
        </w:tc>
        <w:tc>
          <w:tcPr>
            <w:tcW w:w="105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4,492</w:t>
            </w:r>
          </w:p>
        </w:tc>
        <w:tc>
          <w:tcPr>
            <w:tcW w:w="109"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w:t>
            </w:r>
          </w:p>
        </w:tc>
        <w:tc>
          <w:tcPr>
            <w:tcW w:w="105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(1,782)</w:t>
            </w:r>
          </w:p>
        </w:tc>
        <w:tc>
          <w:tcPr>
            <w:tcW w:w="109"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w:t>
            </w:r>
          </w:p>
        </w:tc>
        <w:tc>
          <w:tcPr>
            <w:tcW w:w="105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6,849</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5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(3,060)</w:t>
            </w:r>
          </w:p>
        </w:tc>
      </w:tr>
      <w:tr>
        <w:trPr/>
        <w:tc>
          <w:tcPr>
            <w:tcW w:w="460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Net Loss (Income) Attributable to Noncontrolling Interest</w:t>
            </w:r>
          </w:p>
        </w:tc>
        <w:tc>
          <w:tcPr>
            <w:tcW w:w="109" w:type="dxa"/>
            <w:tcBorders/>
            <w:shd w:fill="CCEEFF" w:val="clear"/>
            <w:vAlign w:val="center"/>
          </w:tcPr>
          <w:p>
            <w:pPr>
              <w:pStyle w:val="TableContents"/>
              <w:bidi w:val="0"/>
              <w:spacing w:before="0" w:after="1"/>
              <w:ind w:left="0" w:right="0" w:hanging="0"/>
              <w:jc w:val="left"/>
              <w:rPr/>
            </w:pPr>
            <w:r>
              <w:rPr/>
              <w:t>​</w:t>
            </w:r>
          </w:p>
        </w:tc>
        <w:tc>
          <w:tcPr>
            <w:tcW w:w="21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5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(301)</w:t>
            </w:r>
          </w:p>
        </w:tc>
        <w:tc>
          <w:tcPr>
            <w:tcW w:w="109" w:type="dxa"/>
            <w:tcBorders/>
            <w:shd w:fill="CCEEFF" w:val="clear"/>
            <w:vAlign w:val="center"/>
          </w:tcPr>
          <w:p>
            <w:pPr>
              <w:pStyle w:val="TableContents"/>
              <w:bidi w:val="0"/>
              <w:spacing w:before="0" w:after="1"/>
              <w:ind w:left="0" w:right="0" w:hanging="0"/>
              <w:jc w:val="left"/>
              <w:rPr/>
            </w:pPr>
            <w:r>
              <w:rPr/>
              <w:t>​</w:t>
            </w:r>
          </w:p>
        </w:tc>
        <w:tc>
          <w:tcPr>
            <w:tcW w:w="21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5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141</w:t>
            </w:r>
          </w:p>
        </w:tc>
        <w:tc>
          <w:tcPr>
            <w:tcW w:w="109" w:type="dxa"/>
            <w:tcBorders/>
            <w:shd w:fill="CCEEFF" w:val="clear"/>
            <w:vAlign w:val="center"/>
          </w:tcPr>
          <w:p>
            <w:pPr>
              <w:pStyle w:val="TableContents"/>
              <w:bidi w:val="0"/>
              <w:spacing w:before="0" w:after="1"/>
              <w:ind w:left="0" w:right="0" w:hanging="0"/>
              <w:jc w:val="left"/>
              <w:rPr/>
            </w:pPr>
            <w:r>
              <w:rPr/>
              <w:t>​</w:t>
            </w:r>
          </w:p>
        </w:tc>
        <w:tc>
          <w:tcPr>
            <w:tcW w:w="21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5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(473)</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15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240</w:t>
            </w:r>
          </w:p>
        </w:tc>
      </w:tr>
      <w:tr>
        <w:trPr/>
        <w:tc>
          <w:tcPr>
            <w:tcW w:w="460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 (Loss) Attributable to Alpine Income Property Trust, Inc.</w:t>
            </w:r>
          </w:p>
        </w:tc>
        <w:tc>
          <w:tcPr>
            <w:tcW w:w="109"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w:t>
            </w:r>
          </w:p>
        </w:tc>
        <w:tc>
          <w:tcPr>
            <w:tcW w:w="105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4,191</w:t>
            </w:r>
          </w:p>
        </w:tc>
        <w:tc>
          <w:tcPr>
            <w:tcW w:w="109"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w:t>
            </w:r>
          </w:p>
        </w:tc>
        <w:tc>
          <w:tcPr>
            <w:tcW w:w="105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(1,641)</w:t>
            </w:r>
          </w:p>
        </w:tc>
        <w:tc>
          <w:tcPr>
            <w:tcW w:w="109"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w:t>
            </w:r>
          </w:p>
        </w:tc>
        <w:tc>
          <w:tcPr>
            <w:tcW w:w="105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6,376</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5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(2,820)</w:t>
            </w:r>
          </w:p>
        </w:tc>
      </w:tr>
      <w:tr>
        <w:trPr/>
        <w:tc>
          <w:tcPr>
            <w:tcW w:w="460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Distributions to Preferred Stockholders</w:t>
            </w:r>
          </w:p>
        </w:tc>
        <w:tc>
          <w:tcPr>
            <w:tcW w:w="109" w:type="dxa"/>
            <w:tcBorders/>
            <w:shd w:fill="CCEEFF" w:val="clear"/>
            <w:vAlign w:val="center"/>
          </w:tcPr>
          <w:p>
            <w:pPr>
              <w:pStyle w:val="TableContents"/>
              <w:bidi w:val="0"/>
              <w:spacing w:before="0" w:after="1"/>
              <w:ind w:left="0" w:right="0" w:hanging="0"/>
              <w:jc w:val="left"/>
              <w:rPr/>
            </w:pPr>
            <w:r>
              <w:rPr/>
              <w:t>​</w:t>
            </w:r>
          </w:p>
        </w:tc>
        <w:tc>
          <w:tcPr>
            <w:tcW w:w="21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5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(1,187)</w:t>
            </w:r>
          </w:p>
        </w:tc>
        <w:tc>
          <w:tcPr>
            <w:tcW w:w="109" w:type="dxa"/>
            <w:tcBorders/>
            <w:shd w:fill="CCEEFF" w:val="clear"/>
            <w:vAlign w:val="center"/>
          </w:tcPr>
          <w:p>
            <w:pPr>
              <w:pStyle w:val="TableContents"/>
              <w:bidi w:val="0"/>
              <w:spacing w:before="0" w:after="1"/>
              <w:ind w:left="0" w:right="0" w:hanging="0"/>
              <w:jc w:val="left"/>
              <w:rPr/>
            </w:pPr>
            <w:r>
              <w:rPr/>
              <w:t>​</w:t>
            </w:r>
          </w:p>
        </w:tc>
        <w:tc>
          <w:tcPr>
            <w:tcW w:w="21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5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5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(2,309)</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15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460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 (Loss) Attributable to Common Stockholders</w:t>
            </w:r>
          </w:p>
        </w:tc>
        <w:tc>
          <w:tcPr>
            <w:tcW w:w="109" w:type="dxa"/>
            <w:tcBorders/>
            <w:vAlign w:val="center"/>
          </w:tcPr>
          <w:p>
            <w:pPr>
              <w:pStyle w:val="TableContents"/>
              <w:bidi w:val="0"/>
              <w:spacing w:before="0" w:after="1"/>
              <w:ind w:left="0" w:right="0" w:hanging="0"/>
              <w:jc w:val="left"/>
              <w:rPr/>
            </w:pPr>
            <w:r>
              <w:rPr/>
              <w:t>​</w:t>
            </w:r>
          </w:p>
        </w:tc>
        <w:tc>
          <w:tcPr>
            <w:tcW w:w="214"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5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3,004</w:t>
            </w:r>
          </w:p>
        </w:tc>
        <w:tc>
          <w:tcPr>
            <w:tcW w:w="109" w:type="dxa"/>
            <w:tcBorders/>
            <w:vAlign w:val="center"/>
          </w:tcPr>
          <w:p>
            <w:pPr>
              <w:pStyle w:val="TableContents"/>
              <w:bidi w:val="0"/>
              <w:spacing w:before="0" w:after="1"/>
              <w:ind w:left="0" w:right="0" w:hanging="0"/>
              <w:jc w:val="left"/>
              <w:rPr/>
            </w:pPr>
            <w:r>
              <w:rPr/>
              <w:t>​</w:t>
            </w:r>
          </w:p>
        </w:tc>
        <w:tc>
          <w:tcPr>
            <w:tcW w:w="214"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5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(1,641)</w:t>
            </w:r>
          </w:p>
        </w:tc>
        <w:tc>
          <w:tcPr>
            <w:tcW w:w="109" w:type="dxa"/>
            <w:tcBorders/>
            <w:vAlign w:val="center"/>
          </w:tcPr>
          <w:p>
            <w:pPr>
              <w:pStyle w:val="TableContents"/>
              <w:bidi w:val="0"/>
              <w:spacing w:before="0" w:after="1"/>
              <w:ind w:left="0" w:right="0" w:hanging="0"/>
              <w:jc w:val="left"/>
              <w:rPr/>
            </w:pPr>
            <w:r>
              <w:rPr/>
              <w:t>​</w:t>
            </w:r>
          </w:p>
        </w:tc>
        <w:tc>
          <w:tcPr>
            <w:tcW w:w="214"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5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4,067</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5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(2,820)</w:t>
            </w:r>
          </w:p>
        </w:tc>
      </w:tr>
      <w:tr>
        <w:trPr/>
        <w:tc>
          <w:tcPr>
            <w:tcW w:w="4600"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pPr>
            <w:r>
              <w:rPr/>
              <w:t>​</w:t>
            </w:r>
          </w:p>
        </w:tc>
        <w:tc>
          <w:tcPr>
            <w:tcW w:w="1054"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pPr>
            <w:r>
              <w:rPr/>
              <w:t>​</w:t>
            </w:r>
          </w:p>
        </w:tc>
        <w:tc>
          <w:tcPr>
            <w:tcW w:w="1054"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pPr>
            <w:r>
              <w:rPr/>
              <w:t>​</w:t>
            </w:r>
          </w:p>
        </w:tc>
        <w:tc>
          <w:tcPr>
            <w:tcW w:w="1054"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154" w:type="dxa"/>
            <w:tcBorders/>
            <w:shd w:fill="CCEEFF" w:val="clear"/>
            <w:vAlign w:val="center"/>
          </w:tcPr>
          <w:p>
            <w:pPr>
              <w:pStyle w:val="TableContents"/>
              <w:bidi w:val="0"/>
              <w:spacing w:before="0" w:after="1"/>
              <w:ind w:left="0" w:right="0" w:hanging="0"/>
              <w:jc w:val="right"/>
              <w:rPr/>
            </w:pPr>
            <w:r>
              <w:rPr/>
              <w:t>​</w:t>
            </w:r>
          </w:p>
        </w:tc>
      </w:tr>
      <w:tr>
        <w:trPr/>
        <w:tc>
          <w:tcPr>
            <w:tcW w:w="4600"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Per Common Share Data:</w:t>
            </w:r>
          </w:p>
        </w:tc>
        <w:tc>
          <w:tcPr>
            <w:tcW w:w="109"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w:t>
            </w:r>
          </w:p>
        </w:tc>
        <w:tc>
          <w:tcPr>
            <w:tcW w:w="1054"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w:t>
            </w:r>
          </w:p>
        </w:tc>
        <w:tc>
          <w:tcPr>
            <w:tcW w:w="1054"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w:t>
            </w:r>
          </w:p>
        </w:tc>
        <w:tc>
          <w:tcPr>
            <w:tcW w:w="1054"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54" w:type="dxa"/>
            <w:tcBorders/>
            <w:vAlign w:val="center"/>
          </w:tcPr>
          <w:p>
            <w:pPr>
              <w:pStyle w:val="TableContents"/>
              <w:bidi w:val="0"/>
              <w:spacing w:before="0" w:after="1"/>
              <w:ind w:left="0" w:right="0" w:hanging="0"/>
              <w:jc w:val="right"/>
              <w:rPr/>
            </w:pPr>
            <w:r>
              <w:rPr/>
              <w:t>​</w:t>
            </w:r>
          </w:p>
        </w:tc>
      </w:tr>
      <w:tr>
        <w:trPr/>
        <w:tc>
          <w:tcPr>
            <w:tcW w:w="460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 (Loss) Attributable to Common Stockholders</w:t>
            </w:r>
          </w:p>
        </w:tc>
        <w:tc>
          <w:tcPr>
            <w:tcW w:w="109"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pPr>
            <w:r>
              <w:rPr/>
              <w:t>​</w:t>
            </w:r>
          </w:p>
        </w:tc>
        <w:tc>
          <w:tcPr>
            <w:tcW w:w="1054"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pPr>
            <w:r>
              <w:rPr/>
              <w:t>​</w:t>
            </w:r>
          </w:p>
        </w:tc>
        <w:tc>
          <w:tcPr>
            <w:tcW w:w="1054"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pPr>
            <w:r>
              <w:rPr/>
              <w:t>​</w:t>
            </w:r>
          </w:p>
        </w:tc>
        <w:tc>
          <w:tcPr>
            <w:tcW w:w="1054"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154" w:type="dxa"/>
            <w:tcBorders/>
            <w:shd w:fill="CCEEFF" w:val="clear"/>
            <w:vAlign w:val="center"/>
          </w:tcPr>
          <w:p>
            <w:pPr>
              <w:pStyle w:val="TableContents"/>
              <w:bidi w:val="0"/>
              <w:spacing w:before="0" w:after="1"/>
              <w:ind w:left="0" w:right="0" w:hanging="0"/>
              <w:jc w:val="right"/>
              <w:rPr/>
            </w:pPr>
            <w:r>
              <w:rPr/>
              <w:t>​</w:t>
            </w:r>
          </w:p>
        </w:tc>
      </w:tr>
      <w:tr>
        <w:trPr/>
        <w:tc>
          <w:tcPr>
            <w:tcW w:w="460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Basic</w:t>
            </w:r>
          </w:p>
        </w:tc>
        <w:tc>
          <w:tcPr>
            <w:tcW w:w="109"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5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0.18</w:t>
            </w:r>
          </w:p>
        </w:tc>
        <w:tc>
          <w:tcPr>
            <w:tcW w:w="109"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5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(0.12)</w:t>
            </w:r>
          </w:p>
        </w:tc>
        <w:tc>
          <w:tcPr>
            <w:tcW w:w="109"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5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0.25</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5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(0.20)</w:t>
            </w:r>
          </w:p>
        </w:tc>
      </w:tr>
      <w:tr>
        <w:trPr/>
        <w:tc>
          <w:tcPr>
            <w:tcW w:w="460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Diluted</w:t>
            </w:r>
          </w:p>
        </w:tc>
        <w:tc>
          <w:tcPr>
            <w:tcW w:w="109"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5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0.16</w:t>
            </w:r>
          </w:p>
        </w:tc>
        <w:tc>
          <w:tcPr>
            <w:tcW w:w="109"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5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(0.12)</w:t>
            </w:r>
          </w:p>
        </w:tc>
        <w:tc>
          <w:tcPr>
            <w:tcW w:w="109"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5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0.23</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5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(0.20)</w:t>
            </w:r>
          </w:p>
        </w:tc>
      </w:tr>
      <w:tr>
        <w:trPr/>
        <w:tc>
          <w:tcPr>
            <w:tcW w:w="4600"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w:t>
            </w:r>
          </w:p>
        </w:tc>
        <w:tc>
          <w:tcPr>
            <w:tcW w:w="1054"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w:t>
            </w:r>
          </w:p>
        </w:tc>
        <w:tc>
          <w:tcPr>
            <w:tcW w:w="1054"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w:t>
            </w:r>
          </w:p>
        </w:tc>
        <w:tc>
          <w:tcPr>
            <w:tcW w:w="1054"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54" w:type="dxa"/>
            <w:tcBorders/>
            <w:vAlign w:val="center"/>
          </w:tcPr>
          <w:p>
            <w:pPr>
              <w:pStyle w:val="TableContents"/>
              <w:bidi w:val="0"/>
              <w:spacing w:before="0" w:after="1"/>
              <w:ind w:left="0" w:right="0" w:hanging="0"/>
              <w:jc w:val="left"/>
              <w:rPr/>
            </w:pPr>
            <w:r>
              <w:rPr/>
              <w:t>​</w:t>
            </w:r>
          </w:p>
        </w:tc>
      </w:tr>
      <w:tr>
        <w:trPr/>
        <w:tc>
          <w:tcPr>
            <w:tcW w:w="460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Weighted Average Number of Common Shares:</w:t>
            </w:r>
          </w:p>
        </w:tc>
        <w:tc>
          <w:tcPr>
            <w:tcW w:w="109"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pPr>
            <w:r>
              <w:rPr/>
              <w:t>​</w:t>
            </w:r>
          </w:p>
        </w:tc>
        <w:tc>
          <w:tcPr>
            <w:tcW w:w="1054"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pPr>
            <w:r>
              <w:rPr/>
              <w:t>​</w:t>
            </w:r>
          </w:p>
        </w:tc>
        <w:tc>
          <w:tcPr>
            <w:tcW w:w="1054"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pPr>
            <w:r>
              <w:rPr/>
              <w:t>​</w:t>
            </w:r>
          </w:p>
        </w:tc>
        <w:tc>
          <w:tcPr>
            <w:tcW w:w="1054"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154" w:type="dxa"/>
            <w:tcBorders/>
            <w:shd w:fill="CCEEFF" w:val="clear"/>
            <w:vAlign w:val="center"/>
          </w:tcPr>
          <w:p>
            <w:pPr>
              <w:pStyle w:val="TableContents"/>
              <w:bidi w:val="0"/>
              <w:spacing w:before="0" w:after="1"/>
              <w:ind w:left="0" w:right="0" w:hanging="0"/>
              <w:jc w:val="right"/>
              <w:rPr/>
            </w:pPr>
            <w:r>
              <w:rPr/>
              <w:t>​</w:t>
            </w:r>
          </w:p>
        </w:tc>
      </w:tr>
      <w:tr>
        <w:trPr/>
        <w:tc>
          <w:tcPr>
            <w:tcW w:w="460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Basic</w:t>
            </w:r>
          </w:p>
        </w:tc>
        <w:tc>
          <w:tcPr>
            <w:tcW w:w="109"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w:t>
            </w:r>
          </w:p>
        </w:tc>
        <w:tc>
          <w:tcPr>
            <w:tcW w:w="105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17,066,917</w:t>
            </w:r>
          </w:p>
        </w:tc>
        <w:tc>
          <w:tcPr>
            <w:tcW w:w="109"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w:t>
            </w:r>
          </w:p>
        </w:tc>
        <w:tc>
          <w:tcPr>
            <w:tcW w:w="105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14,202,796</w:t>
            </w:r>
          </w:p>
        </w:tc>
        <w:tc>
          <w:tcPr>
            <w:tcW w:w="109"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w:t>
            </w:r>
          </w:p>
        </w:tc>
        <w:tc>
          <w:tcPr>
            <w:tcW w:w="105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16,310,036</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5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14,414,682</w:t>
            </w:r>
          </w:p>
        </w:tc>
      </w:tr>
      <w:tr>
        <w:trPr/>
        <w:tc>
          <w:tcPr>
            <w:tcW w:w="460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Diluted</w:t>
            </w:r>
          </w:p>
        </w:tc>
        <w:tc>
          <w:tcPr>
            <w:tcW w:w="109"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pPr>
            <w:r>
              <w:rPr/>
              <w:t>​</w:t>
            </w:r>
          </w:p>
        </w:tc>
        <w:tc>
          <w:tcPr>
            <w:tcW w:w="105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18,290,771</w:t>
            </w:r>
          </w:p>
        </w:tc>
        <w:tc>
          <w:tcPr>
            <w:tcW w:w="109"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pPr>
            <w:r>
              <w:rPr/>
              <w:t>​</w:t>
            </w:r>
          </w:p>
        </w:tc>
        <w:tc>
          <w:tcPr>
            <w:tcW w:w="105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15,426,650</w:t>
            </w:r>
          </w:p>
        </w:tc>
        <w:tc>
          <w:tcPr>
            <w:tcW w:w="109"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pPr>
            <w:r>
              <w:rPr/>
              <w:t>​</w:t>
            </w:r>
          </w:p>
        </w:tc>
        <w:tc>
          <w:tcPr>
            <w:tcW w:w="105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17,533,890</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154" w:type="dxa"/>
            <w:tcBorders/>
            <w:shd w:fill="CCEEFF" w:val="clear"/>
            <w:vAlign w:val="center"/>
          </w:tcPr>
          <w:p>
            <w:pPr>
              <w:pStyle w:val="TableContents"/>
              <w:bidi w:val="0"/>
              <w:spacing w:before="0" w:after="1"/>
              <w:ind w:left="0" w:right="72" w:hanging="0"/>
              <w:jc w:val="right"/>
              <w:rPr>
                <w:rFonts w:ascii="Times New Roman;Times;serif" w:hAnsi="Times New Roman;Times;serif"/>
                <w:sz w:val="20"/>
              </w:rPr>
            </w:pPr>
            <w:r>
              <w:rPr>
                <w:rFonts w:ascii="Times New Roman;Times;serif" w:hAnsi="Times New Roman;Times;serif"/>
                <w:sz w:val="20"/>
              </w:rPr>
              <w:t>15,638,536</w:t>
            </w:r>
          </w:p>
        </w:tc>
      </w:tr>
    </w:tbl>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accompanying notes are an integral part of these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sz w:val="20"/>
        </w:rPr>
      </w:pPr>
      <w:bookmarkStart w:id="251" w:name="_fb36c612_f4e1_4896_8279_d58856361f5b"/>
      <w:bookmarkEnd w:id="251"/>
      <w:r>
        <w:rPr>
          <w:rFonts w:ascii="Times New Roman;Times;serif" w:hAnsi="Times New Roman;Times;serif"/>
          <w:sz w:val="20"/>
        </w:rPr>
        <w:t>ALPINE INCOME PROPERTY TRUST, INC.</w:t>
      </w:r>
    </w:p>
    <w:p>
      <w:pPr>
        <w:pStyle w:val="TextBody"/>
        <w:bidi w:val="0"/>
        <w:spacing w:before="0" w:after="0"/>
        <w:ind w:left="0" w:right="0" w:hanging="0"/>
        <w:jc w:val="center"/>
        <w:rPr>
          <w:rFonts w:ascii="Times New Roman;Times;serif" w:hAnsi="Times New Roman;Times;serif"/>
          <w:sz w:val="20"/>
        </w:rPr>
      </w:pPr>
      <w:bookmarkStart w:id="252" w:name="CONSOLIDATEDSTATEMENTSOFCOMPINCOME"/>
      <w:bookmarkEnd w:id="252"/>
      <w:r>
        <w:rPr>
          <w:rFonts w:ascii="Times New Roman;Times;serif" w:hAnsi="Times New Roman;Times;serif"/>
          <w:sz w:val="20"/>
        </w:rPr>
        <w:t>CONSOLIDATED STATEMENTS OF COMPREHENSIVE INCOME (LOSS)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(Unaudited, in thousands)</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253" w:name="Tc_IecsxOaflEiQKk7cXM2BrA_12_11"/>
      <w:bookmarkStart w:id="254" w:name="Tc_irgGPezTrU-aq5JWsxyUsg_12_8"/>
      <w:bookmarkStart w:id="255" w:name="Tc_mwoVSmoNSUy9PPJGq0ySog_12_5"/>
      <w:bookmarkStart w:id="256" w:name="Tc_7TbrwiMmgkmHVoM-wCXXPw_12_2"/>
      <w:bookmarkStart w:id="257" w:name="Tc_Ae_yc1svM0uvxL_s83_TLw_12_0"/>
      <w:bookmarkStart w:id="258" w:name="Tc_hF3valAV7UmwSYYduo1AWg_11_0"/>
      <w:bookmarkStart w:id="259" w:name="Tc_wPpYlCgGiUevMMq-d38G0A_10_0"/>
      <w:bookmarkStart w:id="260" w:name="Tc_wccxQbfvfUG7OflBA4o3Lw_9_0"/>
      <w:bookmarkStart w:id="261" w:name="Tc_-oJnaQtvMkOR_jDTaI7X8Q_8_0"/>
      <w:bookmarkStart w:id="262" w:name="Tc_rxrokqq-DE6j1YlcHeEEaA_7_11"/>
      <w:bookmarkStart w:id="263" w:name="Tc_rjFP0zVN0ECT95SSbQ2mmA_7_8"/>
      <w:bookmarkStart w:id="264" w:name="Tc_J1uG-RNKfkuuvsg3UyalkQ_7_5"/>
      <w:bookmarkStart w:id="265" w:name="Tc_OzwAQJqi0kqTTjk4-thzkQ_7_2"/>
      <w:bookmarkStart w:id="266" w:name="Tc_LeKd9QTHyUGbK4ZT56S9aQ_7_0"/>
      <w:bookmarkStart w:id="267" w:name="Tc_J0Q7rFbj_0WDzOXeuUXDzQ_6_0"/>
      <w:bookmarkStart w:id="268" w:name="Tc_RQjf-vDQx0mE1aGOz8WF5g_5_0"/>
      <w:bookmarkStart w:id="269" w:name="Tc_vRJ_pFkhFUyFD7a6o82tww_4_0"/>
      <w:bookmarkStart w:id="270" w:name="Tc_UCzS7rdZHUaYp1xinQgUng_3_11"/>
      <w:bookmarkStart w:id="271" w:name="Tc_S2T92jljMk-k90ROVZphbw_3_8"/>
      <w:bookmarkStart w:id="272" w:name="Tc_W7ND3eglHUywWai97GSudQ_3_5"/>
      <w:bookmarkStart w:id="273" w:name="Tc_ye0J-j7b-UOZIuYEl1N44Q_3_2"/>
      <w:bookmarkStart w:id="274" w:name="Tc_e4q4fNvueE6oeGuH9eh7bw_3_0"/>
      <w:bookmarkStart w:id="275" w:name="Tc_CsfTQm1u-066YOLbJ5EO3Q_2_11"/>
      <w:bookmarkStart w:id="276" w:name="Tc_l6JPH2AX-E2u0cWt8dv3fQ_2_8"/>
      <w:bookmarkStart w:id="277" w:name="Tc_w76Xhtt2YUqmjrdi6Lqdow_2_5"/>
      <w:bookmarkStart w:id="278" w:name="Tc_XxM_GNDW_kGOI6x6yYnCZw_2_2"/>
      <w:bookmarkStart w:id="279" w:name="Tc_4lFR6eUIa0moeunT8pQA_A_1_8"/>
      <w:bookmarkStart w:id="280" w:name="Tc_cmlsYHB8l0CTlhSizZsecA_1_2"/>
      <w:bookmarkStart w:id="281" w:name="_132e16af_15fe_499f_a972_ea154f753c26"/>
      <w:bookmarkStart w:id="282" w:name="Tc_IecsxOaflEiQKk7cXM2BrA_12_11"/>
      <w:bookmarkStart w:id="283" w:name="Tc_irgGPezTrU-aq5JWsxyUsg_12_8"/>
      <w:bookmarkStart w:id="284" w:name="Tc_mwoVSmoNSUy9PPJGq0ySog_12_5"/>
      <w:bookmarkStart w:id="285" w:name="Tc_7TbrwiMmgkmHVoM-wCXXPw_12_2"/>
      <w:bookmarkStart w:id="286" w:name="Tc_Ae_yc1svM0uvxL_s83_TLw_12_0"/>
      <w:bookmarkStart w:id="287" w:name="Tc_hF3valAV7UmwSYYduo1AWg_11_0"/>
      <w:bookmarkStart w:id="288" w:name="Tc_wPpYlCgGiUevMMq-d38G0A_10_0"/>
      <w:bookmarkStart w:id="289" w:name="Tc_wccxQbfvfUG7OflBA4o3Lw_9_0"/>
      <w:bookmarkStart w:id="290" w:name="Tc_-oJnaQtvMkOR_jDTaI7X8Q_8_0"/>
      <w:bookmarkStart w:id="291" w:name="Tc_rxrokqq-DE6j1YlcHeEEaA_7_11"/>
      <w:bookmarkStart w:id="292" w:name="Tc_rjFP0zVN0ECT95SSbQ2mmA_7_8"/>
      <w:bookmarkStart w:id="293" w:name="Tc_J1uG-RNKfkuuvsg3UyalkQ_7_5"/>
      <w:bookmarkStart w:id="294" w:name="Tc_OzwAQJqi0kqTTjk4-thzkQ_7_2"/>
      <w:bookmarkStart w:id="295" w:name="Tc_LeKd9QTHyUGbK4ZT56S9aQ_7_0"/>
      <w:bookmarkStart w:id="296" w:name="Tc_J0Q7rFbj_0WDzOXeuUXDzQ_6_0"/>
      <w:bookmarkStart w:id="297" w:name="Tc_RQjf-vDQx0mE1aGOz8WF5g_5_0"/>
      <w:bookmarkStart w:id="298" w:name="Tc_vRJ_pFkhFUyFD7a6o82tww_4_0"/>
      <w:bookmarkStart w:id="299" w:name="Tc_UCzS7rdZHUaYp1xinQgUng_3_11"/>
      <w:bookmarkStart w:id="300" w:name="Tc_S2T92jljMk-k90ROVZphbw_3_8"/>
      <w:bookmarkStart w:id="301" w:name="Tc_W7ND3eglHUywWai97GSudQ_3_5"/>
      <w:bookmarkStart w:id="302" w:name="Tc_ye0J-j7b-UOZIuYEl1N44Q_3_2"/>
      <w:bookmarkStart w:id="303" w:name="Tc_e4q4fNvueE6oeGuH9eh7bw_3_0"/>
      <w:bookmarkStart w:id="304" w:name="Tc_CsfTQm1u-066YOLbJ5EO3Q_2_11"/>
      <w:bookmarkStart w:id="305" w:name="Tc_l6JPH2AX-E2u0cWt8dv3fQ_2_8"/>
      <w:bookmarkStart w:id="306" w:name="Tc_w76Xhtt2YUqmjrdi6Lqdow_2_5"/>
      <w:bookmarkStart w:id="307" w:name="Tc_XxM_GNDW_kGOI6x6yYnCZw_2_2"/>
      <w:bookmarkStart w:id="308" w:name="Tc_4lFR6eUIa0moeunT8pQA_A_1_8"/>
      <w:bookmarkStart w:id="309" w:name="Tc_cmlsYHB8l0CTlhSizZsecA_1_2"/>
      <w:bookmarkStart w:id="310" w:name="_132e16af_15fe_499f_a972_ea154f753c26"/>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p>
    <w:tbl>
      <w:tblPr>
        <w:tblW w:w="10205" w:type="dxa"/>
        <w:jc w:val="left"/>
        <w:tblInd w:w="0" w:type="dxa"/>
        <w:tblLayout w:type="fixed"/>
        <w:tblCellMar>
          <w:top w:w="0" w:type="dxa"/>
          <w:left w:w="0" w:type="dxa"/>
          <w:bottom w:w="0" w:type="dxa"/>
          <w:right w:w="0" w:type="dxa"/>
        </w:tblCellMar>
      </w:tblPr>
      <w:tblGrid>
        <w:gridCol w:w="4788"/>
        <w:gridCol w:w="109"/>
        <w:gridCol w:w="297"/>
        <w:gridCol w:w="812"/>
        <w:gridCol w:w="346"/>
        <w:gridCol w:w="267"/>
        <w:gridCol w:w="853"/>
        <w:gridCol w:w="109"/>
        <w:gridCol w:w="297"/>
        <w:gridCol w:w="812"/>
        <w:gridCol w:w="346"/>
        <w:gridCol w:w="264"/>
        <w:gridCol w:w="905"/>
      </w:tblGrid>
      <w:tr>
        <w:trPr/>
        <w:tc>
          <w:tcPr>
            <w:tcW w:w="4788"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9215" cy="175260"/>
                      <wp:effectExtent l="0" t="0" r="0" b="0"/>
                      <wp:wrapNone/>
                      <wp:docPr id="18" name="Frame1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188595" cy="175260"/>
                      <wp:effectExtent l="0" t="0" r="0" b="0"/>
                      <wp:wrapNone/>
                      <wp:docPr id="19" name="Frame19"/>
                      <a:graphic xmlns:a="http://schemas.openxmlformats.org/drawingml/2006/main">
                        <a:graphicData uri="http://schemas.microsoft.com/office/word/2010/wordprocessingShape">
                          <wps:wsp>
                            <wps:cNvSpPr txBox="1"/>
                            <wps:spPr>
                              <a:xfrm>
                                <a:off x="0" y="0"/>
                                <a:ext cx="1885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515620" cy="175260"/>
                      <wp:effectExtent l="0" t="0" r="0" b="0"/>
                      <wp:wrapNone/>
                      <wp:docPr id="20" name="Frame20"/>
                      <a:graphic xmlns:a="http://schemas.openxmlformats.org/drawingml/2006/main">
                        <a:graphicData uri="http://schemas.microsoft.com/office/word/2010/wordprocessingShape">
                          <wps:wsp>
                            <wps:cNvSpPr txBox="1"/>
                            <wps:spPr>
                              <a:xfrm>
                                <a:off x="0" y="0"/>
                                <a:ext cx="5156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219710" cy="175260"/>
                      <wp:effectExtent l="0" t="0" r="0" b="0"/>
                      <wp:wrapNone/>
                      <wp:docPr id="21" name="Frame2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169545" cy="175260"/>
                      <wp:effectExtent l="0" t="0" r="0" b="0"/>
                      <wp:wrapNone/>
                      <wp:docPr id="22" name="Frame22"/>
                      <a:graphic xmlns:a="http://schemas.openxmlformats.org/drawingml/2006/main">
                        <a:graphicData uri="http://schemas.microsoft.com/office/word/2010/wordprocessingShape">
                          <wps:wsp>
                            <wps:cNvSpPr txBox="1"/>
                            <wps:spPr>
                              <a:xfrm>
                                <a:off x="0" y="0"/>
                                <a:ext cx="1695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541655" cy="175260"/>
                      <wp:effectExtent l="0" t="0" r="0" b="0"/>
                      <wp:wrapNone/>
                      <wp:docPr id="23" name="Frame23"/>
                      <a:graphic xmlns:a="http://schemas.openxmlformats.org/drawingml/2006/main">
                        <a:graphicData uri="http://schemas.microsoft.com/office/word/2010/wordprocessingShape">
                          <wps:wsp>
                            <wps:cNvSpPr txBox="1"/>
                            <wps:spPr>
                              <a:xfrm>
                                <a:off x="0" y="0"/>
                                <a:ext cx="5416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9215" cy="175260"/>
                      <wp:effectExtent l="0" t="0" r="0" b="0"/>
                      <wp:wrapNone/>
                      <wp:docPr id="24" name="Frame2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188595" cy="175260"/>
                      <wp:effectExtent l="0" t="0" r="0" b="0"/>
                      <wp:wrapNone/>
                      <wp:docPr id="25" name="Frame25"/>
                      <a:graphic xmlns:a="http://schemas.openxmlformats.org/drawingml/2006/main">
                        <a:graphicData uri="http://schemas.microsoft.com/office/word/2010/wordprocessingShape">
                          <wps:wsp>
                            <wps:cNvSpPr txBox="1"/>
                            <wps:spPr>
                              <a:xfrm>
                                <a:off x="0" y="0"/>
                                <a:ext cx="1885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515620" cy="175260"/>
                      <wp:effectExtent l="0" t="0" r="0" b="0"/>
                      <wp:wrapNone/>
                      <wp:docPr id="26" name="Frame26"/>
                      <a:graphic xmlns:a="http://schemas.openxmlformats.org/drawingml/2006/main">
                        <a:graphicData uri="http://schemas.microsoft.com/office/word/2010/wordprocessingShape">
                          <wps:wsp>
                            <wps:cNvSpPr txBox="1"/>
                            <wps:spPr>
                              <a:xfrm>
                                <a:off x="0" y="0"/>
                                <a:ext cx="5156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219710" cy="175260"/>
                      <wp:effectExtent l="0" t="0" r="0" b="0"/>
                      <wp:wrapNone/>
                      <wp:docPr id="27" name="Frame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167640" cy="175260"/>
                      <wp:effectExtent l="0" t="0" r="0" b="0"/>
                      <wp:wrapNone/>
                      <wp:docPr id="28" name="Frame28"/>
                      <a:graphic xmlns:a="http://schemas.openxmlformats.org/drawingml/2006/main">
                        <a:graphicData uri="http://schemas.microsoft.com/office/word/2010/wordprocessingShape">
                          <wps:wsp>
                            <wps:cNvSpPr txBox="1"/>
                            <wps:spPr>
                              <a:xfrm>
                                <a:off x="0" y="0"/>
                                <a:ext cx="1676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574675" cy="175260"/>
                      <wp:effectExtent l="0" t="0" r="0" b="0"/>
                      <wp:wrapNone/>
                      <wp:docPr id="29" name="Frame29"/>
                      <a:graphic xmlns:a="http://schemas.openxmlformats.org/drawingml/2006/main">
                        <a:graphicData uri="http://schemas.microsoft.com/office/word/2010/wordprocessingShape">
                          <wps:wsp>
                            <wps:cNvSpPr txBox="1"/>
                            <wps:spPr>
                              <a:xfrm>
                                <a:off x="0" y="0"/>
                                <a:ext cx="5746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788" w:type="dxa"/>
            <w:tcBorders/>
            <w:vAlign w:val="center"/>
          </w:tcPr>
          <w:p>
            <w:pPr>
              <w:pStyle w:val="TableContents"/>
              <w:bidi w:val="0"/>
              <w:spacing w:before="0" w:after="1"/>
              <w:ind w:left="0" w:right="0" w:hanging="0"/>
              <w:jc w:val="left"/>
              <w:rPr>
                <w:color w:val="0000FF"/>
              </w:rPr>
            </w:pPr>
            <w:r>
              <w:rPr>
                <w:color w:val="0000FF"/>
              </w:rPr>
              <w:t>​</w:t>
            </w:r>
          </w:p>
        </w:tc>
        <w:tc>
          <w:tcPr>
            <w:tcW w:w="109" w:type="dxa"/>
            <w:tcBorders/>
            <w:vAlign w:val="center"/>
          </w:tcPr>
          <w:p>
            <w:pPr>
              <w:pStyle w:val="TableContents"/>
              <w:bidi w:val="0"/>
              <w:spacing w:before="0" w:after="1"/>
              <w:ind w:left="0" w:right="0" w:hanging="0"/>
              <w:jc w:val="left"/>
              <w:rPr/>
            </w:pPr>
            <w:r>
              <w:rPr/>
              <w:t>​</w:t>
            </w:r>
          </w:p>
        </w:tc>
        <w:tc>
          <w:tcPr>
            <w:tcW w:w="257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Three Months Ended</w:t>
            </w:r>
          </w:p>
        </w:tc>
        <w:tc>
          <w:tcPr>
            <w:tcW w:w="109" w:type="dxa"/>
            <w:tcBorders/>
            <w:vAlign w:val="center"/>
          </w:tcPr>
          <w:p>
            <w:pPr>
              <w:pStyle w:val="TableContents"/>
              <w:bidi w:val="0"/>
              <w:spacing w:before="0" w:after="1"/>
              <w:ind w:left="0" w:right="0" w:hanging="0"/>
              <w:jc w:val="center"/>
              <w:rPr/>
            </w:pPr>
            <w:r>
              <w:rPr/>
              <w:t>​</w:t>
            </w:r>
          </w:p>
        </w:tc>
        <w:tc>
          <w:tcPr>
            <w:tcW w:w="2624"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Six Months Ended</w:t>
            </w:r>
          </w:p>
        </w:tc>
      </w:tr>
      <w:tr>
        <w:trPr/>
        <w:tc>
          <w:tcPr>
            <w:tcW w:w="4788"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110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June 30, 2026</w:t>
            </w:r>
          </w:p>
        </w:tc>
        <w:tc>
          <w:tcPr>
            <w:tcW w:w="346" w:type="dxa"/>
            <w:tcBorders/>
            <w:vAlign w:val="center"/>
          </w:tcPr>
          <w:p>
            <w:pPr>
              <w:pStyle w:val="TableContents"/>
              <w:bidi w:val="0"/>
              <w:spacing w:before="0" w:after="1"/>
              <w:ind w:left="0" w:right="0" w:hanging="0"/>
              <w:jc w:val="center"/>
              <w:rPr/>
            </w:pPr>
            <w:r>
              <w:rPr/>
              <w:t>  ​ ​ ​</w:t>
            </w:r>
          </w:p>
        </w:tc>
        <w:tc>
          <w:tcPr>
            <w:tcW w:w="112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June 30, 2025</w:t>
            </w:r>
          </w:p>
        </w:tc>
        <w:tc>
          <w:tcPr>
            <w:tcW w:w="109" w:type="dxa"/>
            <w:tcBorders/>
            <w:vAlign w:val="center"/>
          </w:tcPr>
          <w:p>
            <w:pPr>
              <w:pStyle w:val="TableContents"/>
              <w:bidi w:val="0"/>
              <w:spacing w:before="0" w:after="1"/>
              <w:ind w:left="0" w:right="0" w:hanging="0"/>
              <w:jc w:val="left"/>
              <w:rPr/>
            </w:pPr>
            <w:r>
              <w:rPr/>
              <w:t>​</w:t>
            </w:r>
          </w:p>
        </w:tc>
        <w:tc>
          <w:tcPr>
            <w:tcW w:w="110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9"/>
              </w:rPr>
            </w:pPr>
            <w:r>
              <w:rPr>
                <w:rFonts w:ascii="Times New Roman;Times;serif" w:hAnsi="Times New Roman;Times;serif"/>
                <w:b/>
                <w:sz w:val="19"/>
              </w:rPr>
              <w:t>June 30, 2026</w:t>
            </w:r>
          </w:p>
        </w:tc>
        <w:tc>
          <w:tcPr>
            <w:tcW w:w="346" w:type="dxa"/>
            <w:tcBorders/>
            <w:vAlign w:val="center"/>
          </w:tcPr>
          <w:p>
            <w:pPr>
              <w:pStyle w:val="TableContents"/>
              <w:bidi w:val="0"/>
              <w:spacing w:before="0" w:after="1"/>
              <w:ind w:left="0" w:right="0" w:hanging="0"/>
              <w:jc w:val="center"/>
              <w:rPr/>
            </w:pPr>
            <w:r>
              <w:rPr/>
              <w:t>  ​ ​ ​</w:t>
            </w:r>
          </w:p>
        </w:tc>
        <w:tc>
          <w:tcPr>
            <w:tcW w:w="116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9"/>
              </w:rPr>
            </w:pPr>
            <w:r>
              <w:rPr>
                <w:rFonts w:ascii="Times New Roman;Times;serif" w:hAnsi="Times New Roman;Times;serif"/>
                <w:b/>
                <w:sz w:val="19"/>
              </w:rPr>
              <w:t>June 30, 2025</w:t>
            </w:r>
          </w:p>
        </w:tc>
      </w:tr>
      <w:tr>
        <w:trPr/>
        <w:tc>
          <w:tcPr>
            <w:tcW w:w="478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 (Loss)</w:t>
            </w:r>
          </w:p>
        </w:tc>
        <w:tc>
          <w:tcPr>
            <w:tcW w:w="109" w:type="dxa"/>
            <w:tcBorders/>
            <w:shd w:fill="CCEEFF" w:val="clear"/>
            <w:vAlign w:val="center"/>
          </w:tcPr>
          <w:p>
            <w:pPr>
              <w:pStyle w:val="TableContents"/>
              <w:bidi w:val="0"/>
              <w:spacing w:before="0" w:after="1"/>
              <w:ind w:left="0" w:right="0" w:hanging="0"/>
              <w:jc w:val="left"/>
              <w:rPr/>
            </w:pPr>
            <w:r>
              <w:rPr/>
              <w:t>​</w:t>
            </w:r>
          </w:p>
        </w:tc>
        <w:tc>
          <w:tcPr>
            <w:tcW w:w="29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1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4,492</w:t>
            </w:r>
          </w:p>
        </w:tc>
        <w:tc>
          <w:tcPr>
            <w:tcW w:w="346" w:type="dxa"/>
            <w:tcBorders/>
            <w:shd w:fill="CCEEFF" w:val="clear"/>
            <w:vAlign w:val="center"/>
          </w:tcPr>
          <w:p>
            <w:pPr>
              <w:pStyle w:val="TableContents"/>
              <w:bidi w:val="0"/>
              <w:spacing w:before="0" w:after="1"/>
              <w:ind w:left="0" w:right="0" w:hanging="0"/>
              <w:jc w:val="left"/>
              <w:rPr/>
            </w:pPr>
            <w:r>
              <w:rPr/>
              <w:t>​</w:t>
            </w:r>
          </w:p>
        </w:tc>
        <w:tc>
          <w:tcPr>
            <w:tcW w:w="26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5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(1,782)</w:t>
            </w:r>
          </w:p>
        </w:tc>
        <w:tc>
          <w:tcPr>
            <w:tcW w:w="109" w:type="dxa"/>
            <w:tcBorders/>
            <w:shd w:fill="CCEEFF" w:val="clear"/>
            <w:vAlign w:val="center"/>
          </w:tcPr>
          <w:p>
            <w:pPr>
              <w:pStyle w:val="TableContents"/>
              <w:bidi w:val="0"/>
              <w:spacing w:before="0" w:after="1"/>
              <w:ind w:left="0" w:right="0" w:hanging="0"/>
              <w:jc w:val="left"/>
              <w:rPr/>
            </w:pPr>
            <w:r>
              <w:rPr/>
              <w:t>​</w:t>
            </w:r>
          </w:p>
        </w:tc>
        <w:tc>
          <w:tcPr>
            <w:tcW w:w="29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81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6,849</w:t>
            </w:r>
          </w:p>
        </w:tc>
        <w:tc>
          <w:tcPr>
            <w:tcW w:w="346" w:type="dxa"/>
            <w:tcBorders/>
            <w:shd w:fill="CCEEFF" w:val="clear"/>
            <w:vAlign w:val="center"/>
          </w:tcPr>
          <w:p>
            <w:pPr>
              <w:pStyle w:val="TableContents"/>
              <w:bidi w:val="0"/>
              <w:spacing w:before="0" w:after="1"/>
              <w:ind w:left="0" w:right="0" w:hanging="0"/>
              <w:jc w:val="left"/>
              <w:rPr/>
            </w:pPr>
            <w:r>
              <w:rPr/>
              <w:t>​</w:t>
            </w:r>
          </w:p>
        </w:tc>
        <w:tc>
          <w:tcPr>
            <w:tcW w:w="26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90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(3,060)</w:t>
            </w:r>
          </w:p>
        </w:tc>
      </w:tr>
      <w:tr>
        <w:trPr/>
        <w:tc>
          <w:tcPr>
            <w:tcW w:w="478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Comprehensive Income (Loss)</w:t>
            </w:r>
          </w:p>
        </w:tc>
        <w:tc>
          <w:tcPr>
            <w:tcW w:w="109" w:type="dxa"/>
            <w:tcBorders/>
            <w:vAlign w:val="center"/>
          </w:tcPr>
          <w:p>
            <w:pPr>
              <w:pStyle w:val="TableContents"/>
              <w:bidi w:val="0"/>
              <w:spacing w:before="0" w:after="1"/>
              <w:ind w:left="0" w:right="0" w:hanging="0"/>
              <w:jc w:val="left"/>
              <w:rPr/>
            </w:pPr>
            <w:r>
              <w:rPr/>
              <w:t>​</w:t>
            </w:r>
          </w:p>
        </w:tc>
        <w:tc>
          <w:tcPr>
            <w:tcW w:w="297" w:type="dxa"/>
            <w:tcBorders/>
            <w:vAlign w:val="center"/>
          </w:tcPr>
          <w:p>
            <w:pPr>
              <w:pStyle w:val="TableContents"/>
              <w:bidi w:val="0"/>
              <w:spacing w:before="0" w:after="1"/>
              <w:ind w:left="0" w:right="0" w:hanging="0"/>
              <w:jc w:val="left"/>
              <w:rPr/>
            </w:pPr>
            <w:r>
              <w:rPr/>
              <w:t>​</w:t>
            </w:r>
          </w:p>
        </w:tc>
        <w:tc>
          <w:tcPr>
            <w:tcW w:w="812"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67" w:type="dxa"/>
            <w:tcBorders/>
            <w:vAlign w:val="center"/>
          </w:tcPr>
          <w:p>
            <w:pPr>
              <w:pStyle w:val="TableContents"/>
              <w:bidi w:val="0"/>
              <w:spacing w:before="0" w:after="1"/>
              <w:ind w:left="0" w:right="0" w:hanging="0"/>
              <w:jc w:val="left"/>
              <w:rPr/>
            </w:pPr>
            <w:r>
              <w:rPr/>
              <w:t>​</w:t>
            </w:r>
          </w:p>
        </w:tc>
        <w:tc>
          <w:tcPr>
            <w:tcW w:w="853"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97" w:type="dxa"/>
            <w:tcBorders/>
            <w:vAlign w:val="center"/>
          </w:tcPr>
          <w:p>
            <w:pPr>
              <w:pStyle w:val="TableContents"/>
              <w:bidi w:val="0"/>
              <w:spacing w:before="0" w:after="1"/>
              <w:ind w:left="0" w:right="0" w:hanging="0"/>
              <w:jc w:val="left"/>
              <w:rPr/>
            </w:pPr>
            <w:r>
              <w:rPr/>
              <w:t>​</w:t>
            </w:r>
          </w:p>
        </w:tc>
        <w:tc>
          <w:tcPr>
            <w:tcW w:w="812"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64" w:type="dxa"/>
            <w:tcBorders/>
            <w:vAlign w:val="center"/>
          </w:tcPr>
          <w:p>
            <w:pPr>
              <w:pStyle w:val="TableContents"/>
              <w:bidi w:val="0"/>
              <w:spacing w:before="0" w:after="1"/>
              <w:ind w:left="0" w:right="0" w:hanging="0"/>
              <w:jc w:val="left"/>
              <w:rPr/>
            </w:pPr>
            <w:r>
              <w:rPr/>
              <w:t>​</w:t>
            </w:r>
          </w:p>
        </w:tc>
        <w:tc>
          <w:tcPr>
            <w:tcW w:w="905" w:type="dxa"/>
            <w:tcBorders/>
            <w:vAlign w:val="center"/>
          </w:tcPr>
          <w:p>
            <w:pPr>
              <w:pStyle w:val="TableContents"/>
              <w:bidi w:val="0"/>
              <w:spacing w:before="0" w:after="1"/>
              <w:ind w:left="0" w:right="0" w:hanging="0"/>
              <w:jc w:val="right"/>
              <w:rPr/>
            </w:pPr>
            <w:r>
              <w:rPr/>
              <w:t>​</w:t>
            </w:r>
          </w:p>
        </w:tc>
      </w:tr>
      <w:tr>
        <w:trPr/>
        <w:tc>
          <w:tcPr>
            <w:tcW w:w="478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Flow Hedging Derivative - Interest Rate Swaps</w:t>
            </w:r>
          </w:p>
        </w:tc>
        <w:tc>
          <w:tcPr>
            <w:tcW w:w="109" w:type="dxa"/>
            <w:tcBorders/>
            <w:shd w:fill="CCEEFF" w:val="clear"/>
            <w:vAlign w:val="center"/>
          </w:tcPr>
          <w:p>
            <w:pPr>
              <w:pStyle w:val="TableContents"/>
              <w:bidi w:val="0"/>
              <w:spacing w:before="0" w:after="1"/>
              <w:ind w:left="0" w:right="0" w:hanging="0"/>
              <w:jc w:val="left"/>
              <w:rPr/>
            </w:pPr>
            <w:r>
              <w:rPr/>
              <w:t>​</w:t>
            </w:r>
          </w:p>
        </w:tc>
        <w:tc>
          <w:tcPr>
            <w:tcW w:w="29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1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1,757</w:t>
            </w:r>
          </w:p>
        </w:tc>
        <w:tc>
          <w:tcPr>
            <w:tcW w:w="346" w:type="dxa"/>
            <w:tcBorders/>
            <w:shd w:fill="CCEEFF" w:val="clear"/>
            <w:vAlign w:val="center"/>
          </w:tcPr>
          <w:p>
            <w:pPr>
              <w:pStyle w:val="TableContents"/>
              <w:bidi w:val="0"/>
              <w:spacing w:before="0" w:after="1"/>
              <w:ind w:left="0" w:right="0" w:hanging="0"/>
              <w:jc w:val="left"/>
              <w:rPr/>
            </w:pPr>
            <w:r>
              <w:rPr/>
              <w:t>​</w:t>
            </w:r>
          </w:p>
        </w:tc>
        <w:tc>
          <w:tcPr>
            <w:tcW w:w="26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5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(1,310)</w:t>
            </w:r>
          </w:p>
        </w:tc>
        <w:tc>
          <w:tcPr>
            <w:tcW w:w="109" w:type="dxa"/>
            <w:tcBorders/>
            <w:shd w:fill="CCEEFF" w:val="clear"/>
            <w:vAlign w:val="center"/>
          </w:tcPr>
          <w:p>
            <w:pPr>
              <w:pStyle w:val="TableContents"/>
              <w:bidi w:val="0"/>
              <w:spacing w:before="0" w:after="1"/>
              <w:ind w:left="0" w:right="0" w:hanging="0"/>
              <w:jc w:val="left"/>
              <w:rPr/>
            </w:pPr>
            <w:r>
              <w:rPr/>
              <w:t>​</w:t>
            </w:r>
          </w:p>
        </w:tc>
        <w:tc>
          <w:tcPr>
            <w:tcW w:w="29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1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1,990</w:t>
            </w:r>
          </w:p>
        </w:tc>
        <w:tc>
          <w:tcPr>
            <w:tcW w:w="346" w:type="dxa"/>
            <w:tcBorders/>
            <w:shd w:fill="CCEEFF" w:val="clear"/>
            <w:vAlign w:val="center"/>
          </w:tcPr>
          <w:p>
            <w:pPr>
              <w:pStyle w:val="TableContents"/>
              <w:bidi w:val="0"/>
              <w:spacing w:before="0" w:after="1"/>
              <w:ind w:left="0" w:right="0" w:hanging="0"/>
              <w:jc w:val="left"/>
              <w:rPr/>
            </w:pPr>
            <w:r>
              <w:rPr/>
              <w:t>​</w:t>
            </w:r>
          </w:p>
        </w:tc>
        <w:tc>
          <w:tcPr>
            <w:tcW w:w="26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0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(3,703)</w:t>
            </w:r>
          </w:p>
        </w:tc>
      </w:tr>
      <w:tr>
        <w:trPr/>
        <w:tc>
          <w:tcPr>
            <w:tcW w:w="478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Other Comprehensive Income (Loss)</w:t>
            </w:r>
          </w:p>
        </w:tc>
        <w:tc>
          <w:tcPr>
            <w:tcW w:w="109" w:type="dxa"/>
            <w:tcBorders/>
            <w:vAlign w:val="center"/>
          </w:tcPr>
          <w:p>
            <w:pPr>
              <w:pStyle w:val="TableContents"/>
              <w:bidi w:val="0"/>
              <w:spacing w:before="0" w:after="1"/>
              <w:ind w:left="0" w:right="0" w:hanging="0"/>
              <w:jc w:val="left"/>
              <w:rPr/>
            </w:pPr>
            <w:r>
              <w:rPr/>
              <w:t>​</w:t>
            </w:r>
          </w:p>
        </w:tc>
        <w:tc>
          <w:tcPr>
            <w:tcW w:w="29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1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1,757</w:t>
            </w:r>
          </w:p>
        </w:tc>
        <w:tc>
          <w:tcPr>
            <w:tcW w:w="346" w:type="dxa"/>
            <w:tcBorders/>
            <w:vAlign w:val="center"/>
          </w:tcPr>
          <w:p>
            <w:pPr>
              <w:pStyle w:val="TableContents"/>
              <w:bidi w:val="0"/>
              <w:spacing w:before="0" w:after="1"/>
              <w:ind w:left="0" w:right="0" w:hanging="0"/>
              <w:jc w:val="left"/>
              <w:rPr/>
            </w:pPr>
            <w:r>
              <w:rPr/>
              <w:t>​</w:t>
            </w:r>
          </w:p>
        </w:tc>
        <w:tc>
          <w:tcPr>
            <w:tcW w:w="26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5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(1,310)</w:t>
            </w:r>
          </w:p>
        </w:tc>
        <w:tc>
          <w:tcPr>
            <w:tcW w:w="109" w:type="dxa"/>
            <w:tcBorders/>
            <w:vAlign w:val="center"/>
          </w:tcPr>
          <w:p>
            <w:pPr>
              <w:pStyle w:val="TableContents"/>
              <w:bidi w:val="0"/>
              <w:spacing w:before="0" w:after="1"/>
              <w:ind w:left="0" w:right="0" w:hanging="0"/>
              <w:jc w:val="left"/>
              <w:rPr/>
            </w:pPr>
            <w:r>
              <w:rPr/>
              <w:t>​</w:t>
            </w:r>
          </w:p>
        </w:tc>
        <w:tc>
          <w:tcPr>
            <w:tcW w:w="29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1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1,990</w:t>
            </w:r>
          </w:p>
        </w:tc>
        <w:tc>
          <w:tcPr>
            <w:tcW w:w="346" w:type="dxa"/>
            <w:tcBorders/>
            <w:vAlign w:val="center"/>
          </w:tcPr>
          <w:p>
            <w:pPr>
              <w:pStyle w:val="TableContents"/>
              <w:bidi w:val="0"/>
              <w:spacing w:before="0" w:after="1"/>
              <w:ind w:left="0" w:right="0" w:hanging="0"/>
              <w:jc w:val="left"/>
              <w:rPr/>
            </w:pPr>
            <w:r>
              <w:rPr/>
              <w:t>​</w:t>
            </w:r>
          </w:p>
        </w:tc>
        <w:tc>
          <w:tcPr>
            <w:tcW w:w="26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0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(3,703)</w:t>
            </w:r>
          </w:p>
        </w:tc>
      </w:tr>
      <w:tr>
        <w:trPr/>
        <w:tc>
          <w:tcPr>
            <w:tcW w:w="478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Comprehensive Income (Loss)</w:t>
            </w:r>
          </w:p>
        </w:tc>
        <w:tc>
          <w:tcPr>
            <w:tcW w:w="109" w:type="dxa"/>
            <w:tcBorders/>
            <w:shd w:fill="CCEEFF" w:val="clear"/>
            <w:vAlign w:val="center"/>
          </w:tcPr>
          <w:p>
            <w:pPr>
              <w:pStyle w:val="TableContents"/>
              <w:bidi w:val="0"/>
              <w:spacing w:before="0" w:after="1"/>
              <w:ind w:left="0" w:right="0" w:hanging="0"/>
              <w:jc w:val="left"/>
              <w:rPr/>
            </w:pPr>
            <w:r>
              <w:rPr/>
              <w:t>​</w:t>
            </w:r>
          </w:p>
        </w:tc>
        <w:tc>
          <w:tcPr>
            <w:tcW w:w="29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1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6,249</w:t>
            </w:r>
          </w:p>
        </w:tc>
        <w:tc>
          <w:tcPr>
            <w:tcW w:w="346" w:type="dxa"/>
            <w:tcBorders/>
            <w:shd w:fill="CCEEFF" w:val="clear"/>
            <w:vAlign w:val="center"/>
          </w:tcPr>
          <w:p>
            <w:pPr>
              <w:pStyle w:val="TableContents"/>
              <w:bidi w:val="0"/>
              <w:spacing w:before="0" w:after="1"/>
              <w:ind w:left="0" w:right="0" w:hanging="0"/>
              <w:jc w:val="left"/>
              <w:rPr/>
            </w:pPr>
            <w:r>
              <w:rPr/>
              <w:t>​</w:t>
            </w:r>
          </w:p>
        </w:tc>
        <w:tc>
          <w:tcPr>
            <w:tcW w:w="26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5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(3,092)</w:t>
            </w:r>
          </w:p>
        </w:tc>
        <w:tc>
          <w:tcPr>
            <w:tcW w:w="109" w:type="dxa"/>
            <w:tcBorders/>
            <w:shd w:fill="CCEEFF" w:val="clear"/>
            <w:vAlign w:val="center"/>
          </w:tcPr>
          <w:p>
            <w:pPr>
              <w:pStyle w:val="TableContents"/>
              <w:bidi w:val="0"/>
              <w:spacing w:before="0" w:after="1"/>
              <w:ind w:left="0" w:right="0" w:hanging="0"/>
              <w:jc w:val="left"/>
              <w:rPr/>
            </w:pPr>
            <w:r>
              <w:rPr/>
              <w:t>​</w:t>
            </w:r>
          </w:p>
        </w:tc>
        <w:tc>
          <w:tcPr>
            <w:tcW w:w="29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81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8,839</w:t>
            </w:r>
          </w:p>
        </w:tc>
        <w:tc>
          <w:tcPr>
            <w:tcW w:w="346" w:type="dxa"/>
            <w:tcBorders/>
            <w:shd w:fill="CCEEFF" w:val="clear"/>
            <w:vAlign w:val="center"/>
          </w:tcPr>
          <w:p>
            <w:pPr>
              <w:pStyle w:val="TableContents"/>
              <w:bidi w:val="0"/>
              <w:spacing w:before="0" w:after="1"/>
              <w:ind w:left="0" w:right="0" w:hanging="0"/>
              <w:jc w:val="left"/>
              <w:rPr/>
            </w:pPr>
            <w:r>
              <w:rPr/>
              <w:t>​</w:t>
            </w:r>
          </w:p>
        </w:tc>
        <w:tc>
          <w:tcPr>
            <w:tcW w:w="26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90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(6,763)</w:t>
            </w:r>
          </w:p>
        </w:tc>
      </w:tr>
      <w:tr>
        <w:trPr/>
        <w:tc>
          <w:tcPr>
            <w:tcW w:w="478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Comprehensive Loss (Income) Attributable to Noncontrolling Interest</w:t>
            </w:r>
          </w:p>
        </w:tc>
        <w:tc>
          <w:tcPr>
            <w:tcW w:w="109" w:type="dxa"/>
            <w:tcBorders/>
            <w:vAlign w:val="center"/>
          </w:tcPr>
          <w:p>
            <w:pPr>
              <w:pStyle w:val="TableContents"/>
              <w:bidi w:val="0"/>
              <w:spacing w:before="0" w:after="1"/>
              <w:ind w:left="0" w:right="0" w:hanging="0"/>
              <w:jc w:val="left"/>
              <w:rPr/>
            </w:pPr>
            <w:r>
              <w:rPr/>
              <w:t>​</w:t>
            </w:r>
          </w:p>
        </w:tc>
        <w:tc>
          <w:tcPr>
            <w:tcW w:w="297" w:type="dxa"/>
            <w:tcBorders/>
            <w:vAlign w:val="center"/>
          </w:tcPr>
          <w:p>
            <w:pPr>
              <w:pStyle w:val="TableContents"/>
              <w:bidi w:val="0"/>
              <w:spacing w:before="0" w:after="1"/>
              <w:ind w:left="0" w:right="0" w:hanging="0"/>
              <w:jc w:val="left"/>
              <w:rPr/>
            </w:pPr>
            <w:r>
              <w:rPr/>
              <w:t>​</w:t>
            </w:r>
          </w:p>
        </w:tc>
        <w:tc>
          <w:tcPr>
            <w:tcW w:w="81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67" w:type="dxa"/>
            <w:tcBorders/>
            <w:vAlign w:val="center"/>
          </w:tcPr>
          <w:p>
            <w:pPr>
              <w:pStyle w:val="TableContents"/>
              <w:bidi w:val="0"/>
              <w:spacing w:before="0" w:after="1"/>
              <w:ind w:left="0" w:right="0" w:hanging="0"/>
              <w:jc w:val="left"/>
              <w:rPr/>
            </w:pPr>
            <w:r>
              <w:rPr/>
              <w:t>​</w:t>
            </w:r>
          </w:p>
        </w:tc>
        <w:tc>
          <w:tcPr>
            <w:tcW w:w="853"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97" w:type="dxa"/>
            <w:tcBorders/>
            <w:vAlign w:val="center"/>
          </w:tcPr>
          <w:p>
            <w:pPr>
              <w:pStyle w:val="TableContents"/>
              <w:bidi w:val="0"/>
              <w:spacing w:before="0" w:after="1"/>
              <w:ind w:left="0" w:right="0" w:hanging="0"/>
              <w:jc w:val="left"/>
              <w:rPr/>
            </w:pPr>
            <w:r>
              <w:rPr/>
              <w:t>​</w:t>
            </w:r>
          </w:p>
        </w:tc>
        <w:tc>
          <w:tcPr>
            <w:tcW w:w="81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64" w:type="dxa"/>
            <w:tcBorders/>
            <w:vAlign w:val="center"/>
          </w:tcPr>
          <w:p>
            <w:pPr>
              <w:pStyle w:val="TableContents"/>
              <w:bidi w:val="0"/>
              <w:spacing w:before="0" w:after="1"/>
              <w:ind w:left="0" w:right="0" w:hanging="0"/>
              <w:jc w:val="left"/>
              <w:rPr/>
            </w:pPr>
            <w:r>
              <w:rPr/>
              <w:t>​</w:t>
            </w:r>
          </w:p>
        </w:tc>
        <w:tc>
          <w:tcPr>
            <w:tcW w:w="905" w:type="dxa"/>
            <w:tcBorders/>
            <w:vAlign w:val="center"/>
          </w:tcPr>
          <w:p>
            <w:pPr>
              <w:pStyle w:val="TableContents"/>
              <w:bidi w:val="0"/>
              <w:spacing w:before="0" w:after="1"/>
              <w:ind w:left="0" w:right="0" w:hanging="0"/>
              <w:jc w:val="left"/>
              <w:rPr/>
            </w:pPr>
            <w:r>
              <w:rPr/>
              <w:t>​</w:t>
            </w:r>
          </w:p>
        </w:tc>
      </w:tr>
      <w:tr>
        <w:trPr/>
        <w:tc>
          <w:tcPr>
            <w:tcW w:w="478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 (Income) Attributable to Noncontrolling Interest</w:t>
            </w:r>
          </w:p>
        </w:tc>
        <w:tc>
          <w:tcPr>
            <w:tcW w:w="109" w:type="dxa"/>
            <w:tcBorders/>
            <w:shd w:fill="CCEEFF" w:val="clear"/>
            <w:vAlign w:val="center"/>
          </w:tcPr>
          <w:p>
            <w:pPr>
              <w:pStyle w:val="TableContents"/>
              <w:bidi w:val="0"/>
              <w:spacing w:before="0" w:after="1"/>
              <w:ind w:left="0" w:right="0" w:hanging="0"/>
              <w:jc w:val="left"/>
              <w:rPr/>
            </w:pPr>
            <w:r>
              <w:rPr/>
              <w:t>​</w:t>
            </w:r>
          </w:p>
        </w:tc>
        <w:tc>
          <w:tcPr>
            <w:tcW w:w="297" w:type="dxa"/>
            <w:tcBorders/>
            <w:shd w:fill="CCEEFF" w:val="clear"/>
            <w:vAlign w:val="center"/>
          </w:tcPr>
          <w:p>
            <w:pPr>
              <w:pStyle w:val="TableContents"/>
              <w:bidi w:val="0"/>
              <w:spacing w:before="0" w:after="1"/>
              <w:ind w:left="0" w:right="0" w:hanging="0"/>
              <w:jc w:val="left"/>
              <w:rPr/>
            </w:pPr>
            <w:r>
              <w:rPr/>
              <w:t>​</w:t>
            </w:r>
          </w:p>
        </w:tc>
        <w:tc>
          <w:tcPr>
            <w:tcW w:w="812"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(301)</w:t>
            </w:r>
          </w:p>
        </w:tc>
        <w:tc>
          <w:tcPr>
            <w:tcW w:w="346" w:type="dxa"/>
            <w:tcBorders/>
            <w:shd w:fill="CCEEFF" w:val="clear"/>
            <w:vAlign w:val="center"/>
          </w:tcPr>
          <w:p>
            <w:pPr>
              <w:pStyle w:val="TableContents"/>
              <w:bidi w:val="0"/>
              <w:spacing w:before="0" w:after="1"/>
              <w:ind w:left="0" w:right="0" w:hanging="0"/>
              <w:jc w:val="left"/>
              <w:rPr/>
            </w:pPr>
            <w:r>
              <w:rPr/>
              <w:t>​</w:t>
            </w:r>
          </w:p>
        </w:tc>
        <w:tc>
          <w:tcPr>
            <w:tcW w:w="267" w:type="dxa"/>
            <w:tcBorders/>
            <w:shd w:fill="CCEEFF" w:val="clear"/>
            <w:vAlign w:val="center"/>
          </w:tcPr>
          <w:p>
            <w:pPr>
              <w:pStyle w:val="TableContents"/>
              <w:bidi w:val="0"/>
              <w:spacing w:before="0" w:after="1"/>
              <w:ind w:left="0" w:right="0" w:hanging="0"/>
              <w:jc w:val="left"/>
              <w:rPr/>
            </w:pPr>
            <w:r>
              <w:rPr/>
              <w:t>​</w:t>
            </w:r>
          </w:p>
        </w:tc>
        <w:tc>
          <w:tcPr>
            <w:tcW w:w="853"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141</w:t>
            </w:r>
          </w:p>
        </w:tc>
        <w:tc>
          <w:tcPr>
            <w:tcW w:w="109" w:type="dxa"/>
            <w:tcBorders/>
            <w:shd w:fill="CCEEFF" w:val="clear"/>
            <w:vAlign w:val="center"/>
          </w:tcPr>
          <w:p>
            <w:pPr>
              <w:pStyle w:val="TableContents"/>
              <w:bidi w:val="0"/>
              <w:spacing w:before="0" w:after="1"/>
              <w:ind w:left="0" w:right="0" w:hanging="0"/>
              <w:jc w:val="left"/>
              <w:rPr/>
            </w:pPr>
            <w:r>
              <w:rPr/>
              <w:t>​</w:t>
            </w:r>
          </w:p>
        </w:tc>
        <w:tc>
          <w:tcPr>
            <w:tcW w:w="297" w:type="dxa"/>
            <w:tcBorders/>
            <w:shd w:fill="CCEEFF" w:val="clear"/>
            <w:vAlign w:val="center"/>
          </w:tcPr>
          <w:p>
            <w:pPr>
              <w:pStyle w:val="TableContents"/>
              <w:bidi w:val="0"/>
              <w:spacing w:before="0" w:after="1"/>
              <w:ind w:left="0" w:right="0" w:hanging="0"/>
              <w:jc w:val="left"/>
              <w:rPr/>
            </w:pPr>
            <w:r>
              <w:rPr/>
              <w:t>​</w:t>
            </w:r>
          </w:p>
        </w:tc>
        <w:tc>
          <w:tcPr>
            <w:tcW w:w="812"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(473)</w:t>
            </w:r>
          </w:p>
        </w:tc>
        <w:tc>
          <w:tcPr>
            <w:tcW w:w="346" w:type="dxa"/>
            <w:tcBorders/>
            <w:shd w:fill="CCEEFF" w:val="clear"/>
            <w:vAlign w:val="center"/>
          </w:tcPr>
          <w:p>
            <w:pPr>
              <w:pStyle w:val="TableContents"/>
              <w:bidi w:val="0"/>
              <w:spacing w:before="0" w:after="1"/>
              <w:ind w:left="0" w:right="0" w:hanging="0"/>
              <w:jc w:val="left"/>
              <w:rPr/>
            </w:pPr>
            <w:r>
              <w:rPr/>
              <w:t>​</w:t>
            </w:r>
          </w:p>
        </w:tc>
        <w:tc>
          <w:tcPr>
            <w:tcW w:w="264" w:type="dxa"/>
            <w:tcBorders/>
            <w:shd w:fill="CCEEFF" w:val="clear"/>
            <w:vAlign w:val="center"/>
          </w:tcPr>
          <w:p>
            <w:pPr>
              <w:pStyle w:val="TableContents"/>
              <w:bidi w:val="0"/>
              <w:spacing w:before="0" w:after="1"/>
              <w:ind w:left="0" w:right="0" w:hanging="0"/>
              <w:jc w:val="left"/>
              <w:rPr/>
            </w:pPr>
            <w:r>
              <w:rPr/>
              <w:t>​</w:t>
            </w:r>
          </w:p>
        </w:tc>
        <w:tc>
          <w:tcPr>
            <w:tcW w:w="905"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240</w:t>
            </w:r>
          </w:p>
        </w:tc>
      </w:tr>
      <w:tr>
        <w:trPr/>
        <w:tc>
          <w:tcPr>
            <w:tcW w:w="478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Comprehensive Loss (Income) Attributable to Noncontrolling Interest</w:t>
            </w:r>
          </w:p>
        </w:tc>
        <w:tc>
          <w:tcPr>
            <w:tcW w:w="109" w:type="dxa"/>
            <w:tcBorders/>
            <w:vAlign w:val="center"/>
          </w:tcPr>
          <w:p>
            <w:pPr>
              <w:pStyle w:val="TableContents"/>
              <w:bidi w:val="0"/>
              <w:spacing w:before="0" w:after="1"/>
              <w:ind w:left="0" w:right="0" w:hanging="0"/>
              <w:jc w:val="left"/>
              <w:rPr/>
            </w:pPr>
            <w:r>
              <w:rPr/>
              <w:t>​</w:t>
            </w:r>
          </w:p>
        </w:tc>
        <w:tc>
          <w:tcPr>
            <w:tcW w:w="29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1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(118)</w:t>
            </w:r>
          </w:p>
        </w:tc>
        <w:tc>
          <w:tcPr>
            <w:tcW w:w="346" w:type="dxa"/>
            <w:tcBorders/>
            <w:vAlign w:val="center"/>
          </w:tcPr>
          <w:p>
            <w:pPr>
              <w:pStyle w:val="TableContents"/>
              <w:bidi w:val="0"/>
              <w:spacing w:before="0" w:after="1"/>
              <w:ind w:left="0" w:right="0" w:hanging="0"/>
              <w:jc w:val="left"/>
              <w:rPr/>
            </w:pPr>
            <w:r>
              <w:rPr/>
              <w:t>​</w:t>
            </w:r>
          </w:p>
        </w:tc>
        <w:tc>
          <w:tcPr>
            <w:tcW w:w="26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5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104</w:t>
            </w:r>
          </w:p>
        </w:tc>
        <w:tc>
          <w:tcPr>
            <w:tcW w:w="109" w:type="dxa"/>
            <w:tcBorders/>
            <w:vAlign w:val="center"/>
          </w:tcPr>
          <w:p>
            <w:pPr>
              <w:pStyle w:val="TableContents"/>
              <w:bidi w:val="0"/>
              <w:spacing w:before="0" w:after="1"/>
              <w:ind w:left="0" w:right="0" w:hanging="0"/>
              <w:jc w:val="left"/>
              <w:rPr/>
            </w:pPr>
            <w:r>
              <w:rPr/>
              <w:t>​</w:t>
            </w:r>
          </w:p>
        </w:tc>
        <w:tc>
          <w:tcPr>
            <w:tcW w:w="29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1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(135)</w:t>
            </w:r>
          </w:p>
        </w:tc>
        <w:tc>
          <w:tcPr>
            <w:tcW w:w="346" w:type="dxa"/>
            <w:tcBorders/>
            <w:vAlign w:val="center"/>
          </w:tcPr>
          <w:p>
            <w:pPr>
              <w:pStyle w:val="TableContents"/>
              <w:bidi w:val="0"/>
              <w:spacing w:before="0" w:after="1"/>
              <w:ind w:left="0" w:right="0" w:hanging="0"/>
              <w:jc w:val="left"/>
              <w:rPr/>
            </w:pPr>
            <w:r>
              <w:rPr/>
              <w:t>​</w:t>
            </w:r>
          </w:p>
        </w:tc>
        <w:tc>
          <w:tcPr>
            <w:tcW w:w="26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0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289</w:t>
            </w:r>
          </w:p>
        </w:tc>
      </w:tr>
      <w:tr>
        <w:trPr/>
        <w:tc>
          <w:tcPr>
            <w:tcW w:w="478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Comprehensive Loss (Income) Attributable to Noncontrolling Interest</w:t>
            </w:r>
          </w:p>
        </w:tc>
        <w:tc>
          <w:tcPr>
            <w:tcW w:w="109" w:type="dxa"/>
            <w:tcBorders/>
            <w:shd w:fill="CCEEFF" w:val="clear"/>
            <w:vAlign w:val="center"/>
          </w:tcPr>
          <w:p>
            <w:pPr>
              <w:pStyle w:val="TableContents"/>
              <w:bidi w:val="0"/>
              <w:spacing w:before="0" w:after="1"/>
              <w:ind w:left="0" w:right="0" w:hanging="0"/>
              <w:jc w:val="left"/>
              <w:rPr/>
            </w:pPr>
            <w:r>
              <w:rPr/>
              <w:t>​</w:t>
            </w:r>
          </w:p>
        </w:tc>
        <w:tc>
          <w:tcPr>
            <w:tcW w:w="29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1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(419)</w:t>
            </w:r>
          </w:p>
        </w:tc>
        <w:tc>
          <w:tcPr>
            <w:tcW w:w="346" w:type="dxa"/>
            <w:tcBorders/>
            <w:shd w:fill="CCEEFF" w:val="clear"/>
            <w:vAlign w:val="center"/>
          </w:tcPr>
          <w:p>
            <w:pPr>
              <w:pStyle w:val="TableContents"/>
              <w:bidi w:val="0"/>
              <w:spacing w:before="0" w:after="1"/>
              <w:ind w:left="0" w:right="0" w:hanging="0"/>
              <w:jc w:val="left"/>
              <w:rPr/>
            </w:pPr>
            <w:r>
              <w:rPr/>
              <w:t>​</w:t>
            </w:r>
          </w:p>
        </w:tc>
        <w:tc>
          <w:tcPr>
            <w:tcW w:w="26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5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245</w:t>
            </w:r>
          </w:p>
        </w:tc>
        <w:tc>
          <w:tcPr>
            <w:tcW w:w="109" w:type="dxa"/>
            <w:tcBorders/>
            <w:shd w:fill="CCEEFF" w:val="clear"/>
            <w:vAlign w:val="center"/>
          </w:tcPr>
          <w:p>
            <w:pPr>
              <w:pStyle w:val="TableContents"/>
              <w:bidi w:val="0"/>
              <w:spacing w:before="0" w:after="1"/>
              <w:ind w:left="0" w:right="0" w:hanging="0"/>
              <w:jc w:val="left"/>
              <w:rPr/>
            </w:pPr>
            <w:r>
              <w:rPr/>
              <w:t>​</w:t>
            </w:r>
          </w:p>
        </w:tc>
        <w:tc>
          <w:tcPr>
            <w:tcW w:w="29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1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(608)</w:t>
            </w:r>
          </w:p>
        </w:tc>
        <w:tc>
          <w:tcPr>
            <w:tcW w:w="346" w:type="dxa"/>
            <w:tcBorders/>
            <w:shd w:fill="CCEEFF" w:val="clear"/>
            <w:vAlign w:val="center"/>
          </w:tcPr>
          <w:p>
            <w:pPr>
              <w:pStyle w:val="TableContents"/>
              <w:bidi w:val="0"/>
              <w:spacing w:before="0" w:after="1"/>
              <w:ind w:left="0" w:right="0" w:hanging="0"/>
              <w:jc w:val="left"/>
              <w:rPr/>
            </w:pPr>
            <w:r>
              <w:rPr/>
              <w:t>​</w:t>
            </w:r>
          </w:p>
        </w:tc>
        <w:tc>
          <w:tcPr>
            <w:tcW w:w="26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0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529</w:t>
            </w:r>
          </w:p>
        </w:tc>
      </w:tr>
      <w:tr>
        <w:trPr/>
        <w:tc>
          <w:tcPr>
            <w:tcW w:w="478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Comprehensive Income (Loss) Attributable to Alpine Income Property Trust, Inc.</w:t>
            </w:r>
          </w:p>
        </w:tc>
        <w:tc>
          <w:tcPr>
            <w:tcW w:w="109" w:type="dxa"/>
            <w:tcBorders/>
            <w:vAlign w:val="center"/>
          </w:tcPr>
          <w:p>
            <w:pPr>
              <w:pStyle w:val="TableContents"/>
              <w:bidi w:val="0"/>
              <w:spacing w:before="0" w:after="1"/>
              <w:ind w:left="0" w:right="0" w:hanging="0"/>
              <w:jc w:val="left"/>
              <w:rPr/>
            </w:pPr>
            <w:r>
              <w:rPr/>
              <w:t>​</w:t>
            </w:r>
          </w:p>
        </w:tc>
        <w:tc>
          <w:tcPr>
            <w:tcW w:w="29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81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5,830</w:t>
            </w:r>
          </w:p>
        </w:tc>
        <w:tc>
          <w:tcPr>
            <w:tcW w:w="346" w:type="dxa"/>
            <w:tcBorders/>
            <w:vAlign w:val="center"/>
          </w:tcPr>
          <w:p>
            <w:pPr>
              <w:pStyle w:val="TableContents"/>
              <w:bidi w:val="0"/>
              <w:spacing w:before="0" w:after="1"/>
              <w:ind w:left="0" w:right="0" w:hanging="0"/>
              <w:jc w:val="left"/>
              <w:rPr/>
            </w:pPr>
            <w:r>
              <w:rPr/>
              <w:t>​</w:t>
            </w:r>
          </w:p>
        </w:tc>
        <w:tc>
          <w:tcPr>
            <w:tcW w:w="26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85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(2,847)</w:t>
            </w:r>
          </w:p>
        </w:tc>
        <w:tc>
          <w:tcPr>
            <w:tcW w:w="109" w:type="dxa"/>
            <w:tcBorders/>
            <w:vAlign w:val="center"/>
          </w:tcPr>
          <w:p>
            <w:pPr>
              <w:pStyle w:val="TableContents"/>
              <w:bidi w:val="0"/>
              <w:spacing w:before="0" w:after="1"/>
              <w:ind w:left="0" w:right="0" w:hanging="0"/>
              <w:jc w:val="left"/>
              <w:rPr/>
            </w:pPr>
            <w:r>
              <w:rPr/>
              <w:t>​</w:t>
            </w:r>
          </w:p>
        </w:tc>
        <w:tc>
          <w:tcPr>
            <w:tcW w:w="29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81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8,231</w:t>
            </w:r>
          </w:p>
        </w:tc>
        <w:tc>
          <w:tcPr>
            <w:tcW w:w="346" w:type="dxa"/>
            <w:tcBorders/>
            <w:vAlign w:val="center"/>
          </w:tcPr>
          <w:p>
            <w:pPr>
              <w:pStyle w:val="TableContents"/>
              <w:bidi w:val="0"/>
              <w:spacing w:before="0" w:after="1"/>
              <w:ind w:left="0" w:right="0" w:hanging="0"/>
              <w:jc w:val="left"/>
              <w:rPr/>
            </w:pPr>
            <w:r>
              <w:rPr/>
              <w:t>​</w:t>
            </w:r>
          </w:p>
        </w:tc>
        <w:tc>
          <w:tcPr>
            <w:tcW w:w="264"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90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(6,234)</w:t>
            </w:r>
          </w:p>
        </w:tc>
      </w:tr>
    </w:tbl>
    <w:p>
      <w:pPr>
        <w:pStyle w:val="TextBody"/>
        <w:bidi w:val="0"/>
        <w:spacing w:before="0" w:after="240"/>
        <w:ind w:left="0" w:right="0" w:hanging="0"/>
        <w:jc w:val="center"/>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accompanying notes are an integral part of these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sz w:val="19"/>
        </w:rPr>
      </w:pPr>
      <w:bookmarkStart w:id="311" w:name="_c10ca8fd_e5ec_4dea_88e0_f29adaaa643e"/>
      <w:bookmarkEnd w:id="311"/>
      <w:r>
        <w:rPr>
          <w:rFonts w:ascii="Times New Roman;Times;serif" w:hAnsi="Times New Roman;Times;serif"/>
          <w:sz w:val="19"/>
        </w:rPr>
        <w:t>ALPINE INCOME PROPERTY TRUST, INC.</w:t>
      </w:r>
    </w:p>
    <w:p>
      <w:pPr>
        <w:pStyle w:val="TextBody"/>
        <w:bidi w:val="0"/>
        <w:spacing w:before="0" w:after="0"/>
        <w:ind w:left="0" w:right="0" w:hanging="0"/>
        <w:jc w:val="center"/>
        <w:rPr>
          <w:rFonts w:ascii="Times New Roman;Times;serif" w:hAnsi="Times New Roman;Times;serif"/>
          <w:sz w:val="19"/>
        </w:rPr>
      </w:pPr>
      <w:bookmarkStart w:id="312" w:name="CONSOLIDATEDSTATEMENTSOFSHAREHOLDERSEQUI"/>
      <w:bookmarkStart w:id="313" w:name="CONSOLIDATEDSTATEMENTSOFOPERATIONS_7649"/>
      <w:bookmarkEnd w:id="312"/>
      <w:bookmarkEnd w:id="313"/>
      <w:r>
        <w:rPr>
          <w:rFonts w:ascii="Times New Roman;Times;serif" w:hAnsi="Times New Roman;Times;serif"/>
          <w:sz w:val="19"/>
        </w:rPr>
        <w:t>CONSOLIDATED STATEMENTS OF STOCKHOLDERS’ EQUITY</w:t>
      </w:r>
    </w:p>
    <w:p>
      <w:pPr>
        <w:pStyle w:val="TextBody"/>
        <w:bidi w:val="0"/>
        <w:spacing w:before="0" w:after="0"/>
        <w:ind w:left="0" w:right="0" w:hanging="0"/>
        <w:jc w:val="center"/>
        <w:rPr>
          <w:rFonts w:ascii="Times New Roman;Times;serif" w:hAnsi="Times New Roman;Times;serif"/>
          <w:sz w:val="19"/>
        </w:rPr>
      </w:pPr>
      <w:r>
        <w:rPr>
          <w:rFonts w:ascii="Times New Roman;Times;serif" w:hAnsi="Times New Roman;Times;serif"/>
          <w:sz w:val="19"/>
        </w:rPr>
        <w:t>(Unaudited, in thousands, except per share data)</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 the three months ended June 30, 2026:</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314" w:name="Tc_gDIGbEixmUepgls9HoFr4Q_9_23"/>
      <w:bookmarkStart w:id="315" w:name="Tc_mzkn_L51Rk6pYPfW0GmHDQ_9_20"/>
      <w:bookmarkStart w:id="316" w:name="Tc_CTD0b6mIzEK8hujEybzaDA_9_17"/>
      <w:bookmarkStart w:id="317" w:name="Tc_mnrBtD6n-USby8OU95Fvow_9_14"/>
      <w:bookmarkStart w:id="318" w:name="Tc_92Wk3GvdOkS65KINyDKzLA_9_11"/>
      <w:bookmarkStart w:id="319" w:name="Tc_QroKJMN9jE29WEMfU7FznQ_9_8"/>
      <w:bookmarkStart w:id="320" w:name="Tc_fblq_e3660KJLhuhbhP7Mw_9_5"/>
      <w:bookmarkStart w:id="321" w:name="Tc_jL0yIUIf40C4MwxwWCTqzg_9_2"/>
      <w:bookmarkStart w:id="322" w:name="Tc_vuMcPpziL0SM6KBGpzT6lQ_9_0"/>
      <w:bookmarkStart w:id="323" w:name="Tc_7bVJ_zK1GUixpjKDD0AfqA_8_12"/>
      <w:bookmarkStart w:id="324" w:name="Tc_taoJsrYtekihm9GS-nMNxA_8_9"/>
      <w:bookmarkStart w:id="325" w:name="Tc_nIKF5DccrkGzMLYnhACgLQ_8_6"/>
      <w:bookmarkStart w:id="326" w:name="Tc_1gnlCXwGjE-J7nrNFZyRzQ_8_3"/>
      <w:bookmarkStart w:id="327" w:name="Tc_e5WPq-xG6UyXZUfJy2JVxg_8_0"/>
      <w:bookmarkStart w:id="328" w:name="Tc_3dGFe-Z9uE6UyxulM7uWeA_7_15"/>
      <w:bookmarkStart w:id="329" w:name="Tc_L_g9eLUGHkOpStG8Y1lonQ_7_9"/>
      <w:bookmarkStart w:id="330" w:name="Tc_H5EI_jLAV0ClxhQ-otpTuw_7_6"/>
      <w:bookmarkStart w:id="331" w:name="Tc_KrTG0ZQf2kG3QmcF0RdI_g_7_3"/>
      <w:bookmarkStart w:id="332" w:name="Tc_jwzaKifqLE6aDHMpSdWe0A_7_0"/>
      <w:bookmarkStart w:id="333" w:name="Tc_ZxNkn6roS0SOyDf5GFB2ig_6_21"/>
      <w:bookmarkStart w:id="334" w:name="Tc__pK0rFjGDkS2F27w7YF6UQ_6_15"/>
      <w:bookmarkStart w:id="335" w:name="Tc_S2soUdYZakqXr2jPVOGzbg_6_9"/>
      <w:bookmarkStart w:id="336" w:name="Tc_ePdoX76sTE253uCFngQ3Kg_6_6"/>
      <w:bookmarkStart w:id="337" w:name="Tc_z_ovJezdVESWKgYfhP3c9A_6_3"/>
      <w:bookmarkStart w:id="338" w:name="Tc_P0-NQY5enEGBQ4cc1GEwHg_6_0"/>
      <w:bookmarkStart w:id="339" w:name="Tc_NrW9pzngck-hw-I0hmol5Q_5_21"/>
      <w:bookmarkStart w:id="340" w:name="Tc_46J66H-jeUeCg0_T7_liLQ_5_15"/>
      <w:bookmarkStart w:id="341" w:name="Tc_EvC02GEI9Euhb84-D0-okQ_5_12"/>
      <w:bookmarkStart w:id="342" w:name="Tc_F1uzigspM0GYjhLi6aLPAw_5_0"/>
      <w:bookmarkStart w:id="343" w:name="Tc__p8Hg7WoJUy9h-W9e0vACA_4_21"/>
      <w:bookmarkStart w:id="344" w:name="Tc_kdVfUw7bfkaDsPDu7EOwtQ_4_15"/>
      <w:bookmarkStart w:id="345" w:name="Tc_jKcLfmYkqUe9h4mNTCZbpQ_4_12"/>
      <w:bookmarkStart w:id="346" w:name="Tc_t-7pC96GIUO6m9JIiIRylw_4_6"/>
      <w:bookmarkStart w:id="347" w:name="Tc_THe01ag8mE680u-Eh-Y9Nw_4_3"/>
      <w:bookmarkStart w:id="348" w:name="Tc_-tbKQOlwb0-hTJeMUCeBOg_4_0"/>
      <w:bookmarkStart w:id="349" w:name="Tc_NY7QDsNm7U6gtvZAnDw0xA_3_15"/>
      <w:bookmarkStart w:id="350" w:name="Tc_SOtKALpYvEOxuWp0Z6_piQ_3_9"/>
      <w:bookmarkStart w:id="351" w:name="Tc_DVMomaWE-ECKP7rD0z8dSQ_3_6"/>
      <w:bookmarkStart w:id="352" w:name="Tc_VEjew8RpD0uy8YmnB7o0BA_3_3"/>
      <w:bookmarkStart w:id="353" w:name="Tc_42e7nA-cxUKb3wDKMRJ3Vg_3_0"/>
      <w:bookmarkStart w:id="354" w:name="Tc_AU1V66as8UyqrPazJPmExg_2_23"/>
      <w:bookmarkStart w:id="355" w:name="Tc_qGEblQY4TEGp5ca33p1UpA_2_20"/>
      <w:bookmarkStart w:id="356" w:name="Tc__w0ktyPQuEKVKQLpQIhhUA_2_17"/>
      <w:bookmarkStart w:id="357" w:name="Tc_168kh7rD5UaXphEnv9LnEw_2_14"/>
      <w:bookmarkStart w:id="358" w:name="Tc_4hsIVSCOA0e60_6pwZYckw_2_11"/>
      <w:bookmarkStart w:id="359" w:name="Tc_poXrGoT76E-dGHu_8iBJZA_2_8"/>
      <w:bookmarkStart w:id="360" w:name="Tc_cof9yEkqeki_HjMH16ArFg_2_5"/>
      <w:bookmarkStart w:id="361" w:name="Tc_S11VJthAu0yZN4ebvLVQUg_2_2"/>
      <w:bookmarkStart w:id="362" w:name="Tc_BVf0iyU5KkK9WPNgvE1pRg_2_0"/>
      <w:bookmarkStart w:id="363" w:name="Tc_VR2nq-t0Xkm4B19GnJZUSg_1_23"/>
      <w:bookmarkStart w:id="364" w:name="Tc_dGrjX9LiTEuiRNGgIr3ejQ_1_20"/>
      <w:bookmarkStart w:id="365" w:name="Tc_Vlu3XpI84k2AtmfluvHpLA_1_17"/>
      <w:bookmarkStart w:id="366" w:name="Tc_BhZWgudTR0CrP80fO-4LxQ_1_14"/>
      <w:bookmarkStart w:id="367" w:name="Tc_bbELpsP9-k28mj1CC5Tcmg_1_11"/>
      <w:bookmarkStart w:id="368" w:name="Tc_yYUu9LB3bE22f7CgU4th9w_1_8"/>
      <w:bookmarkStart w:id="369" w:name="Tc_7PIIWBTbfkCienRqUXp8WQ_1_5"/>
      <w:bookmarkStart w:id="370" w:name="Tc_km1zZ0ZBBUOseDCVi7vasw_1_2"/>
      <w:bookmarkStart w:id="371" w:name="_fad1320e_d93d_4b51_b3df_b37b4a471fac"/>
      <w:bookmarkStart w:id="372" w:name="Tc_gDIGbEixmUepgls9HoFr4Q_9_23"/>
      <w:bookmarkStart w:id="373" w:name="Tc_mzkn_L51Rk6pYPfW0GmHDQ_9_20"/>
      <w:bookmarkStart w:id="374" w:name="Tc_CTD0b6mIzEK8hujEybzaDA_9_17"/>
      <w:bookmarkStart w:id="375" w:name="Tc_mnrBtD6n-USby8OU95Fvow_9_14"/>
      <w:bookmarkStart w:id="376" w:name="Tc_92Wk3GvdOkS65KINyDKzLA_9_11"/>
      <w:bookmarkStart w:id="377" w:name="Tc_QroKJMN9jE29WEMfU7FznQ_9_8"/>
      <w:bookmarkStart w:id="378" w:name="Tc_fblq_e3660KJLhuhbhP7Mw_9_5"/>
      <w:bookmarkStart w:id="379" w:name="Tc_jL0yIUIf40C4MwxwWCTqzg_9_2"/>
      <w:bookmarkStart w:id="380" w:name="Tc_vuMcPpziL0SM6KBGpzT6lQ_9_0"/>
      <w:bookmarkStart w:id="381" w:name="Tc_7bVJ_zK1GUixpjKDD0AfqA_8_12"/>
      <w:bookmarkStart w:id="382" w:name="Tc_taoJsrYtekihm9GS-nMNxA_8_9"/>
      <w:bookmarkStart w:id="383" w:name="Tc_nIKF5DccrkGzMLYnhACgLQ_8_6"/>
      <w:bookmarkStart w:id="384" w:name="Tc_1gnlCXwGjE-J7nrNFZyRzQ_8_3"/>
      <w:bookmarkStart w:id="385" w:name="Tc_e5WPq-xG6UyXZUfJy2JVxg_8_0"/>
      <w:bookmarkStart w:id="386" w:name="Tc_3dGFe-Z9uE6UyxulM7uWeA_7_15"/>
      <w:bookmarkStart w:id="387" w:name="Tc_L_g9eLUGHkOpStG8Y1lonQ_7_9"/>
      <w:bookmarkStart w:id="388" w:name="Tc_H5EI_jLAV0ClxhQ-otpTuw_7_6"/>
      <w:bookmarkStart w:id="389" w:name="Tc_KrTG0ZQf2kG3QmcF0RdI_g_7_3"/>
      <w:bookmarkStart w:id="390" w:name="Tc_jwzaKifqLE6aDHMpSdWe0A_7_0"/>
      <w:bookmarkStart w:id="391" w:name="Tc_ZxNkn6roS0SOyDf5GFB2ig_6_21"/>
      <w:bookmarkStart w:id="392" w:name="Tc__pK0rFjGDkS2F27w7YF6UQ_6_15"/>
      <w:bookmarkStart w:id="393" w:name="Tc_S2soUdYZakqXr2jPVOGzbg_6_9"/>
      <w:bookmarkStart w:id="394" w:name="Tc_ePdoX76sTE253uCFngQ3Kg_6_6"/>
      <w:bookmarkStart w:id="395" w:name="Tc_z_ovJezdVESWKgYfhP3c9A_6_3"/>
      <w:bookmarkStart w:id="396" w:name="Tc_P0-NQY5enEGBQ4cc1GEwHg_6_0"/>
      <w:bookmarkStart w:id="397" w:name="Tc_NrW9pzngck-hw-I0hmol5Q_5_21"/>
      <w:bookmarkStart w:id="398" w:name="Tc_46J66H-jeUeCg0_T7_liLQ_5_15"/>
      <w:bookmarkStart w:id="399" w:name="Tc_EvC02GEI9Euhb84-D0-okQ_5_12"/>
      <w:bookmarkStart w:id="400" w:name="Tc_F1uzigspM0GYjhLi6aLPAw_5_0"/>
      <w:bookmarkStart w:id="401" w:name="Tc__p8Hg7WoJUy9h-W9e0vACA_4_21"/>
      <w:bookmarkStart w:id="402" w:name="Tc_kdVfUw7bfkaDsPDu7EOwtQ_4_15"/>
      <w:bookmarkStart w:id="403" w:name="Tc_jKcLfmYkqUe9h4mNTCZbpQ_4_12"/>
      <w:bookmarkStart w:id="404" w:name="Tc_t-7pC96GIUO6m9JIiIRylw_4_6"/>
      <w:bookmarkStart w:id="405" w:name="Tc_THe01ag8mE680u-Eh-Y9Nw_4_3"/>
      <w:bookmarkStart w:id="406" w:name="Tc_-tbKQOlwb0-hTJeMUCeBOg_4_0"/>
      <w:bookmarkStart w:id="407" w:name="Tc_NY7QDsNm7U6gtvZAnDw0xA_3_15"/>
      <w:bookmarkStart w:id="408" w:name="Tc_SOtKALpYvEOxuWp0Z6_piQ_3_9"/>
      <w:bookmarkStart w:id="409" w:name="Tc_DVMomaWE-ECKP7rD0z8dSQ_3_6"/>
      <w:bookmarkStart w:id="410" w:name="Tc_VEjew8RpD0uy8YmnB7o0BA_3_3"/>
      <w:bookmarkStart w:id="411" w:name="Tc_42e7nA-cxUKb3wDKMRJ3Vg_3_0"/>
      <w:bookmarkStart w:id="412" w:name="Tc_AU1V66as8UyqrPazJPmExg_2_23"/>
      <w:bookmarkStart w:id="413" w:name="Tc_qGEblQY4TEGp5ca33p1UpA_2_20"/>
      <w:bookmarkStart w:id="414" w:name="Tc__w0ktyPQuEKVKQLpQIhhUA_2_17"/>
      <w:bookmarkStart w:id="415" w:name="Tc_168kh7rD5UaXphEnv9LnEw_2_14"/>
      <w:bookmarkStart w:id="416" w:name="Tc_4hsIVSCOA0e60_6pwZYckw_2_11"/>
      <w:bookmarkStart w:id="417" w:name="Tc_poXrGoT76E-dGHu_8iBJZA_2_8"/>
      <w:bookmarkStart w:id="418" w:name="Tc_cof9yEkqeki_HjMH16ArFg_2_5"/>
      <w:bookmarkStart w:id="419" w:name="Tc_S11VJthAu0yZN4ebvLVQUg_2_2"/>
      <w:bookmarkStart w:id="420" w:name="Tc_BVf0iyU5KkK9WPNgvE1pRg_2_0"/>
      <w:bookmarkStart w:id="421" w:name="Tc_VR2nq-t0Xkm4B19GnJZUSg_1_23"/>
      <w:bookmarkStart w:id="422" w:name="Tc_dGrjX9LiTEuiRNGgIr3ejQ_1_20"/>
      <w:bookmarkStart w:id="423" w:name="Tc_Vlu3XpI84k2AtmfluvHpLA_1_17"/>
      <w:bookmarkStart w:id="424" w:name="Tc_BhZWgudTR0CrP80fO-4LxQ_1_14"/>
      <w:bookmarkStart w:id="425" w:name="Tc_bbELpsP9-k28mj1CC5Tcmg_1_11"/>
      <w:bookmarkStart w:id="426" w:name="Tc_yYUu9LB3bE22f7CgU4th9w_1_8"/>
      <w:bookmarkStart w:id="427" w:name="Tc_7PIIWBTbfkCienRqUXp8WQ_1_5"/>
      <w:bookmarkStart w:id="428" w:name="Tc_km1zZ0ZBBUOseDCVi7vasw_1_2"/>
      <w:bookmarkStart w:id="429" w:name="_fad1320e_d93d_4b51_b3df_b37b4a471fac"/>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p>
    <w:tbl>
      <w:tblPr>
        <w:tblW w:w="11598" w:type="dxa"/>
        <w:jc w:val="left"/>
        <w:tblInd w:w="0" w:type="dxa"/>
        <w:tblLayout w:type="fixed"/>
        <w:tblCellMar>
          <w:top w:w="0" w:type="dxa"/>
          <w:left w:w="0" w:type="dxa"/>
          <w:bottom w:w="0" w:type="dxa"/>
          <w:right w:w="0" w:type="dxa"/>
        </w:tblCellMar>
      </w:tblPr>
      <w:tblGrid>
        <w:gridCol w:w="1231"/>
        <w:gridCol w:w="109"/>
        <w:gridCol w:w="298"/>
        <w:gridCol w:w="528"/>
        <w:gridCol w:w="346"/>
        <w:gridCol w:w="283"/>
        <w:gridCol w:w="543"/>
        <w:gridCol w:w="286"/>
        <w:gridCol w:w="205"/>
        <w:gridCol w:w="726"/>
        <w:gridCol w:w="286"/>
        <w:gridCol w:w="196"/>
        <w:gridCol w:w="690"/>
        <w:gridCol w:w="286"/>
        <w:gridCol w:w="362"/>
        <w:gridCol w:w="944"/>
        <w:gridCol w:w="286"/>
        <w:gridCol w:w="255"/>
        <w:gridCol w:w="901"/>
        <w:gridCol w:w="286"/>
        <w:gridCol w:w="310"/>
        <w:gridCol w:w="951"/>
        <w:gridCol w:w="286"/>
        <w:gridCol w:w="196"/>
        <w:gridCol w:w="808"/>
      </w:tblGrid>
      <w:tr>
        <w:trPr/>
        <w:tc>
          <w:tcPr>
            <w:tcW w:w="1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781685" cy="175260"/>
                      <wp:effectExtent l="0" t="0" r="0" b="0"/>
                      <wp:wrapNone/>
                      <wp:docPr id="30" name="Frame30"/>
                      <a:graphic xmlns:a="http://schemas.openxmlformats.org/drawingml/2006/main">
                        <a:graphicData uri="http://schemas.microsoft.com/office/word/2010/wordprocessingShape">
                          <wps:wsp>
                            <wps:cNvSpPr txBox="1"/>
                            <wps:spPr>
                              <a:xfrm>
                                <a:off x="0" y="0"/>
                                <a:ext cx="781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9215" cy="175260"/>
                      <wp:effectExtent l="0" t="0" r="0" b="0"/>
                      <wp:wrapNone/>
                      <wp:docPr id="31" name="Frame3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189230" cy="175260"/>
                      <wp:effectExtent l="0" t="0" r="0" b="0"/>
                      <wp:wrapNone/>
                      <wp:docPr id="32" name="Frame32"/>
                      <a:graphic xmlns:a="http://schemas.openxmlformats.org/drawingml/2006/main">
                        <a:graphicData uri="http://schemas.microsoft.com/office/word/2010/wordprocessingShape">
                          <wps:wsp>
                            <wps:cNvSpPr txBox="1"/>
                            <wps:spPr>
                              <a:xfrm>
                                <a:off x="0" y="0"/>
                                <a:ext cx="1892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335280" cy="175260"/>
                      <wp:effectExtent l="0" t="0" r="0" b="0"/>
                      <wp:wrapNone/>
                      <wp:docPr id="33" name="Frame33"/>
                      <a:graphic xmlns:a="http://schemas.openxmlformats.org/drawingml/2006/main">
                        <a:graphicData uri="http://schemas.microsoft.com/office/word/2010/wordprocessingShape">
                          <wps:wsp>
                            <wps:cNvSpPr txBox="1"/>
                            <wps:spPr>
                              <a:xfrm>
                                <a:off x="0" y="0"/>
                                <a:ext cx="3352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219710" cy="175260"/>
                      <wp:effectExtent l="0" t="0" r="0" b="0"/>
                      <wp:wrapNone/>
                      <wp:docPr id="34" name="Frame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179705" cy="175260"/>
                      <wp:effectExtent l="0" t="0" r="0" b="0"/>
                      <wp:wrapNone/>
                      <wp:docPr id="35" name="Frame35"/>
                      <a:graphic xmlns:a="http://schemas.openxmlformats.org/drawingml/2006/main">
                        <a:graphicData uri="http://schemas.microsoft.com/office/word/2010/wordprocessingShape">
                          <wps:wsp>
                            <wps:cNvSpPr txBox="1"/>
                            <wps:spPr>
                              <a:xfrm>
                                <a:off x="0" y="0"/>
                                <a:ext cx="1797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344805" cy="175260"/>
                      <wp:effectExtent l="0" t="0" r="0" b="0"/>
                      <wp:wrapNone/>
                      <wp:docPr id="36" name="Frame36"/>
                      <a:graphic xmlns:a="http://schemas.openxmlformats.org/drawingml/2006/main">
                        <a:graphicData uri="http://schemas.microsoft.com/office/word/2010/wordprocessingShape">
                          <wps:wsp>
                            <wps:cNvSpPr txBox="1"/>
                            <wps:spPr>
                              <a:xfrm>
                                <a:off x="0" y="0"/>
                                <a:ext cx="3448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181610" cy="175260"/>
                      <wp:effectExtent l="0" t="0" r="0" b="0"/>
                      <wp:wrapNone/>
                      <wp:docPr id="37" name="Frame37"/>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130175" cy="175260"/>
                      <wp:effectExtent l="0" t="0" r="0" b="0"/>
                      <wp:wrapNone/>
                      <wp:docPr id="38" name="Frame38"/>
                      <a:graphic xmlns:a="http://schemas.openxmlformats.org/drawingml/2006/main">
                        <a:graphicData uri="http://schemas.microsoft.com/office/word/2010/wordprocessingShape">
                          <wps:wsp>
                            <wps:cNvSpPr txBox="1"/>
                            <wps:spPr>
                              <a:xfrm>
                                <a:off x="0" y="0"/>
                                <a:ext cx="1301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461010" cy="175260"/>
                      <wp:effectExtent l="0" t="0" r="0" b="0"/>
                      <wp:wrapNone/>
                      <wp:docPr id="39" name="Frame39"/>
                      <a:graphic xmlns:a="http://schemas.openxmlformats.org/drawingml/2006/main">
                        <a:graphicData uri="http://schemas.microsoft.com/office/word/2010/wordprocessingShape">
                          <wps:wsp>
                            <wps:cNvSpPr txBox="1"/>
                            <wps:spPr>
                              <a:xfrm>
                                <a:off x="0" y="0"/>
                                <a:ext cx="461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181610" cy="175260"/>
                      <wp:effectExtent l="0" t="0" r="0" b="0"/>
                      <wp:wrapNone/>
                      <wp:docPr id="40" name="Frame40"/>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124460" cy="175260"/>
                      <wp:effectExtent l="0" t="0" r="0" b="0"/>
                      <wp:wrapNone/>
                      <wp:docPr id="41" name="Frame4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438150" cy="175260"/>
                      <wp:effectExtent l="0" t="0" r="0" b="0"/>
                      <wp:wrapNone/>
                      <wp:docPr id="42" name="Frame42"/>
                      <a:graphic xmlns:a="http://schemas.openxmlformats.org/drawingml/2006/main">
                        <a:graphicData uri="http://schemas.microsoft.com/office/word/2010/wordprocessingShape">
                          <wps:wsp>
                            <wps:cNvSpPr txBox="1"/>
                            <wps:spPr>
                              <a:xfrm>
                                <a:off x="0" y="0"/>
                                <a:ext cx="4381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181610" cy="175260"/>
                      <wp:effectExtent l="0" t="0" r="0" b="0"/>
                      <wp:wrapNone/>
                      <wp:docPr id="43" name="Frame43"/>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229870" cy="175260"/>
                      <wp:effectExtent l="0" t="0" r="0" b="0"/>
                      <wp:wrapNone/>
                      <wp:docPr id="44" name="Frame44"/>
                      <a:graphic xmlns:a="http://schemas.openxmlformats.org/drawingml/2006/main">
                        <a:graphicData uri="http://schemas.microsoft.com/office/word/2010/wordprocessingShape">
                          <wps:wsp>
                            <wps:cNvSpPr txBox="1"/>
                            <wps:spPr>
                              <a:xfrm>
                                <a:off x="0" y="0"/>
                                <a:ext cx="2298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599440" cy="175260"/>
                      <wp:effectExtent l="0" t="0" r="0" b="0"/>
                      <wp:wrapNone/>
                      <wp:docPr id="45" name="Frame45"/>
                      <a:graphic xmlns:a="http://schemas.openxmlformats.org/drawingml/2006/main">
                        <a:graphicData uri="http://schemas.microsoft.com/office/word/2010/wordprocessingShape">
                          <wps:wsp>
                            <wps:cNvSpPr txBox="1"/>
                            <wps:spPr>
                              <a:xfrm>
                                <a:off x="0" y="0"/>
                                <a:ext cx="5994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181610" cy="175260"/>
                      <wp:effectExtent l="0" t="0" r="0" b="0"/>
                      <wp:wrapNone/>
                      <wp:docPr id="46" name="Frame46"/>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161925" cy="175260"/>
                      <wp:effectExtent l="0" t="0" r="0" b="0"/>
                      <wp:wrapNone/>
                      <wp:docPr id="47" name="Frame47"/>
                      <a:graphic xmlns:a="http://schemas.openxmlformats.org/drawingml/2006/main">
                        <a:graphicData uri="http://schemas.microsoft.com/office/word/2010/wordprocessingShape">
                          <wps:wsp>
                            <wps:cNvSpPr txBox="1"/>
                            <wps:spPr>
                              <a:xfrm>
                                <a:off x="0" y="0"/>
                                <a:ext cx="1619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572135" cy="175260"/>
                      <wp:effectExtent l="0" t="0" r="0" b="0"/>
                      <wp:wrapNone/>
                      <wp:docPr id="48" name="Frame48"/>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181610" cy="175260"/>
                      <wp:effectExtent l="0" t="0" r="0" b="0"/>
                      <wp:wrapNone/>
                      <wp:docPr id="49" name="Frame49"/>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196850" cy="175260"/>
                      <wp:effectExtent l="0" t="0" r="0" b="0"/>
                      <wp:wrapNone/>
                      <wp:docPr id="50" name="Frame50"/>
                      <a:graphic xmlns:a="http://schemas.openxmlformats.org/drawingml/2006/main">
                        <a:graphicData uri="http://schemas.microsoft.com/office/word/2010/wordprocessingShape">
                          <wps:wsp>
                            <wps:cNvSpPr txBox="1"/>
                            <wps:spPr>
                              <a:xfrm>
                                <a:off x="0" y="0"/>
                                <a:ext cx="1968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03885" cy="175260"/>
                      <wp:effectExtent l="0" t="0" r="0" b="0"/>
                      <wp:wrapNone/>
                      <wp:docPr id="51" name="Frame51"/>
                      <a:graphic xmlns:a="http://schemas.openxmlformats.org/drawingml/2006/main">
                        <a:graphicData uri="http://schemas.microsoft.com/office/word/2010/wordprocessingShape">
                          <wps:wsp>
                            <wps:cNvSpPr txBox="1"/>
                            <wps:spPr>
                              <a:xfrm>
                                <a:off x="0" y="0"/>
                                <a:ext cx="603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181610" cy="175260"/>
                      <wp:effectExtent l="0" t="0" r="0" b="0"/>
                      <wp:wrapNone/>
                      <wp:docPr id="52" name="Frame52"/>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124460" cy="175260"/>
                      <wp:effectExtent l="0" t="0" r="0" b="0"/>
                      <wp:wrapNone/>
                      <wp:docPr id="53" name="Frame5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513080" cy="175260"/>
                      <wp:effectExtent l="0" t="0" r="0" b="0"/>
                      <wp:wrapNone/>
                      <wp:docPr id="54" name="Frame54"/>
                      <a:graphic xmlns:a="http://schemas.openxmlformats.org/drawingml/2006/main">
                        <a:graphicData uri="http://schemas.microsoft.com/office/word/2010/wordprocessingShape">
                          <wps:wsp>
                            <wps:cNvSpPr txBox="1"/>
                            <wps:spPr>
                              <a:xfrm>
                                <a:off x="0" y="0"/>
                                <a:ext cx="5130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3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8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Preferred Stock at Par</w:t>
            </w:r>
          </w:p>
        </w:tc>
        <w:tc>
          <w:tcPr>
            <w:tcW w:w="346" w:type="dxa"/>
            <w:tcBorders/>
            <w:vAlign w:val="center"/>
          </w:tcPr>
          <w:p>
            <w:pPr>
              <w:pStyle w:val="TableContents"/>
              <w:bidi w:val="0"/>
              <w:spacing w:before="0" w:after="0"/>
              <w:ind w:left="0" w:right="0" w:hanging="0"/>
              <w:jc w:val="center"/>
              <w:rPr/>
            </w:pPr>
            <w:r>
              <w:rPr/>
              <w:t>  ​ ​ ​</w:t>
            </w:r>
          </w:p>
        </w:tc>
        <w:tc>
          <w:tcPr>
            <w:tcW w:w="8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Common Stock at Par</w:t>
            </w:r>
          </w:p>
        </w:tc>
        <w:tc>
          <w:tcPr>
            <w:tcW w:w="286" w:type="dxa"/>
            <w:tcBorders/>
            <w:vAlign w:val="center"/>
          </w:tcPr>
          <w:p>
            <w:pPr>
              <w:pStyle w:val="TableContents"/>
              <w:bidi w:val="0"/>
              <w:spacing w:before="0" w:after="0"/>
              <w:ind w:left="0" w:right="0" w:hanging="0"/>
              <w:jc w:val="center"/>
              <w:rPr/>
            </w:pPr>
            <w:r>
              <w:rPr/>
              <w:t>  ​ ​</w:t>
            </w:r>
          </w:p>
        </w:tc>
        <w:tc>
          <w:tcPr>
            <w:tcW w:w="9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Additional Paid-in Capital</w:t>
            </w:r>
          </w:p>
        </w:tc>
        <w:tc>
          <w:tcPr>
            <w:tcW w:w="286" w:type="dxa"/>
            <w:tcBorders/>
            <w:vAlign w:val="center"/>
          </w:tcPr>
          <w:p>
            <w:pPr>
              <w:pStyle w:val="TableContents"/>
              <w:bidi w:val="0"/>
              <w:spacing w:before="0" w:after="0"/>
              <w:ind w:left="0" w:right="0" w:hanging="0"/>
              <w:jc w:val="center"/>
              <w:rPr/>
            </w:pPr>
            <w:r>
              <w:rPr/>
              <w:t>  ​ ​</w:t>
            </w:r>
          </w:p>
        </w:tc>
        <w:tc>
          <w:tcPr>
            <w:tcW w:w="8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Dividends in Excess of Net Income</w:t>
            </w:r>
          </w:p>
        </w:tc>
        <w:tc>
          <w:tcPr>
            <w:tcW w:w="286" w:type="dxa"/>
            <w:tcBorders/>
            <w:vAlign w:val="center"/>
          </w:tcPr>
          <w:p>
            <w:pPr>
              <w:pStyle w:val="TableContents"/>
              <w:bidi w:val="0"/>
              <w:spacing w:before="0" w:after="0"/>
              <w:ind w:left="0" w:right="0" w:hanging="0"/>
              <w:jc w:val="center"/>
              <w:rPr/>
            </w:pPr>
            <w:r>
              <w:rPr/>
              <w:t>  ​ ​</w:t>
            </w:r>
          </w:p>
        </w:tc>
        <w:tc>
          <w:tcPr>
            <w:tcW w:w="13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Accumulated Other Comprehensive Income</w:t>
            </w:r>
          </w:p>
        </w:tc>
        <w:tc>
          <w:tcPr>
            <w:tcW w:w="286" w:type="dxa"/>
            <w:tcBorders/>
            <w:vAlign w:val="center"/>
          </w:tcPr>
          <w:p>
            <w:pPr>
              <w:pStyle w:val="TableContents"/>
              <w:bidi w:val="0"/>
              <w:spacing w:before="0" w:after="0"/>
              <w:ind w:left="0" w:right="0" w:hanging="0"/>
              <w:jc w:val="center"/>
              <w:rPr/>
            </w:pPr>
            <w:r>
              <w:rPr/>
              <w:t>  ​ ​</w:t>
            </w:r>
          </w:p>
        </w:tc>
        <w:tc>
          <w:tcPr>
            <w:tcW w:w="115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Stockholders' Equity</w:t>
            </w:r>
          </w:p>
        </w:tc>
        <w:tc>
          <w:tcPr>
            <w:tcW w:w="286" w:type="dxa"/>
            <w:tcBorders/>
            <w:vAlign w:val="center"/>
          </w:tcPr>
          <w:p>
            <w:pPr>
              <w:pStyle w:val="TableContents"/>
              <w:bidi w:val="0"/>
              <w:spacing w:before="0" w:after="0"/>
              <w:ind w:left="0" w:right="0" w:hanging="0"/>
              <w:jc w:val="center"/>
              <w:rPr/>
            </w:pPr>
            <w:r>
              <w:rPr/>
              <w:t>  ​ ​</w:t>
            </w:r>
          </w:p>
        </w:tc>
        <w:tc>
          <w:tcPr>
            <w:tcW w:w="12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Noncontrolling Interest</w:t>
            </w:r>
          </w:p>
        </w:tc>
        <w:tc>
          <w:tcPr>
            <w:tcW w:w="286" w:type="dxa"/>
            <w:tcBorders/>
            <w:vAlign w:val="center"/>
          </w:tcPr>
          <w:p>
            <w:pPr>
              <w:pStyle w:val="TableContents"/>
              <w:bidi w:val="0"/>
              <w:spacing w:before="0" w:after="0"/>
              <w:ind w:left="0" w:right="0" w:hanging="0"/>
              <w:jc w:val="center"/>
              <w:rPr/>
            </w:pPr>
            <w:r>
              <w:rPr/>
              <w:t>  ​ ​</w:t>
            </w:r>
          </w:p>
        </w:tc>
        <w:tc>
          <w:tcPr>
            <w:tcW w:w="100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Total Equity</w:t>
            </w:r>
          </w:p>
        </w:tc>
      </w:tr>
      <w:tr>
        <w:trPr/>
        <w:tc>
          <w:tcPr>
            <w:tcW w:w="123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Balance April 1, 2026</w:t>
            </w:r>
          </w:p>
        </w:tc>
        <w:tc>
          <w:tcPr>
            <w:tcW w:w="109" w:type="dxa"/>
            <w:tcBorders/>
            <w:shd w:fill="CCEEFF" w:val="clear"/>
            <w:vAlign w:val="center"/>
          </w:tcPr>
          <w:p>
            <w:pPr>
              <w:pStyle w:val="TableContents"/>
              <w:bidi w:val="0"/>
              <w:spacing w:before="0" w:after="0"/>
              <w:ind w:left="0" w:right="0" w:hanging="0"/>
              <w:jc w:val="left"/>
              <w:rPr/>
            </w:pPr>
            <w:r>
              <w:rPr/>
              <w:t>​</w:t>
            </w:r>
          </w:p>
        </w:tc>
        <w:tc>
          <w:tcPr>
            <w:tcW w:w="298"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2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w:t>
            </w:r>
          </w:p>
        </w:tc>
        <w:tc>
          <w:tcPr>
            <w:tcW w:w="346" w:type="dxa"/>
            <w:tcBorders/>
            <w:shd w:fill="CCEEFF" w:val="clear"/>
            <w:vAlign w:val="center"/>
          </w:tcPr>
          <w:p>
            <w:pPr>
              <w:pStyle w:val="TableContents"/>
              <w:bidi w:val="0"/>
              <w:spacing w:before="0" w:after="0"/>
              <w:ind w:left="0" w:right="0" w:hanging="0"/>
              <w:jc w:val="left"/>
              <w:rPr/>
            </w:pPr>
            <w:r>
              <w:rPr/>
              <w:t>​</w:t>
            </w:r>
          </w:p>
        </w:tc>
        <w:tc>
          <w:tcPr>
            <w:tcW w:w="283"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4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165</w:t>
            </w:r>
          </w:p>
        </w:tc>
        <w:tc>
          <w:tcPr>
            <w:tcW w:w="286" w:type="dxa"/>
            <w:tcBorders/>
            <w:shd w:fill="CCEEFF" w:val="clear"/>
            <w:vAlign w:val="center"/>
          </w:tcPr>
          <w:p>
            <w:pPr>
              <w:pStyle w:val="TableContents"/>
              <w:bidi w:val="0"/>
              <w:spacing w:before="0" w:after="0"/>
              <w:ind w:left="0" w:right="0" w:hanging="0"/>
              <w:jc w:val="left"/>
              <w:rPr/>
            </w:pPr>
            <w:r>
              <w:rPr/>
              <w:t>​</w:t>
            </w:r>
          </w:p>
        </w:tc>
        <w:tc>
          <w:tcPr>
            <w:tcW w:w="20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349,884</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(39,120)</w:t>
            </w:r>
          </w:p>
        </w:tc>
        <w:tc>
          <w:tcPr>
            <w:tcW w:w="286" w:type="dxa"/>
            <w:tcBorders/>
            <w:shd w:fill="CCEEFF" w:val="clear"/>
            <w:vAlign w:val="center"/>
          </w:tcPr>
          <w:p>
            <w:pPr>
              <w:pStyle w:val="TableContents"/>
              <w:bidi w:val="0"/>
              <w:spacing w:before="0" w:after="0"/>
              <w:ind w:left="0" w:right="0" w:hanging="0"/>
              <w:jc w:val="right"/>
              <w:rPr/>
            </w:pPr>
            <w:r>
              <w:rPr/>
              <w:t>​</w:t>
            </w:r>
          </w:p>
        </w:tc>
        <w:tc>
          <w:tcPr>
            <w:tcW w:w="36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4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1,509</w:t>
            </w:r>
          </w:p>
        </w:tc>
        <w:tc>
          <w:tcPr>
            <w:tcW w:w="286"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312,461</w:t>
            </w:r>
          </w:p>
        </w:tc>
        <w:tc>
          <w:tcPr>
            <w:tcW w:w="286"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5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21,201</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0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333,662</w:t>
            </w:r>
          </w:p>
        </w:tc>
      </w:tr>
      <w:tr>
        <w:trPr/>
        <w:tc>
          <w:tcPr>
            <w:tcW w:w="123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Income</w:t>
            </w:r>
          </w:p>
        </w:tc>
        <w:tc>
          <w:tcPr>
            <w:tcW w:w="109" w:type="dxa"/>
            <w:tcBorders/>
            <w:vAlign w:val="center"/>
          </w:tcPr>
          <w:p>
            <w:pPr>
              <w:pStyle w:val="TableContents"/>
              <w:bidi w:val="0"/>
              <w:spacing w:before="0" w:after="0"/>
              <w:ind w:left="0" w:right="0" w:hanging="0"/>
              <w:jc w:val="left"/>
              <w:rPr/>
            </w:pPr>
            <w:r>
              <w:rPr/>
              <w:t>​</w:t>
            </w:r>
          </w:p>
        </w:tc>
        <w:tc>
          <w:tcPr>
            <w:tcW w:w="298" w:type="dxa"/>
            <w:tcBorders/>
            <w:vAlign w:val="center"/>
          </w:tcPr>
          <w:p>
            <w:pPr>
              <w:pStyle w:val="TableContents"/>
              <w:bidi w:val="0"/>
              <w:spacing w:before="0" w:after="0"/>
              <w:ind w:left="0" w:right="0" w:hanging="0"/>
              <w:jc w:val="left"/>
              <w:rPr/>
            </w:pPr>
            <w:r>
              <w:rPr/>
              <w:t>​</w:t>
            </w:r>
          </w:p>
        </w:tc>
        <w:tc>
          <w:tcPr>
            <w:tcW w:w="52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83" w:type="dxa"/>
            <w:tcBorders/>
            <w:vAlign w:val="center"/>
          </w:tcPr>
          <w:p>
            <w:pPr>
              <w:pStyle w:val="TableContents"/>
              <w:bidi w:val="0"/>
              <w:spacing w:before="0" w:after="0"/>
              <w:ind w:left="0" w:right="0" w:hanging="0"/>
              <w:jc w:val="left"/>
              <w:rPr/>
            </w:pPr>
            <w:r>
              <w:rPr/>
              <w:t>​</w:t>
            </w:r>
          </w:p>
        </w:tc>
        <w:tc>
          <w:tcPr>
            <w:tcW w:w="543"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05" w:type="dxa"/>
            <w:tcBorders/>
            <w:vAlign w:val="center"/>
          </w:tcPr>
          <w:p>
            <w:pPr>
              <w:pStyle w:val="TableContents"/>
              <w:bidi w:val="0"/>
              <w:spacing w:before="0" w:after="0"/>
              <w:ind w:left="0" w:right="0" w:hanging="0"/>
              <w:jc w:val="left"/>
              <w:rPr/>
            </w:pPr>
            <w:r>
              <w:rPr/>
              <w:t>​</w:t>
            </w:r>
          </w:p>
        </w:tc>
        <w:tc>
          <w:tcPr>
            <w:tcW w:w="726"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4,191</w:t>
            </w:r>
          </w:p>
        </w:tc>
        <w:tc>
          <w:tcPr>
            <w:tcW w:w="286" w:type="dxa"/>
            <w:tcBorders/>
            <w:vAlign w:val="center"/>
          </w:tcPr>
          <w:p>
            <w:pPr>
              <w:pStyle w:val="TableContents"/>
              <w:bidi w:val="0"/>
              <w:spacing w:before="0" w:after="0"/>
              <w:ind w:left="0" w:right="0" w:hanging="0"/>
              <w:jc w:val="right"/>
              <w:rPr/>
            </w:pPr>
            <w:r>
              <w:rPr/>
              <w:t>​</w:t>
            </w:r>
          </w:p>
        </w:tc>
        <w:tc>
          <w:tcPr>
            <w:tcW w:w="362" w:type="dxa"/>
            <w:tcBorders/>
            <w:vAlign w:val="center"/>
          </w:tcPr>
          <w:p>
            <w:pPr>
              <w:pStyle w:val="TableContents"/>
              <w:bidi w:val="0"/>
              <w:spacing w:before="0" w:after="0"/>
              <w:ind w:left="0" w:right="0" w:hanging="0"/>
              <w:jc w:val="left"/>
              <w:rPr/>
            </w:pPr>
            <w:r>
              <w:rPr/>
              <w:t>​</w:t>
            </w:r>
          </w:p>
        </w:tc>
        <w:tc>
          <w:tcPr>
            <w:tcW w:w="944"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4,191</w:t>
            </w:r>
          </w:p>
        </w:tc>
        <w:tc>
          <w:tcPr>
            <w:tcW w:w="286"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left"/>
              <w:rPr/>
            </w:pPr>
            <w:r>
              <w:rPr/>
              <w:t>​</w:t>
            </w:r>
          </w:p>
        </w:tc>
        <w:tc>
          <w:tcPr>
            <w:tcW w:w="95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301</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0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4,492</w:t>
            </w:r>
          </w:p>
        </w:tc>
      </w:tr>
      <w:tr>
        <w:trPr/>
        <w:tc>
          <w:tcPr>
            <w:tcW w:w="123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Common Stock Issuances to Directors</w:t>
            </w:r>
          </w:p>
        </w:tc>
        <w:tc>
          <w:tcPr>
            <w:tcW w:w="109" w:type="dxa"/>
            <w:tcBorders/>
            <w:shd w:fill="CCEEFF" w:val="clear"/>
            <w:vAlign w:val="center"/>
          </w:tcPr>
          <w:p>
            <w:pPr>
              <w:pStyle w:val="TableContents"/>
              <w:bidi w:val="0"/>
              <w:spacing w:before="0" w:after="0"/>
              <w:ind w:left="0" w:right="0" w:hanging="0"/>
              <w:jc w:val="left"/>
              <w:rPr/>
            </w:pPr>
            <w:r>
              <w:rPr/>
              <w:t>​</w:t>
            </w:r>
          </w:p>
        </w:tc>
        <w:tc>
          <w:tcPr>
            <w:tcW w:w="298" w:type="dxa"/>
            <w:tcBorders/>
            <w:shd w:fill="CCEEFF" w:val="clear"/>
            <w:vAlign w:val="center"/>
          </w:tcPr>
          <w:p>
            <w:pPr>
              <w:pStyle w:val="TableContents"/>
              <w:bidi w:val="0"/>
              <w:spacing w:before="0" w:after="0"/>
              <w:ind w:left="0" w:right="0" w:hanging="0"/>
              <w:jc w:val="left"/>
              <w:rPr/>
            </w:pPr>
            <w:r>
              <w:rPr/>
              <w:t>​</w:t>
            </w:r>
          </w:p>
        </w:tc>
        <w:tc>
          <w:tcPr>
            <w:tcW w:w="52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83" w:type="dxa"/>
            <w:tcBorders/>
            <w:shd w:fill="CCEEFF" w:val="clear"/>
            <w:vAlign w:val="center"/>
          </w:tcPr>
          <w:p>
            <w:pPr>
              <w:pStyle w:val="TableContents"/>
              <w:bidi w:val="0"/>
              <w:spacing w:before="0" w:after="0"/>
              <w:ind w:left="0" w:right="0" w:hanging="0"/>
              <w:jc w:val="left"/>
              <w:rPr/>
            </w:pPr>
            <w:r>
              <w:rPr/>
              <w:t>​</w:t>
            </w:r>
          </w:p>
        </w:tc>
        <w:tc>
          <w:tcPr>
            <w:tcW w:w="543"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05" w:type="dxa"/>
            <w:tcBorders/>
            <w:shd w:fill="CCEEFF" w:val="clear"/>
            <w:vAlign w:val="center"/>
          </w:tcPr>
          <w:p>
            <w:pPr>
              <w:pStyle w:val="TableContents"/>
              <w:bidi w:val="0"/>
              <w:spacing w:before="0" w:after="0"/>
              <w:ind w:left="0" w:right="0" w:hanging="0"/>
              <w:jc w:val="left"/>
              <w:rPr/>
            </w:pPr>
            <w:r>
              <w:rPr/>
              <w:t>​</w:t>
            </w:r>
          </w:p>
        </w:tc>
        <w:tc>
          <w:tcPr>
            <w:tcW w:w="7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95</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0"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right"/>
              <w:rPr/>
            </w:pPr>
            <w:r>
              <w:rPr/>
              <w:t>​</w:t>
            </w:r>
          </w:p>
        </w:tc>
        <w:tc>
          <w:tcPr>
            <w:tcW w:w="362" w:type="dxa"/>
            <w:tcBorders/>
            <w:shd w:fill="CCEEFF" w:val="clear"/>
            <w:vAlign w:val="center"/>
          </w:tcPr>
          <w:p>
            <w:pPr>
              <w:pStyle w:val="TableContents"/>
              <w:bidi w:val="0"/>
              <w:spacing w:before="0" w:after="0"/>
              <w:ind w:left="0" w:right="0" w:hanging="0"/>
              <w:jc w:val="left"/>
              <w:rPr/>
            </w:pPr>
            <w:r>
              <w:rPr/>
              <w:t>​</w:t>
            </w:r>
          </w:p>
        </w:tc>
        <w:tc>
          <w:tcPr>
            <w:tcW w:w="944"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95</w:t>
            </w:r>
          </w:p>
        </w:tc>
        <w:tc>
          <w:tcPr>
            <w:tcW w:w="286"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left"/>
              <w:rPr/>
            </w:pPr>
            <w:r>
              <w:rPr/>
              <w:t>​</w:t>
            </w:r>
          </w:p>
        </w:tc>
        <w:tc>
          <w:tcPr>
            <w:tcW w:w="951"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0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95</w:t>
            </w:r>
          </w:p>
        </w:tc>
      </w:tr>
      <w:tr>
        <w:trPr/>
        <w:tc>
          <w:tcPr>
            <w:tcW w:w="123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Stock Issuance, Net of Equity Issuance Costs</w:t>
            </w:r>
          </w:p>
        </w:tc>
        <w:tc>
          <w:tcPr>
            <w:tcW w:w="109" w:type="dxa"/>
            <w:tcBorders/>
            <w:vAlign w:val="center"/>
          </w:tcPr>
          <w:p>
            <w:pPr>
              <w:pStyle w:val="TableContents"/>
              <w:bidi w:val="0"/>
              <w:spacing w:before="0" w:after="0"/>
              <w:ind w:left="0" w:right="0" w:hanging="0"/>
              <w:jc w:val="left"/>
              <w:rPr/>
            </w:pPr>
            <w:r>
              <w:rPr/>
              <w:t>​</w:t>
            </w:r>
          </w:p>
        </w:tc>
        <w:tc>
          <w:tcPr>
            <w:tcW w:w="298" w:type="dxa"/>
            <w:tcBorders/>
            <w:vAlign w:val="center"/>
          </w:tcPr>
          <w:p>
            <w:pPr>
              <w:pStyle w:val="TableContents"/>
              <w:bidi w:val="0"/>
              <w:spacing w:before="0" w:after="0"/>
              <w:ind w:left="0" w:right="0" w:hanging="0"/>
              <w:jc w:val="left"/>
              <w:rPr/>
            </w:pPr>
            <w:r>
              <w:rPr/>
              <w:t>​</w:t>
            </w:r>
          </w:p>
        </w:tc>
        <w:tc>
          <w:tcPr>
            <w:tcW w:w="52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w:t>
            </w:r>
          </w:p>
        </w:tc>
        <w:tc>
          <w:tcPr>
            <w:tcW w:w="346" w:type="dxa"/>
            <w:tcBorders/>
            <w:vAlign w:val="center"/>
          </w:tcPr>
          <w:p>
            <w:pPr>
              <w:pStyle w:val="TableContents"/>
              <w:bidi w:val="0"/>
              <w:spacing w:before="0" w:after="0"/>
              <w:ind w:left="0" w:right="0" w:hanging="0"/>
              <w:jc w:val="left"/>
              <w:rPr/>
            </w:pPr>
            <w:r>
              <w:rPr/>
              <w:t>​</w:t>
            </w:r>
          </w:p>
        </w:tc>
        <w:tc>
          <w:tcPr>
            <w:tcW w:w="283" w:type="dxa"/>
            <w:tcBorders/>
            <w:vAlign w:val="center"/>
          </w:tcPr>
          <w:p>
            <w:pPr>
              <w:pStyle w:val="TableContents"/>
              <w:bidi w:val="0"/>
              <w:spacing w:before="0" w:after="0"/>
              <w:ind w:left="0" w:right="0" w:hanging="0"/>
              <w:jc w:val="left"/>
              <w:rPr/>
            </w:pPr>
            <w:r>
              <w:rPr/>
              <w:t>​</w:t>
            </w:r>
          </w:p>
        </w:tc>
        <w:tc>
          <w:tcPr>
            <w:tcW w:w="54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w:t>
            </w:r>
          </w:p>
        </w:tc>
        <w:tc>
          <w:tcPr>
            <w:tcW w:w="286" w:type="dxa"/>
            <w:tcBorders/>
            <w:vAlign w:val="center"/>
          </w:tcPr>
          <w:p>
            <w:pPr>
              <w:pStyle w:val="TableContents"/>
              <w:bidi w:val="0"/>
              <w:spacing w:before="0" w:after="0"/>
              <w:ind w:left="0" w:right="0" w:hanging="0"/>
              <w:jc w:val="left"/>
              <w:rPr/>
            </w:pPr>
            <w:r>
              <w:rPr/>
              <w:t>​</w:t>
            </w:r>
          </w:p>
        </w:tc>
        <w:tc>
          <w:tcPr>
            <w:tcW w:w="205" w:type="dxa"/>
            <w:tcBorders/>
            <w:vAlign w:val="center"/>
          </w:tcPr>
          <w:p>
            <w:pPr>
              <w:pStyle w:val="TableContents"/>
              <w:bidi w:val="0"/>
              <w:spacing w:before="0" w:after="0"/>
              <w:ind w:left="0" w:right="0" w:hanging="0"/>
              <w:jc w:val="left"/>
              <w:rPr/>
            </w:pPr>
            <w:r>
              <w:rPr/>
              <w:t>​</w:t>
            </w:r>
          </w:p>
        </w:tc>
        <w:tc>
          <w:tcPr>
            <w:tcW w:w="7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25,358</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0"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right"/>
              <w:rPr/>
            </w:pPr>
            <w:r>
              <w:rPr/>
              <w:t>​</w:t>
            </w:r>
          </w:p>
        </w:tc>
        <w:tc>
          <w:tcPr>
            <w:tcW w:w="362" w:type="dxa"/>
            <w:tcBorders/>
            <w:vAlign w:val="center"/>
          </w:tcPr>
          <w:p>
            <w:pPr>
              <w:pStyle w:val="TableContents"/>
              <w:bidi w:val="0"/>
              <w:spacing w:before="0" w:after="0"/>
              <w:ind w:left="0" w:right="0" w:hanging="0"/>
              <w:jc w:val="left"/>
              <w:rPr/>
            </w:pPr>
            <w:r>
              <w:rPr/>
              <w:t>​</w:t>
            </w:r>
          </w:p>
        </w:tc>
        <w:tc>
          <w:tcPr>
            <w:tcW w:w="944"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25,370</w:t>
            </w:r>
          </w:p>
        </w:tc>
        <w:tc>
          <w:tcPr>
            <w:tcW w:w="286"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left"/>
              <w:rPr/>
            </w:pPr>
            <w:r>
              <w:rPr/>
              <w:t>​</w:t>
            </w:r>
          </w:p>
        </w:tc>
        <w:tc>
          <w:tcPr>
            <w:tcW w:w="95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0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25,370</w:t>
            </w:r>
          </w:p>
        </w:tc>
      </w:tr>
      <w:tr>
        <w:trPr/>
        <w:tc>
          <w:tcPr>
            <w:tcW w:w="123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Preferred Stock Dividends ($0.500 per share)</w:t>
            </w:r>
          </w:p>
        </w:tc>
        <w:tc>
          <w:tcPr>
            <w:tcW w:w="109" w:type="dxa"/>
            <w:tcBorders/>
            <w:shd w:fill="CCEEFF" w:val="clear"/>
            <w:vAlign w:val="center"/>
          </w:tcPr>
          <w:p>
            <w:pPr>
              <w:pStyle w:val="TableContents"/>
              <w:bidi w:val="0"/>
              <w:spacing w:before="0" w:after="0"/>
              <w:ind w:left="0" w:right="0" w:hanging="0"/>
              <w:jc w:val="left"/>
              <w:rPr/>
            </w:pPr>
            <w:r>
              <w:rPr/>
              <w:t>​</w:t>
            </w:r>
          </w:p>
        </w:tc>
        <w:tc>
          <w:tcPr>
            <w:tcW w:w="298" w:type="dxa"/>
            <w:tcBorders/>
            <w:shd w:fill="CCEEFF" w:val="clear"/>
            <w:vAlign w:val="center"/>
          </w:tcPr>
          <w:p>
            <w:pPr>
              <w:pStyle w:val="TableContents"/>
              <w:bidi w:val="0"/>
              <w:spacing w:before="0" w:after="0"/>
              <w:ind w:left="0" w:right="0" w:hanging="0"/>
              <w:jc w:val="left"/>
              <w:rPr/>
            </w:pPr>
            <w:r>
              <w:rPr/>
              <w:t>​</w:t>
            </w:r>
          </w:p>
        </w:tc>
        <w:tc>
          <w:tcPr>
            <w:tcW w:w="52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83" w:type="dxa"/>
            <w:tcBorders/>
            <w:shd w:fill="CCEEFF" w:val="clear"/>
            <w:vAlign w:val="center"/>
          </w:tcPr>
          <w:p>
            <w:pPr>
              <w:pStyle w:val="TableContents"/>
              <w:bidi w:val="0"/>
              <w:spacing w:before="0" w:after="0"/>
              <w:ind w:left="0" w:right="0" w:hanging="0"/>
              <w:jc w:val="left"/>
              <w:rPr/>
            </w:pPr>
            <w:r>
              <w:rPr/>
              <w:t>​</w:t>
            </w:r>
          </w:p>
        </w:tc>
        <w:tc>
          <w:tcPr>
            <w:tcW w:w="543"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05" w:type="dxa"/>
            <w:tcBorders/>
            <w:shd w:fill="CCEEFF" w:val="clear"/>
            <w:vAlign w:val="center"/>
          </w:tcPr>
          <w:p>
            <w:pPr>
              <w:pStyle w:val="TableContents"/>
              <w:bidi w:val="0"/>
              <w:spacing w:before="0" w:after="0"/>
              <w:ind w:left="0" w:right="0" w:hanging="0"/>
              <w:jc w:val="left"/>
              <w:rPr/>
            </w:pPr>
            <w:r>
              <w:rPr/>
              <w:t>​</w:t>
            </w:r>
          </w:p>
        </w:tc>
        <w:tc>
          <w:tcPr>
            <w:tcW w:w="726"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(1,187)</w:t>
            </w:r>
          </w:p>
        </w:tc>
        <w:tc>
          <w:tcPr>
            <w:tcW w:w="286" w:type="dxa"/>
            <w:tcBorders/>
            <w:shd w:fill="CCEEFF" w:val="clear"/>
            <w:vAlign w:val="center"/>
          </w:tcPr>
          <w:p>
            <w:pPr>
              <w:pStyle w:val="TableContents"/>
              <w:bidi w:val="0"/>
              <w:spacing w:before="0" w:after="0"/>
              <w:ind w:left="0" w:right="0" w:hanging="0"/>
              <w:jc w:val="right"/>
              <w:rPr/>
            </w:pPr>
            <w:r>
              <w:rPr/>
              <w:t>​</w:t>
            </w:r>
          </w:p>
        </w:tc>
        <w:tc>
          <w:tcPr>
            <w:tcW w:w="362" w:type="dxa"/>
            <w:tcBorders/>
            <w:shd w:fill="CCEEFF" w:val="clear"/>
            <w:vAlign w:val="center"/>
          </w:tcPr>
          <w:p>
            <w:pPr>
              <w:pStyle w:val="TableContents"/>
              <w:bidi w:val="0"/>
              <w:spacing w:before="0" w:after="0"/>
              <w:ind w:left="0" w:right="0" w:hanging="0"/>
              <w:jc w:val="left"/>
              <w:rPr/>
            </w:pPr>
            <w:r>
              <w:rPr/>
              <w:t>​</w:t>
            </w:r>
          </w:p>
        </w:tc>
        <w:tc>
          <w:tcPr>
            <w:tcW w:w="944"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(1,187)</w:t>
            </w:r>
          </w:p>
        </w:tc>
        <w:tc>
          <w:tcPr>
            <w:tcW w:w="286"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left"/>
              <w:rPr/>
            </w:pPr>
            <w:r>
              <w:rPr/>
              <w:t>​</w:t>
            </w:r>
          </w:p>
        </w:tc>
        <w:tc>
          <w:tcPr>
            <w:tcW w:w="951"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0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(1,187)</w:t>
            </w:r>
          </w:p>
        </w:tc>
      </w:tr>
      <w:tr>
        <w:trPr/>
        <w:tc>
          <w:tcPr>
            <w:tcW w:w="123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Common Stock Dividends ($0.300 per share)</w:t>
            </w:r>
          </w:p>
        </w:tc>
        <w:tc>
          <w:tcPr>
            <w:tcW w:w="109" w:type="dxa"/>
            <w:tcBorders/>
            <w:vAlign w:val="center"/>
          </w:tcPr>
          <w:p>
            <w:pPr>
              <w:pStyle w:val="TableContents"/>
              <w:bidi w:val="0"/>
              <w:spacing w:before="0" w:after="0"/>
              <w:ind w:left="0" w:right="0" w:hanging="0"/>
              <w:jc w:val="left"/>
              <w:rPr/>
            </w:pPr>
            <w:r>
              <w:rPr/>
              <w:t>​</w:t>
            </w:r>
          </w:p>
        </w:tc>
        <w:tc>
          <w:tcPr>
            <w:tcW w:w="298" w:type="dxa"/>
            <w:tcBorders/>
            <w:vAlign w:val="center"/>
          </w:tcPr>
          <w:p>
            <w:pPr>
              <w:pStyle w:val="TableContents"/>
              <w:bidi w:val="0"/>
              <w:spacing w:before="0" w:after="0"/>
              <w:ind w:left="0" w:right="0" w:hanging="0"/>
              <w:jc w:val="left"/>
              <w:rPr/>
            </w:pPr>
            <w:r>
              <w:rPr/>
              <w:t>​</w:t>
            </w:r>
          </w:p>
        </w:tc>
        <w:tc>
          <w:tcPr>
            <w:tcW w:w="52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83" w:type="dxa"/>
            <w:tcBorders/>
            <w:vAlign w:val="center"/>
          </w:tcPr>
          <w:p>
            <w:pPr>
              <w:pStyle w:val="TableContents"/>
              <w:bidi w:val="0"/>
              <w:spacing w:before="0" w:after="0"/>
              <w:ind w:left="0" w:right="0" w:hanging="0"/>
              <w:jc w:val="left"/>
              <w:rPr/>
            </w:pPr>
            <w:r>
              <w:rPr/>
              <w:t>​</w:t>
            </w:r>
          </w:p>
        </w:tc>
        <w:tc>
          <w:tcPr>
            <w:tcW w:w="543"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05" w:type="dxa"/>
            <w:tcBorders/>
            <w:vAlign w:val="center"/>
          </w:tcPr>
          <w:p>
            <w:pPr>
              <w:pStyle w:val="TableContents"/>
              <w:bidi w:val="0"/>
              <w:spacing w:before="0" w:after="0"/>
              <w:ind w:left="0" w:right="0" w:hanging="0"/>
              <w:jc w:val="left"/>
              <w:rPr/>
            </w:pPr>
            <w:r>
              <w:rPr/>
              <w:t>​</w:t>
            </w:r>
          </w:p>
        </w:tc>
        <w:tc>
          <w:tcPr>
            <w:tcW w:w="726"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(5,278)</w:t>
            </w:r>
          </w:p>
        </w:tc>
        <w:tc>
          <w:tcPr>
            <w:tcW w:w="286" w:type="dxa"/>
            <w:tcBorders/>
            <w:vAlign w:val="center"/>
          </w:tcPr>
          <w:p>
            <w:pPr>
              <w:pStyle w:val="TableContents"/>
              <w:bidi w:val="0"/>
              <w:spacing w:before="0" w:after="0"/>
              <w:ind w:left="0" w:right="0" w:hanging="0"/>
              <w:jc w:val="left"/>
              <w:rPr/>
            </w:pPr>
            <w:r>
              <w:rPr/>
              <w:t>​</w:t>
            </w:r>
          </w:p>
        </w:tc>
        <w:tc>
          <w:tcPr>
            <w:tcW w:w="362" w:type="dxa"/>
            <w:tcBorders/>
            <w:vAlign w:val="center"/>
          </w:tcPr>
          <w:p>
            <w:pPr>
              <w:pStyle w:val="TableContents"/>
              <w:bidi w:val="0"/>
              <w:spacing w:before="0" w:after="0"/>
              <w:ind w:left="0" w:right="0" w:hanging="0"/>
              <w:jc w:val="left"/>
              <w:rPr/>
            </w:pPr>
            <w:r>
              <w:rPr/>
              <w:t>​</w:t>
            </w:r>
          </w:p>
        </w:tc>
        <w:tc>
          <w:tcPr>
            <w:tcW w:w="944"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(5,278)</w:t>
            </w:r>
          </w:p>
        </w:tc>
        <w:tc>
          <w:tcPr>
            <w:tcW w:w="286"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left"/>
              <w:rPr/>
            </w:pPr>
            <w:r>
              <w:rPr/>
              <w:t>​</w:t>
            </w:r>
          </w:p>
        </w:tc>
        <w:tc>
          <w:tcPr>
            <w:tcW w:w="95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(368)</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0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(5,646)</w:t>
            </w:r>
          </w:p>
        </w:tc>
      </w:tr>
      <w:tr>
        <w:trPr/>
        <w:tc>
          <w:tcPr>
            <w:tcW w:w="123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Comprehensive Income</w:t>
            </w:r>
          </w:p>
        </w:tc>
        <w:tc>
          <w:tcPr>
            <w:tcW w:w="109" w:type="dxa"/>
            <w:tcBorders/>
            <w:shd w:fill="CCEEFF" w:val="clear"/>
            <w:vAlign w:val="center"/>
          </w:tcPr>
          <w:p>
            <w:pPr>
              <w:pStyle w:val="TableContents"/>
              <w:bidi w:val="0"/>
              <w:spacing w:before="0" w:after="0"/>
              <w:ind w:left="0" w:right="0" w:hanging="0"/>
              <w:jc w:val="left"/>
              <w:rPr/>
            </w:pPr>
            <w:r>
              <w:rPr/>
              <w:t>​</w:t>
            </w:r>
          </w:p>
        </w:tc>
        <w:tc>
          <w:tcPr>
            <w:tcW w:w="29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2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8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4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0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right"/>
              <w:rPr/>
            </w:pPr>
            <w:r>
              <w:rPr/>
              <w:t>​</w:t>
            </w:r>
          </w:p>
        </w:tc>
        <w:tc>
          <w:tcPr>
            <w:tcW w:w="36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4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1,639</w:t>
            </w:r>
          </w:p>
        </w:tc>
        <w:tc>
          <w:tcPr>
            <w:tcW w:w="286" w:type="dxa"/>
            <w:tcBorders/>
            <w:shd w:fill="CCEEFF" w:val="clear"/>
            <w:vAlign w:val="center"/>
          </w:tcPr>
          <w:p>
            <w:pPr>
              <w:pStyle w:val="TableContents"/>
              <w:bidi w:val="0"/>
              <w:spacing w:before="0" w:after="0"/>
              <w:ind w:left="0" w:right="0" w:hanging="0"/>
              <w:jc w:val="left"/>
              <w:rPr/>
            </w:pPr>
            <w:r>
              <w:rPr/>
              <w:t>​</w:t>
            </w:r>
          </w:p>
        </w:tc>
        <w:tc>
          <w:tcPr>
            <w:tcW w:w="25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1,639</w:t>
            </w:r>
          </w:p>
        </w:tc>
        <w:tc>
          <w:tcPr>
            <w:tcW w:w="286" w:type="dxa"/>
            <w:tcBorders/>
            <w:shd w:fill="CCEEFF" w:val="clear"/>
            <w:vAlign w:val="center"/>
          </w:tcPr>
          <w:p>
            <w:pPr>
              <w:pStyle w:val="TableContents"/>
              <w:bidi w:val="0"/>
              <w:spacing w:before="0" w:after="0"/>
              <w:ind w:left="0" w:right="0" w:hanging="0"/>
              <w:jc w:val="left"/>
              <w:rPr/>
            </w:pPr>
            <w:r>
              <w:rPr/>
              <w:t>​</w:t>
            </w:r>
          </w:p>
        </w:tc>
        <w:tc>
          <w:tcPr>
            <w:tcW w:w="3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118</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0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1,757</w:t>
            </w:r>
          </w:p>
        </w:tc>
      </w:tr>
      <w:tr>
        <w:trPr/>
        <w:tc>
          <w:tcPr>
            <w:tcW w:w="123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Balance June 30, 2026</w:t>
            </w:r>
          </w:p>
        </w:tc>
        <w:tc>
          <w:tcPr>
            <w:tcW w:w="109" w:type="dxa"/>
            <w:tcBorders/>
            <w:vAlign w:val="center"/>
          </w:tcPr>
          <w:p>
            <w:pPr>
              <w:pStyle w:val="TableContents"/>
              <w:bidi w:val="0"/>
              <w:spacing w:before="0" w:after="0"/>
              <w:ind w:left="0" w:right="0" w:hanging="0"/>
              <w:jc w:val="left"/>
              <w:rPr/>
            </w:pPr>
            <w:r>
              <w:rPr/>
              <w:t>​</w:t>
            </w:r>
          </w:p>
        </w:tc>
        <w:tc>
          <w:tcPr>
            <w:tcW w:w="29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2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w:t>
            </w:r>
          </w:p>
        </w:tc>
        <w:tc>
          <w:tcPr>
            <w:tcW w:w="346" w:type="dxa"/>
            <w:tcBorders/>
            <w:vAlign w:val="center"/>
          </w:tcPr>
          <w:p>
            <w:pPr>
              <w:pStyle w:val="TableContents"/>
              <w:bidi w:val="0"/>
              <w:spacing w:before="0" w:after="0"/>
              <w:ind w:left="0" w:right="0" w:hanging="0"/>
              <w:jc w:val="left"/>
              <w:rPr/>
            </w:pPr>
            <w:r>
              <w:rPr/>
              <w:t>​</w:t>
            </w:r>
          </w:p>
        </w:tc>
        <w:tc>
          <w:tcPr>
            <w:tcW w:w="28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4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176</w:t>
            </w:r>
          </w:p>
        </w:tc>
        <w:tc>
          <w:tcPr>
            <w:tcW w:w="286" w:type="dxa"/>
            <w:tcBorders/>
            <w:vAlign w:val="center"/>
          </w:tcPr>
          <w:p>
            <w:pPr>
              <w:pStyle w:val="TableContents"/>
              <w:bidi w:val="0"/>
              <w:spacing w:before="0" w:after="0"/>
              <w:ind w:left="0" w:right="0" w:hanging="0"/>
              <w:jc w:val="left"/>
              <w:rPr/>
            </w:pPr>
            <w:r>
              <w:rPr/>
              <w:t>​</w:t>
            </w:r>
          </w:p>
        </w:tc>
        <w:tc>
          <w:tcPr>
            <w:tcW w:w="20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375,337</w:t>
            </w:r>
          </w:p>
        </w:tc>
        <w:tc>
          <w:tcPr>
            <w:tcW w:w="28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(41,394)</w:t>
            </w:r>
          </w:p>
        </w:tc>
        <w:tc>
          <w:tcPr>
            <w:tcW w:w="286" w:type="dxa"/>
            <w:tcBorders/>
            <w:vAlign w:val="center"/>
          </w:tcPr>
          <w:p>
            <w:pPr>
              <w:pStyle w:val="TableContents"/>
              <w:bidi w:val="0"/>
              <w:spacing w:before="0" w:after="0"/>
              <w:ind w:left="0" w:right="0" w:hanging="0"/>
              <w:jc w:val="right"/>
              <w:rPr/>
            </w:pPr>
            <w:r>
              <w:rPr/>
              <w:t>​</w:t>
            </w:r>
          </w:p>
        </w:tc>
        <w:tc>
          <w:tcPr>
            <w:tcW w:w="36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4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3,148</w:t>
            </w:r>
          </w:p>
        </w:tc>
        <w:tc>
          <w:tcPr>
            <w:tcW w:w="286" w:type="dxa"/>
            <w:tcBorders/>
            <w:vAlign w:val="center"/>
          </w:tcPr>
          <w:p>
            <w:pPr>
              <w:pStyle w:val="TableContents"/>
              <w:bidi w:val="0"/>
              <w:spacing w:before="0" w:after="0"/>
              <w:ind w:left="0" w:right="0" w:hanging="0"/>
              <w:jc w:val="left"/>
              <w:rPr/>
            </w:pPr>
            <w:r>
              <w:rPr/>
              <w:t>​</w:t>
            </w:r>
          </w:p>
        </w:tc>
        <w:tc>
          <w:tcPr>
            <w:tcW w:w="25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337,291</w:t>
            </w:r>
          </w:p>
        </w:tc>
        <w:tc>
          <w:tcPr>
            <w:tcW w:w="286" w:type="dxa"/>
            <w:tcBorders/>
            <w:vAlign w:val="center"/>
          </w:tcPr>
          <w:p>
            <w:pPr>
              <w:pStyle w:val="TableContents"/>
              <w:bidi w:val="0"/>
              <w:spacing w:before="0" w:after="0"/>
              <w:ind w:left="0" w:right="0" w:hanging="0"/>
              <w:jc w:val="left"/>
              <w:rPr/>
            </w:pPr>
            <w:r>
              <w:rPr/>
              <w:t>​</w:t>
            </w:r>
          </w:p>
        </w:tc>
        <w:tc>
          <w:tcPr>
            <w:tcW w:w="31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5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21,252</w:t>
            </w:r>
          </w:p>
        </w:tc>
        <w:tc>
          <w:tcPr>
            <w:tcW w:w="28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08" w:type="dxa"/>
            <w:tcBorders>
              <w:bottom w:val="double" w:sz="6" w:space="0" w:color="000000"/>
            </w:tcBorders>
            <w:tcMar>
              <w:bottom w:w="28" w:type="dxa"/>
            </w:tcMar>
            <w:vAlign w:val="center"/>
          </w:tcPr>
          <w:p>
            <w:pPr>
              <w:pStyle w:val="TableContents"/>
              <w:bidi w:val="0"/>
              <w:spacing w:before="0" w:after="0"/>
              <w:ind w:left="0" w:right="72" w:hanging="0"/>
              <w:jc w:val="right"/>
              <w:rPr>
                <w:rFonts w:ascii="Times New Roman;Times;serif" w:hAnsi="Times New Roman;Times;serif"/>
                <w:sz w:val="18"/>
              </w:rPr>
            </w:pPr>
            <w:r>
              <w:rPr>
                <w:rFonts w:ascii="Times New Roman;Times;serif" w:hAnsi="Times New Roman;Times;serif"/>
                <w:sz w:val="18"/>
              </w:rPr>
              <w:t>358,543</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 the three months ended June 30, 2025:</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430" w:name="Tc_75VVeuLCRUGt9Ze9lrpzLw_8_23"/>
      <w:bookmarkStart w:id="431" w:name="Tc_ewPEIqfHWU-tnrVOITwK-A_8_20"/>
      <w:bookmarkStart w:id="432" w:name="Tc_h133L0R6B0GcRgrAk9imkg_8_17"/>
      <w:bookmarkStart w:id="433" w:name="Tc_M7cXJe4FtE-lsFyqAiGMwA_8_14"/>
      <w:bookmarkStart w:id="434" w:name="Tc_SaO8UhBRM0OZyejNzcrfXg_8_11"/>
      <w:bookmarkStart w:id="435" w:name="Tc_ml65z5RDSUmzR08IUKTnoQ_8_8"/>
      <w:bookmarkStart w:id="436" w:name="Tc__lBmMe3qQUunfUA4yogagw_8_5"/>
      <w:bookmarkStart w:id="437" w:name="Tc_JYIMthUNdkOcf6N13GP2mg_8_3"/>
      <w:bookmarkStart w:id="438" w:name="Tc_Xt9aTQ-KAEa4YGcEDaEADQ_8_2"/>
      <w:bookmarkStart w:id="439" w:name="Tc_9W6cpd_FLUCb9lg7tS8ANA_8_0"/>
      <w:bookmarkStart w:id="440" w:name="Tc_cZ1V6g0HLkCx4IoTternmA_7_12"/>
      <w:bookmarkStart w:id="441" w:name="Tc_Aao70pS2mEOiwHbH1WsWRg_7_9"/>
      <w:bookmarkStart w:id="442" w:name="Tc_IkcuAJRmE0eL14olWDmQ-g_7_6"/>
      <w:bookmarkStart w:id="443" w:name="Tc_OeOHbann_UacLkBq6IkdxQ_7_3"/>
      <w:bookmarkStart w:id="444" w:name="Tc_3cR9YzIsF0u7ECVdM529Kg_7_0"/>
      <w:bookmarkStart w:id="445" w:name="Tc_i__wLcdLz0OENo5dk30TQQ_6_15"/>
      <w:bookmarkStart w:id="446" w:name="Tc_1HVNUGw_MEijIeDeY7jsDg_6_9"/>
      <w:bookmarkStart w:id="447" w:name="Tc_3fL3_rYUBkOSVWDr-R4O_Q_6_6"/>
      <w:bookmarkStart w:id="448" w:name="Tc_wa3BDIvjskWHaFjBTX6S8Q_6_3"/>
      <w:bookmarkStart w:id="449" w:name="Tc_EfTojBnWS0iOw6dM7oFL9A_6_0"/>
      <w:bookmarkStart w:id="450" w:name="Tc_yL9Voj2dyEeB3eheEjRcBA_5_21"/>
      <w:bookmarkStart w:id="451" w:name="Tc_eJMEInLH-kW8mBPddBd9lA_5_15"/>
      <w:bookmarkStart w:id="452" w:name="Tc_bM4drQ8FGkGkc8x1bgFx2Q_5_12"/>
      <w:bookmarkStart w:id="453" w:name="Tc_MlWsCu7LW0qyGaqB3CWdyw_5_6"/>
      <w:bookmarkStart w:id="454" w:name="Tc_OX7VQVDRIkqkTbCiEnjBtQ_5_3"/>
      <w:bookmarkStart w:id="455" w:name="Tc_KBbM-lK39E-wYl7geLTKrg_5_0"/>
      <w:bookmarkStart w:id="456" w:name="Tc_vjAivpsAYk2_lNhqmGy2Lw_4_21"/>
      <w:bookmarkStart w:id="457" w:name="Tc__ebOzPihaUSXCu5d4Kd4qw_4_15"/>
      <w:bookmarkStart w:id="458" w:name="Tc_v2VOhoEwgkCQmwxw4iWf6Q_4_12"/>
      <w:bookmarkStart w:id="459" w:name="Tc_cURZDJ3gz0G7yYYCVC0nng_4_3"/>
      <w:bookmarkStart w:id="460" w:name="Tc_JMndsfbJmE60hILh18TZEQ_4_0"/>
      <w:bookmarkStart w:id="461" w:name="Tc_AvM9xJw7kEGMMQkfjEj0fg_3_15"/>
      <w:bookmarkStart w:id="462" w:name="Tc_0bZq0PftH0GIpRZiW26cyg_3_9"/>
      <w:bookmarkStart w:id="463" w:name="Tc_717uFKrR70m2lQLI4jtKuA_3_6"/>
      <w:bookmarkStart w:id="464" w:name="Tc_zyYIT23ThEqeSkXLUXu9Tw_3_3"/>
      <w:bookmarkStart w:id="465" w:name="Tc_r3cOWWT2bkiuOXucuLtQUQ_3_0"/>
      <w:bookmarkStart w:id="466" w:name="Tc_LOfrzRXyikaPgK77eHr_Fw_2_23"/>
      <w:bookmarkStart w:id="467" w:name="Tc_ew27ghWLo0CEkm5chQMcuw_2_20"/>
      <w:bookmarkStart w:id="468" w:name="Tc_J1E3LWXuUEiNKHhQeKrcag_2_17"/>
      <w:bookmarkStart w:id="469" w:name="Tc_G75Y49WTUU2F9xigEYGDDA_2_14"/>
      <w:bookmarkStart w:id="470" w:name="Tc_Y7wJsxbtmkivagP8Jl7DrQ_2_11"/>
      <w:bookmarkStart w:id="471" w:name="Tc_nrEWljxA9kSUVTQK_cbWqg_2_8"/>
      <w:bookmarkStart w:id="472" w:name="Tc_otsVdrh_pEeIZXQ_MG1e8g_2_5"/>
      <w:bookmarkStart w:id="473" w:name="Tc_tcznLl4MEEeP3XmWlULqnA_2_3"/>
      <w:bookmarkStart w:id="474" w:name="Tc_ki1VLdcenUCc9K7nXDinqA_2_2"/>
      <w:bookmarkStart w:id="475" w:name="Tc_1EMQdTuOdUOR-62EbRiV0w_2_0"/>
      <w:bookmarkStart w:id="476" w:name="Tc_8600uRYPnEm2nX9h_JHa7g_1_23"/>
      <w:bookmarkStart w:id="477" w:name="Tc_olo9EzYFgUqCoLh-UNX3mg_1_20"/>
      <w:bookmarkStart w:id="478" w:name="Tc_TRwvymKq2E-B6IlMzBMahQ_1_17"/>
      <w:bookmarkStart w:id="479" w:name="Tc_xuAR4Qf8RkmNObk4PpwUmQ_1_14"/>
      <w:bookmarkStart w:id="480" w:name="Tc_AQuy_JoqvkypIJgo10oIcQ_1_11"/>
      <w:bookmarkStart w:id="481" w:name="Tc_MiZmbjUT_E2mBFT6nypztg_1_8"/>
      <w:bookmarkStart w:id="482" w:name="Tc_6pgjyoQw302-Y1KjI1212Q_1_5"/>
      <w:bookmarkStart w:id="483" w:name="Tc_wIl6zVn8H06iU3AmJ7-0ag_1_2"/>
      <w:bookmarkStart w:id="484" w:name="_e2482f0a_c2f6_4f0c_be9f_e9b84d2541eb"/>
      <w:bookmarkStart w:id="485" w:name="Tc_75VVeuLCRUGt9Ze9lrpzLw_8_23"/>
      <w:bookmarkStart w:id="486" w:name="Tc_ewPEIqfHWU-tnrVOITwK-A_8_20"/>
      <w:bookmarkStart w:id="487" w:name="Tc_h133L0R6B0GcRgrAk9imkg_8_17"/>
      <w:bookmarkStart w:id="488" w:name="Tc_M7cXJe4FtE-lsFyqAiGMwA_8_14"/>
      <w:bookmarkStart w:id="489" w:name="Tc_SaO8UhBRM0OZyejNzcrfXg_8_11"/>
      <w:bookmarkStart w:id="490" w:name="Tc_ml65z5RDSUmzR08IUKTnoQ_8_8"/>
      <w:bookmarkStart w:id="491" w:name="Tc__lBmMe3qQUunfUA4yogagw_8_5"/>
      <w:bookmarkStart w:id="492" w:name="Tc_JYIMthUNdkOcf6N13GP2mg_8_3"/>
      <w:bookmarkStart w:id="493" w:name="Tc_Xt9aTQ-KAEa4YGcEDaEADQ_8_2"/>
      <w:bookmarkStart w:id="494" w:name="Tc_9W6cpd_FLUCb9lg7tS8ANA_8_0"/>
      <w:bookmarkStart w:id="495" w:name="Tc_cZ1V6g0HLkCx4IoTternmA_7_12"/>
      <w:bookmarkStart w:id="496" w:name="Tc_Aao70pS2mEOiwHbH1WsWRg_7_9"/>
      <w:bookmarkStart w:id="497" w:name="Tc_IkcuAJRmE0eL14olWDmQ-g_7_6"/>
      <w:bookmarkStart w:id="498" w:name="Tc_OeOHbann_UacLkBq6IkdxQ_7_3"/>
      <w:bookmarkStart w:id="499" w:name="Tc_3cR9YzIsF0u7ECVdM529Kg_7_0"/>
      <w:bookmarkStart w:id="500" w:name="Tc_i__wLcdLz0OENo5dk30TQQ_6_15"/>
      <w:bookmarkStart w:id="501" w:name="Tc_1HVNUGw_MEijIeDeY7jsDg_6_9"/>
      <w:bookmarkStart w:id="502" w:name="Tc_3fL3_rYUBkOSVWDr-R4O_Q_6_6"/>
      <w:bookmarkStart w:id="503" w:name="Tc_wa3BDIvjskWHaFjBTX6S8Q_6_3"/>
      <w:bookmarkStart w:id="504" w:name="Tc_EfTojBnWS0iOw6dM7oFL9A_6_0"/>
      <w:bookmarkStart w:id="505" w:name="Tc_yL9Voj2dyEeB3eheEjRcBA_5_21"/>
      <w:bookmarkStart w:id="506" w:name="Tc_eJMEInLH-kW8mBPddBd9lA_5_15"/>
      <w:bookmarkStart w:id="507" w:name="Tc_bM4drQ8FGkGkc8x1bgFx2Q_5_12"/>
      <w:bookmarkStart w:id="508" w:name="Tc_MlWsCu7LW0qyGaqB3CWdyw_5_6"/>
      <w:bookmarkStart w:id="509" w:name="Tc_OX7VQVDRIkqkTbCiEnjBtQ_5_3"/>
      <w:bookmarkStart w:id="510" w:name="Tc_KBbM-lK39E-wYl7geLTKrg_5_0"/>
      <w:bookmarkStart w:id="511" w:name="Tc_vjAivpsAYk2_lNhqmGy2Lw_4_21"/>
      <w:bookmarkStart w:id="512" w:name="Tc__ebOzPihaUSXCu5d4Kd4qw_4_15"/>
      <w:bookmarkStart w:id="513" w:name="Tc_v2VOhoEwgkCQmwxw4iWf6Q_4_12"/>
      <w:bookmarkStart w:id="514" w:name="Tc_cURZDJ3gz0G7yYYCVC0nng_4_3"/>
      <w:bookmarkStart w:id="515" w:name="Tc_JMndsfbJmE60hILh18TZEQ_4_0"/>
      <w:bookmarkStart w:id="516" w:name="Tc_AvM9xJw7kEGMMQkfjEj0fg_3_15"/>
      <w:bookmarkStart w:id="517" w:name="Tc_0bZq0PftH0GIpRZiW26cyg_3_9"/>
      <w:bookmarkStart w:id="518" w:name="Tc_717uFKrR70m2lQLI4jtKuA_3_6"/>
      <w:bookmarkStart w:id="519" w:name="Tc_zyYIT23ThEqeSkXLUXu9Tw_3_3"/>
      <w:bookmarkStart w:id="520" w:name="Tc_r3cOWWT2bkiuOXucuLtQUQ_3_0"/>
      <w:bookmarkStart w:id="521" w:name="Tc_LOfrzRXyikaPgK77eHr_Fw_2_23"/>
      <w:bookmarkStart w:id="522" w:name="Tc_ew27ghWLo0CEkm5chQMcuw_2_20"/>
      <w:bookmarkStart w:id="523" w:name="Tc_J1E3LWXuUEiNKHhQeKrcag_2_17"/>
      <w:bookmarkStart w:id="524" w:name="Tc_G75Y49WTUU2F9xigEYGDDA_2_14"/>
      <w:bookmarkStart w:id="525" w:name="Tc_Y7wJsxbtmkivagP8Jl7DrQ_2_11"/>
      <w:bookmarkStart w:id="526" w:name="Tc_nrEWljxA9kSUVTQK_cbWqg_2_8"/>
      <w:bookmarkStart w:id="527" w:name="Tc_otsVdrh_pEeIZXQ_MG1e8g_2_5"/>
      <w:bookmarkStart w:id="528" w:name="Tc_tcznLl4MEEeP3XmWlULqnA_2_3"/>
      <w:bookmarkStart w:id="529" w:name="Tc_ki1VLdcenUCc9K7nXDinqA_2_2"/>
      <w:bookmarkStart w:id="530" w:name="Tc_1EMQdTuOdUOR-62EbRiV0w_2_0"/>
      <w:bookmarkStart w:id="531" w:name="Tc_8600uRYPnEm2nX9h_JHa7g_1_23"/>
      <w:bookmarkStart w:id="532" w:name="Tc_olo9EzYFgUqCoLh-UNX3mg_1_20"/>
      <w:bookmarkStart w:id="533" w:name="Tc_TRwvymKq2E-B6IlMzBMahQ_1_17"/>
      <w:bookmarkStart w:id="534" w:name="Tc_xuAR4Qf8RkmNObk4PpwUmQ_1_14"/>
      <w:bookmarkStart w:id="535" w:name="Tc_AQuy_JoqvkypIJgo10oIcQ_1_11"/>
      <w:bookmarkStart w:id="536" w:name="Tc_MiZmbjUT_E2mBFT6nypztg_1_8"/>
      <w:bookmarkStart w:id="537" w:name="Tc_6pgjyoQw302-Y1KjI1212Q_1_5"/>
      <w:bookmarkStart w:id="538" w:name="Tc_wIl6zVn8H06iU3AmJ7-0ag_1_2"/>
      <w:bookmarkStart w:id="539" w:name="_e2482f0a_c2f6_4f0c_be9f_e9b84d2541eb"/>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p>
    <w:tbl>
      <w:tblPr>
        <w:tblW w:w="11598" w:type="dxa"/>
        <w:jc w:val="left"/>
        <w:tblInd w:w="0" w:type="dxa"/>
        <w:tblLayout w:type="fixed"/>
        <w:tblCellMar>
          <w:top w:w="0" w:type="dxa"/>
          <w:left w:w="0" w:type="dxa"/>
          <w:bottom w:w="0" w:type="dxa"/>
          <w:right w:w="0" w:type="dxa"/>
        </w:tblCellMar>
      </w:tblPr>
      <w:tblGrid>
        <w:gridCol w:w="1231"/>
        <w:gridCol w:w="109"/>
        <w:gridCol w:w="298"/>
        <w:gridCol w:w="528"/>
        <w:gridCol w:w="346"/>
        <w:gridCol w:w="283"/>
        <w:gridCol w:w="543"/>
        <w:gridCol w:w="286"/>
        <w:gridCol w:w="205"/>
        <w:gridCol w:w="726"/>
        <w:gridCol w:w="286"/>
        <w:gridCol w:w="196"/>
        <w:gridCol w:w="690"/>
        <w:gridCol w:w="286"/>
        <w:gridCol w:w="333"/>
        <w:gridCol w:w="973"/>
        <w:gridCol w:w="286"/>
        <w:gridCol w:w="255"/>
        <w:gridCol w:w="901"/>
        <w:gridCol w:w="286"/>
        <w:gridCol w:w="310"/>
        <w:gridCol w:w="951"/>
        <w:gridCol w:w="286"/>
        <w:gridCol w:w="196"/>
        <w:gridCol w:w="808"/>
      </w:tblGrid>
      <w:tr>
        <w:trPr/>
        <w:tc>
          <w:tcPr>
            <w:tcW w:w="1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781685" cy="175260"/>
                      <wp:effectExtent l="0" t="0" r="0" b="0"/>
                      <wp:wrapNone/>
                      <wp:docPr id="55" name="Frame55"/>
                      <a:graphic xmlns:a="http://schemas.openxmlformats.org/drawingml/2006/main">
                        <a:graphicData uri="http://schemas.microsoft.com/office/word/2010/wordprocessingShape">
                          <wps:wsp>
                            <wps:cNvSpPr txBox="1"/>
                            <wps:spPr>
                              <a:xfrm>
                                <a:off x="0" y="0"/>
                                <a:ext cx="781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9215" cy="175260"/>
                      <wp:effectExtent l="0" t="0" r="0" b="0"/>
                      <wp:wrapNone/>
                      <wp:docPr id="56" name="Frame5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189230" cy="175260"/>
                      <wp:effectExtent l="0" t="0" r="0" b="0"/>
                      <wp:wrapNone/>
                      <wp:docPr id="57" name="Frame57"/>
                      <a:graphic xmlns:a="http://schemas.openxmlformats.org/drawingml/2006/main">
                        <a:graphicData uri="http://schemas.microsoft.com/office/word/2010/wordprocessingShape">
                          <wps:wsp>
                            <wps:cNvSpPr txBox="1"/>
                            <wps:spPr>
                              <a:xfrm>
                                <a:off x="0" y="0"/>
                                <a:ext cx="1892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335280" cy="175260"/>
                      <wp:effectExtent l="0" t="0" r="0" b="0"/>
                      <wp:wrapNone/>
                      <wp:docPr id="58" name="Frame58"/>
                      <a:graphic xmlns:a="http://schemas.openxmlformats.org/drawingml/2006/main">
                        <a:graphicData uri="http://schemas.microsoft.com/office/word/2010/wordprocessingShape">
                          <wps:wsp>
                            <wps:cNvSpPr txBox="1"/>
                            <wps:spPr>
                              <a:xfrm>
                                <a:off x="0" y="0"/>
                                <a:ext cx="3352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219710" cy="175260"/>
                      <wp:effectExtent l="0" t="0" r="0" b="0"/>
                      <wp:wrapNone/>
                      <wp:docPr id="59" name="Frame5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179705" cy="175260"/>
                      <wp:effectExtent l="0" t="0" r="0" b="0"/>
                      <wp:wrapNone/>
                      <wp:docPr id="60" name="Frame60"/>
                      <a:graphic xmlns:a="http://schemas.openxmlformats.org/drawingml/2006/main">
                        <a:graphicData uri="http://schemas.microsoft.com/office/word/2010/wordprocessingShape">
                          <wps:wsp>
                            <wps:cNvSpPr txBox="1"/>
                            <wps:spPr>
                              <a:xfrm>
                                <a:off x="0" y="0"/>
                                <a:ext cx="1797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344805" cy="175260"/>
                      <wp:effectExtent l="0" t="0" r="0" b="0"/>
                      <wp:wrapNone/>
                      <wp:docPr id="61" name="Frame61"/>
                      <a:graphic xmlns:a="http://schemas.openxmlformats.org/drawingml/2006/main">
                        <a:graphicData uri="http://schemas.microsoft.com/office/word/2010/wordprocessingShape">
                          <wps:wsp>
                            <wps:cNvSpPr txBox="1"/>
                            <wps:spPr>
                              <a:xfrm>
                                <a:off x="0" y="0"/>
                                <a:ext cx="3448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181610" cy="175260"/>
                      <wp:effectExtent l="0" t="0" r="0" b="0"/>
                      <wp:wrapNone/>
                      <wp:docPr id="62" name="Frame62"/>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130175" cy="175260"/>
                      <wp:effectExtent l="0" t="0" r="0" b="0"/>
                      <wp:wrapNone/>
                      <wp:docPr id="63" name="Frame63"/>
                      <a:graphic xmlns:a="http://schemas.openxmlformats.org/drawingml/2006/main">
                        <a:graphicData uri="http://schemas.microsoft.com/office/word/2010/wordprocessingShape">
                          <wps:wsp>
                            <wps:cNvSpPr txBox="1"/>
                            <wps:spPr>
                              <a:xfrm>
                                <a:off x="0" y="0"/>
                                <a:ext cx="1301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461010" cy="175260"/>
                      <wp:effectExtent l="0" t="0" r="0" b="0"/>
                      <wp:wrapNone/>
                      <wp:docPr id="64" name="Frame64"/>
                      <a:graphic xmlns:a="http://schemas.openxmlformats.org/drawingml/2006/main">
                        <a:graphicData uri="http://schemas.microsoft.com/office/word/2010/wordprocessingShape">
                          <wps:wsp>
                            <wps:cNvSpPr txBox="1"/>
                            <wps:spPr>
                              <a:xfrm>
                                <a:off x="0" y="0"/>
                                <a:ext cx="461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181610" cy="175260"/>
                      <wp:effectExtent l="0" t="0" r="0" b="0"/>
                      <wp:wrapNone/>
                      <wp:docPr id="65" name="Frame65"/>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124460" cy="175260"/>
                      <wp:effectExtent l="0" t="0" r="0" b="0"/>
                      <wp:wrapNone/>
                      <wp:docPr id="66" name="Frame6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438150" cy="175260"/>
                      <wp:effectExtent l="0" t="0" r="0" b="0"/>
                      <wp:wrapNone/>
                      <wp:docPr id="67" name="Frame67"/>
                      <a:graphic xmlns:a="http://schemas.openxmlformats.org/drawingml/2006/main">
                        <a:graphicData uri="http://schemas.microsoft.com/office/word/2010/wordprocessingShape">
                          <wps:wsp>
                            <wps:cNvSpPr txBox="1"/>
                            <wps:spPr>
                              <a:xfrm>
                                <a:off x="0" y="0"/>
                                <a:ext cx="4381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181610" cy="175260"/>
                      <wp:effectExtent l="0" t="0" r="0" b="0"/>
                      <wp:wrapNone/>
                      <wp:docPr id="68" name="Frame68"/>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211455" cy="175260"/>
                      <wp:effectExtent l="0" t="0" r="0" b="0"/>
                      <wp:wrapNone/>
                      <wp:docPr id="69" name="Frame69"/>
                      <a:graphic xmlns:a="http://schemas.openxmlformats.org/drawingml/2006/main">
                        <a:graphicData uri="http://schemas.microsoft.com/office/word/2010/wordprocessingShape">
                          <wps:wsp>
                            <wps:cNvSpPr txBox="1"/>
                            <wps:spPr>
                              <a:xfrm>
                                <a:off x="0" y="0"/>
                                <a:ext cx="2114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17855" cy="175260"/>
                      <wp:effectExtent l="0" t="0" r="0" b="0"/>
                      <wp:wrapNone/>
                      <wp:docPr id="70" name="Frame70"/>
                      <a:graphic xmlns:a="http://schemas.openxmlformats.org/drawingml/2006/main">
                        <a:graphicData uri="http://schemas.microsoft.com/office/word/2010/wordprocessingShape">
                          <wps:wsp>
                            <wps:cNvSpPr txBox="1"/>
                            <wps:spPr>
                              <a:xfrm>
                                <a:off x="0" y="0"/>
                                <a:ext cx="6178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181610" cy="175260"/>
                      <wp:effectExtent l="0" t="0" r="0" b="0"/>
                      <wp:wrapNone/>
                      <wp:docPr id="71" name="Frame71"/>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161925" cy="175260"/>
                      <wp:effectExtent l="0" t="0" r="0" b="0"/>
                      <wp:wrapNone/>
                      <wp:docPr id="72" name="Frame72"/>
                      <a:graphic xmlns:a="http://schemas.openxmlformats.org/drawingml/2006/main">
                        <a:graphicData uri="http://schemas.microsoft.com/office/word/2010/wordprocessingShape">
                          <wps:wsp>
                            <wps:cNvSpPr txBox="1"/>
                            <wps:spPr>
                              <a:xfrm>
                                <a:off x="0" y="0"/>
                                <a:ext cx="1619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572135" cy="175260"/>
                      <wp:effectExtent l="0" t="0" r="0" b="0"/>
                      <wp:wrapNone/>
                      <wp:docPr id="73" name="Frame73"/>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181610" cy="175260"/>
                      <wp:effectExtent l="0" t="0" r="0" b="0"/>
                      <wp:wrapNone/>
                      <wp:docPr id="74" name="Frame74"/>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196850" cy="175260"/>
                      <wp:effectExtent l="0" t="0" r="0" b="0"/>
                      <wp:wrapNone/>
                      <wp:docPr id="75" name="Frame75"/>
                      <a:graphic xmlns:a="http://schemas.openxmlformats.org/drawingml/2006/main">
                        <a:graphicData uri="http://schemas.microsoft.com/office/word/2010/wordprocessingShape">
                          <wps:wsp>
                            <wps:cNvSpPr txBox="1"/>
                            <wps:spPr>
                              <a:xfrm>
                                <a:off x="0" y="0"/>
                                <a:ext cx="1968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03885" cy="175260"/>
                      <wp:effectExtent l="0" t="0" r="0" b="0"/>
                      <wp:wrapNone/>
                      <wp:docPr id="76" name="Frame76"/>
                      <a:graphic xmlns:a="http://schemas.openxmlformats.org/drawingml/2006/main">
                        <a:graphicData uri="http://schemas.microsoft.com/office/word/2010/wordprocessingShape">
                          <wps:wsp>
                            <wps:cNvSpPr txBox="1"/>
                            <wps:spPr>
                              <a:xfrm>
                                <a:off x="0" y="0"/>
                                <a:ext cx="603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181610" cy="175260"/>
                      <wp:effectExtent l="0" t="0" r="0" b="0"/>
                      <wp:wrapNone/>
                      <wp:docPr id="77" name="Frame77"/>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124460" cy="175260"/>
                      <wp:effectExtent l="0" t="0" r="0" b="0"/>
                      <wp:wrapNone/>
                      <wp:docPr id="78" name="Frame7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513080" cy="175260"/>
                      <wp:effectExtent l="0" t="0" r="0" b="0"/>
                      <wp:wrapNone/>
                      <wp:docPr id="79" name="Frame79"/>
                      <a:graphic xmlns:a="http://schemas.openxmlformats.org/drawingml/2006/main">
                        <a:graphicData uri="http://schemas.microsoft.com/office/word/2010/wordprocessingShape">
                          <wps:wsp>
                            <wps:cNvSpPr txBox="1"/>
                            <wps:spPr>
                              <a:xfrm>
                                <a:off x="0" y="0"/>
                                <a:ext cx="5130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231"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82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Preferred Stock at Par</w:t>
            </w:r>
          </w:p>
        </w:tc>
        <w:tc>
          <w:tcPr>
            <w:tcW w:w="346" w:type="dxa"/>
            <w:tcBorders/>
            <w:vAlign w:val="center"/>
          </w:tcPr>
          <w:p>
            <w:pPr>
              <w:pStyle w:val="TableContents"/>
              <w:bidi w:val="0"/>
              <w:spacing w:before="0" w:after="1"/>
              <w:ind w:left="0" w:right="0" w:hanging="0"/>
              <w:jc w:val="left"/>
              <w:rPr/>
            </w:pPr>
            <w:r>
              <w:rPr/>
              <w:t>​</w:t>
            </w:r>
          </w:p>
        </w:tc>
        <w:tc>
          <w:tcPr>
            <w:tcW w:w="82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Common Stock at Par</w:t>
            </w:r>
          </w:p>
        </w:tc>
        <w:tc>
          <w:tcPr>
            <w:tcW w:w="286" w:type="dxa"/>
            <w:tcBorders/>
            <w:vAlign w:val="center"/>
          </w:tcPr>
          <w:p>
            <w:pPr>
              <w:pStyle w:val="TableContents"/>
              <w:bidi w:val="0"/>
              <w:spacing w:before="0" w:after="1"/>
              <w:ind w:left="0" w:right="0" w:hanging="0"/>
              <w:jc w:val="center"/>
              <w:rPr/>
            </w:pPr>
            <w:r>
              <w:rPr/>
              <w:t>  ​ ​</w:t>
            </w:r>
          </w:p>
        </w:tc>
        <w:tc>
          <w:tcPr>
            <w:tcW w:w="93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Additional Paid-in Capital</w:t>
            </w:r>
          </w:p>
        </w:tc>
        <w:tc>
          <w:tcPr>
            <w:tcW w:w="286" w:type="dxa"/>
            <w:tcBorders/>
            <w:vAlign w:val="center"/>
          </w:tcPr>
          <w:p>
            <w:pPr>
              <w:pStyle w:val="TableContents"/>
              <w:bidi w:val="0"/>
              <w:spacing w:before="0" w:after="1"/>
              <w:ind w:left="0" w:right="0" w:hanging="0"/>
              <w:jc w:val="center"/>
              <w:rPr/>
            </w:pPr>
            <w:r>
              <w:rPr/>
              <w:t>  ​ ​</w:t>
            </w:r>
          </w:p>
        </w:tc>
        <w:tc>
          <w:tcPr>
            <w:tcW w:w="88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Dividends in Excess of Net Income</w:t>
            </w:r>
          </w:p>
        </w:tc>
        <w:tc>
          <w:tcPr>
            <w:tcW w:w="286" w:type="dxa"/>
            <w:tcBorders/>
            <w:vAlign w:val="center"/>
          </w:tcPr>
          <w:p>
            <w:pPr>
              <w:pStyle w:val="TableContents"/>
              <w:bidi w:val="0"/>
              <w:spacing w:before="0" w:after="1"/>
              <w:ind w:left="0" w:right="0" w:hanging="0"/>
              <w:jc w:val="center"/>
              <w:rPr/>
            </w:pPr>
            <w:r>
              <w:rPr/>
              <w:t>  ​ ​</w:t>
            </w:r>
          </w:p>
        </w:tc>
        <w:tc>
          <w:tcPr>
            <w:tcW w:w="130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Accumulated Other Comprehensive Income</w:t>
            </w:r>
          </w:p>
        </w:tc>
        <w:tc>
          <w:tcPr>
            <w:tcW w:w="286" w:type="dxa"/>
            <w:tcBorders/>
            <w:vAlign w:val="center"/>
          </w:tcPr>
          <w:p>
            <w:pPr>
              <w:pStyle w:val="TableContents"/>
              <w:bidi w:val="0"/>
              <w:spacing w:before="0" w:after="1"/>
              <w:ind w:left="0" w:right="0" w:hanging="0"/>
              <w:jc w:val="center"/>
              <w:rPr/>
            </w:pPr>
            <w:r>
              <w:rPr/>
              <w:t>  ​ ​</w:t>
            </w:r>
          </w:p>
        </w:tc>
        <w:tc>
          <w:tcPr>
            <w:tcW w:w="115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Stockholders' Equity</w:t>
            </w:r>
          </w:p>
        </w:tc>
        <w:tc>
          <w:tcPr>
            <w:tcW w:w="286" w:type="dxa"/>
            <w:tcBorders/>
            <w:vAlign w:val="center"/>
          </w:tcPr>
          <w:p>
            <w:pPr>
              <w:pStyle w:val="TableContents"/>
              <w:bidi w:val="0"/>
              <w:spacing w:before="0" w:after="1"/>
              <w:ind w:left="0" w:right="0" w:hanging="0"/>
              <w:jc w:val="center"/>
              <w:rPr/>
            </w:pPr>
            <w:r>
              <w:rPr/>
              <w:t>  ​ ​</w:t>
            </w:r>
          </w:p>
        </w:tc>
        <w:tc>
          <w:tcPr>
            <w:tcW w:w="126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Noncontrolling Interest</w:t>
            </w:r>
          </w:p>
        </w:tc>
        <w:tc>
          <w:tcPr>
            <w:tcW w:w="286" w:type="dxa"/>
            <w:tcBorders/>
            <w:vAlign w:val="center"/>
          </w:tcPr>
          <w:p>
            <w:pPr>
              <w:pStyle w:val="TableContents"/>
              <w:bidi w:val="0"/>
              <w:spacing w:before="0" w:after="1"/>
              <w:ind w:left="0" w:right="0" w:hanging="0"/>
              <w:jc w:val="center"/>
              <w:rPr/>
            </w:pPr>
            <w:r>
              <w:rPr/>
              <w:t>  ​ ​</w:t>
            </w:r>
          </w:p>
        </w:tc>
        <w:tc>
          <w:tcPr>
            <w:tcW w:w="100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Total Equity</w:t>
            </w:r>
          </w:p>
        </w:tc>
      </w:tr>
      <w:tr>
        <w:trPr/>
        <w:tc>
          <w:tcPr>
            <w:tcW w:w="123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Balance April 1, 2025</w:t>
            </w:r>
          </w:p>
        </w:tc>
        <w:tc>
          <w:tcPr>
            <w:tcW w:w="109" w:type="dxa"/>
            <w:tcBorders/>
            <w:shd w:fill="CCEEFF" w:val="clear"/>
            <w:vAlign w:val="center"/>
          </w:tcPr>
          <w:p>
            <w:pPr>
              <w:pStyle w:val="TableContents"/>
              <w:bidi w:val="0"/>
              <w:spacing w:before="0" w:after="1"/>
              <w:ind w:left="0" w:right="0" w:hanging="0"/>
              <w:jc w:val="center"/>
              <w:rPr/>
            </w:pPr>
            <w:r>
              <w:rPr/>
              <w:t>​</w:t>
            </w:r>
          </w:p>
        </w:tc>
        <w:tc>
          <w:tcPr>
            <w:tcW w:w="298"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528"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center"/>
              <w:rPr/>
            </w:pPr>
            <w:r>
              <w:rPr/>
              <w:t>  ​ ​ ​</w:t>
            </w:r>
          </w:p>
        </w:tc>
        <w:tc>
          <w:tcPr>
            <w:tcW w:w="283"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54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144</w:t>
            </w:r>
          </w:p>
        </w:tc>
        <w:tc>
          <w:tcPr>
            <w:tcW w:w="286" w:type="dxa"/>
            <w:tcBorders/>
            <w:shd w:fill="CCEEFF" w:val="clear"/>
            <w:vAlign w:val="center"/>
          </w:tcPr>
          <w:p>
            <w:pPr>
              <w:pStyle w:val="TableContents"/>
              <w:bidi w:val="0"/>
              <w:spacing w:before="0" w:after="1"/>
              <w:ind w:left="0" w:right="0" w:hanging="0"/>
              <w:jc w:val="left"/>
              <w:rPr/>
            </w:pPr>
            <w:r>
              <w:rPr/>
              <w:t>​</w:t>
            </w:r>
          </w:p>
        </w:tc>
        <w:tc>
          <w:tcPr>
            <w:tcW w:w="205"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257,290</w:t>
            </w:r>
          </w:p>
        </w:tc>
        <w:tc>
          <w:tcPr>
            <w:tcW w:w="28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90"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(21,048)</w:t>
            </w:r>
          </w:p>
        </w:tc>
        <w:tc>
          <w:tcPr>
            <w:tcW w:w="286" w:type="dxa"/>
            <w:tcBorders/>
            <w:shd w:fill="CCEEFF" w:val="clear"/>
            <w:vAlign w:val="center"/>
          </w:tcPr>
          <w:p>
            <w:pPr>
              <w:pStyle w:val="TableContents"/>
              <w:bidi w:val="0"/>
              <w:spacing w:before="0" w:after="1"/>
              <w:ind w:left="0" w:right="0" w:hanging="0"/>
              <w:jc w:val="right"/>
              <w:rPr/>
            </w:pPr>
            <w:r>
              <w:rPr/>
              <w:t>​</w:t>
            </w:r>
          </w:p>
        </w:tc>
        <w:tc>
          <w:tcPr>
            <w:tcW w:w="333"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7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4,563</w:t>
            </w:r>
          </w:p>
        </w:tc>
        <w:tc>
          <w:tcPr>
            <w:tcW w:w="286" w:type="dxa"/>
            <w:tcBorders/>
            <w:shd w:fill="CCEEFF" w:val="clear"/>
            <w:vAlign w:val="center"/>
          </w:tcPr>
          <w:p>
            <w:pPr>
              <w:pStyle w:val="TableContents"/>
              <w:bidi w:val="0"/>
              <w:spacing w:before="0" w:after="1"/>
              <w:ind w:left="0" w:right="0" w:hanging="0"/>
              <w:jc w:val="left"/>
              <w:rPr/>
            </w:pPr>
            <w:r>
              <w:rPr/>
              <w:t>​</w:t>
            </w:r>
          </w:p>
        </w:tc>
        <w:tc>
          <w:tcPr>
            <w:tcW w:w="255"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240,949</w:t>
            </w:r>
          </w:p>
        </w:tc>
        <w:tc>
          <w:tcPr>
            <w:tcW w:w="286" w:type="dxa"/>
            <w:tcBorders/>
            <w:shd w:fill="CCEEFF" w:val="clear"/>
            <w:vAlign w:val="center"/>
          </w:tcPr>
          <w:p>
            <w:pPr>
              <w:pStyle w:val="TableContents"/>
              <w:bidi w:val="0"/>
              <w:spacing w:before="0" w:after="1"/>
              <w:ind w:left="0" w:right="0" w:hanging="0"/>
              <w:jc w:val="left"/>
              <w:rPr/>
            </w:pPr>
            <w:r>
              <w:rPr/>
              <w:t>​</w:t>
            </w:r>
          </w:p>
        </w:tc>
        <w:tc>
          <w:tcPr>
            <w:tcW w:w="310"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5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22,836</w:t>
            </w:r>
          </w:p>
        </w:tc>
        <w:tc>
          <w:tcPr>
            <w:tcW w:w="28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08"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263,785</w:t>
            </w:r>
          </w:p>
        </w:tc>
      </w:tr>
      <w:tr>
        <w:trPr/>
        <w:tc>
          <w:tcPr>
            <w:tcW w:w="123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Loss</w:t>
            </w:r>
          </w:p>
        </w:tc>
        <w:tc>
          <w:tcPr>
            <w:tcW w:w="109" w:type="dxa"/>
            <w:tcBorders/>
            <w:vAlign w:val="center"/>
          </w:tcPr>
          <w:p>
            <w:pPr>
              <w:pStyle w:val="TableContents"/>
              <w:bidi w:val="0"/>
              <w:spacing w:before="0" w:after="1"/>
              <w:ind w:left="0" w:right="0" w:hanging="0"/>
              <w:jc w:val="left"/>
              <w:rPr/>
            </w:pPr>
            <w:r>
              <w:rPr/>
              <w:t>​</w:t>
            </w:r>
          </w:p>
        </w:tc>
        <w:tc>
          <w:tcPr>
            <w:tcW w:w="298" w:type="dxa"/>
            <w:tcBorders/>
            <w:vAlign w:val="center"/>
          </w:tcPr>
          <w:p>
            <w:pPr>
              <w:pStyle w:val="TableContents"/>
              <w:bidi w:val="0"/>
              <w:spacing w:before="0" w:after="1"/>
              <w:ind w:left="0" w:right="0" w:hanging="0"/>
              <w:jc w:val="left"/>
              <w:rPr/>
            </w:pPr>
            <w:r>
              <w:rPr/>
              <w:t>​</w:t>
            </w:r>
          </w:p>
        </w:tc>
        <w:tc>
          <w:tcPr>
            <w:tcW w:w="528"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83" w:type="dxa"/>
            <w:tcBorders/>
            <w:vAlign w:val="center"/>
          </w:tcPr>
          <w:p>
            <w:pPr>
              <w:pStyle w:val="TableContents"/>
              <w:bidi w:val="0"/>
              <w:spacing w:before="0" w:after="1"/>
              <w:ind w:left="0" w:right="0" w:hanging="0"/>
              <w:jc w:val="left"/>
              <w:rPr/>
            </w:pPr>
            <w:r>
              <w:rPr/>
              <w:t>​</w:t>
            </w:r>
          </w:p>
        </w:tc>
        <w:tc>
          <w:tcPr>
            <w:tcW w:w="543"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w:t>
            </w:r>
          </w:p>
        </w:tc>
        <w:tc>
          <w:tcPr>
            <w:tcW w:w="205" w:type="dxa"/>
            <w:tcBorders/>
            <w:vAlign w:val="center"/>
          </w:tcPr>
          <w:p>
            <w:pPr>
              <w:pStyle w:val="TableContents"/>
              <w:bidi w:val="0"/>
              <w:spacing w:before="0" w:after="1"/>
              <w:ind w:left="0" w:right="0" w:hanging="0"/>
              <w:jc w:val="left"/>
              <w:rPr/>
            </w:pPr>
            <w:r>
              <w:rPr/>
              <w:t>​</w:t>
            </w:r>
          </w:p>
        </w:tc>
        <w:tc>
          <w:tcPr>
            <w:tcW w:w="726"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0"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(1,641)</w:t>
            </w:r>
          </w:p>
        </w:tc>
        <w:tc>
          <w:tcPr>
            <w:tcW w:w="286" w:type="dxa"/>
            <w:tcBorders/>
            <w:vAlign w:val="center"/>
          </w:tcPr>
          <w:p>
            <w:pPr>
              <w:pStyle w:val="TableContents"/>
              <w:bidi w:val="0"/>
              <w:spacing w:before="0" w:after="1"/>
              <w:ind w:left="0" w:right="0" w:hanging="0"/>
              <w:jc w:val="right"/>
              <w:rPr/>
            </w:pPr>
            <w:r>
              <w:rPr/>
              <w:t>​</w:t>
            </w:r>
          </w:p>
        </w:tc>
        <w:tc>
          <w:tcPr>
            <w:tcW w:w="333" w:type="dxa"/>
            <w:tcBorders/>
            <w:vAlign w:val="center"/>
          </w:tcPr>
          <w:p>
            <w:pPr>
              <w:pStyle w:val="TableContents"/>
              <w:bidi w:val="0"/>
              <w:spacing w:before="0" w:after="1"/>
              <w:ind w:left="0" w:right="0" w:hanging="0"/>
              <w:jc w:val="left"/>
              <w:rPr/>
            </w:pPr>
            <w:r>
              <w:rPr/>
              <w:t>​</w:t>
            </w:r>
          </w:p>
        </w:tc>
        <w:tc>
          <w:tcPr>
            <w:tcW w:w="973"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w:t>
            </w:r>
          </w:p>
        </w:tc>
        <w:tc>
          <w:tcPr>
            <w:tcW w:w="255"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(1,641)</w:t>
            </w:r>
          </w:p>
        </w:tc>
        <w:tc>
          <w:tcPr>
            <w:tcW w:w="286" w:type="dxa"/>
            <w:tcBorders/>
            <w:vAlign w:val="center"/>
          </w:tcPr>
          <w:p>
            <w:pPr>
              <w:pStyle w:val="TableContents"/>
              <w:bidi w:val="0"/>
              <w:spacing w:before="0" w:after="1"/>
              <w:ind w:left="0" w:right="0" w:hanging="0"/>
              <w:jc w:val="left"/>
              <w:rPr/>
            </w:pPr>
            <w:r>
              <w:rPr/>
              <w:t>​</w:t>
            </w:r>
          </w:p>
        </w:tc>
        <w:tc>
          <w:tcPr>
            <w:tcW w:w="310" w:type="dxa"/>
            <w:tcBorders/>
            <w:vAlign w:val="center"/>
          </w:tcPr>
          <w:p>
            <w:pPr>
              <w:pStyle w:val="TableContents"/>
              <w:bidi w:val="0"/>
              <w:spacing w:before="0" w:after="1"/>
              <w:ind w:left="0" w:right="0" w:hanging="0"/>
              <w:jc w:val="left"/>
              <w:rPr/>
            </w:pPr>
            <w:r>
              <w:rPr/>
              <w:t>​</w:t>
            </w:r>
          </w:p>
        </w:tc>
        <w:tc>
          <w:tcPr>
            <w:tcW w:w="95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(141)</w:t>
            </w:r>
          </w:p>
        </w:tc>
        <w:tc>
          <w:tcPr>
            <w:tcW w:w="28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08"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(1,782)</w:t>
            </w:r>
          </w:p>
        </w:tc>
      </w:tr>
      <w:tr>
        <w:trPr/>
        <w:tc>
          <w:tcPr>
            <w:tcW w:w="123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Common Stock Repurchases</w:t>
            </w:r>
          </w:p>
        </w:tc>
        <w:tc>
          <w:tcPr>
            <w:tcW w:w="109" w:type="dxa"/>
            <w:tcBorders/>
            <w:shd w:fill="CCEEFF" w:val="clear"/>
            <w:vAlign w:val="center"/>
          </w:tcPr>
          <w:p>
            <w:pPr>
              <w:pStyle w:val="TableContents"/>
              <w:bidi w:val="0"/>
              <w:spacing w:before="0" w:after="1"/>
              <w:ind w:left="0" w:right="0" w:hanging="0"/>
              <w:jc w:val="left"/>
              <w:rPr/>
            </w:pPr>
            <w:r>
              <w:rPr/>
              <w:t>​</w:t>
            </w:r>
          </w:p>
        </w:tc>
        <w:tc>
          <w:tcPr>
            <w:tcW w:w="298" w:type="dxa"/>
            <w:tcBorders/>
            <w:shd w:fill="CCEEFF" w:val="clear"/>
            <w:vAlign w:val="center"/>
          </w:tcPr>
          <w:p>
            <w:pPr>
              <w:pStyle w:val="TableContents"/>
              <w:bidi w:val="0"/>
              <w:spacing w:before="0" w:after="1"/>
              <w:ind w:left="0" w:right="0" w:hanging="0"/>
              <w:jc w:val="left"/>
              <w:rPr/>
            </w:pPr>
            <w:r>
              <w:rPr/>
              <w:t>​</w:t>
            </w:r>
          </w:p>
        </w:tc>
        <w:tc>
          <w:tcPr>
            <w:tcW w:w="528"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83" w:type="dxa"/>
            <w:tcBorders/>
            <w:shd w:fill="CCEEFF" w:val="clear"/>
            <w:vAlign w:val="center"/>
          </w:tcPr>
          <w:p>
            <w:pPr>
              <w:pStyle w:val="TableContents"/>
              <w:bidi w:val="0"/>
              <w:spacing w:before="0" w:after="1"/>
              <w:ind w:left="0" w:right="0" w:hanging="0"/>
              <w:jc w:val="left"/>
              <w:rPr/>
            </w:pPr>
            <w:r>
              <w:rPr/>
              <w:t>​</w:t>
            </w:r>
          </w:p>
        </w:tc>
        <w:tc>
          <w:tcPr>
            <w:tcW w:w="54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w:t>
            </w:r>
          </w:p>
        </w:tc>
        <w:tc>
          <w:tcPr>
            <w:tcW w:w="286" w:type="dxa"/>
            <w:tcBorders/>
            <w:shd w:fill="CCEEFF" w:val="clear"/>
            <w:vAlign w:val="center"/>
          </w:tcPr>
          <w:p>
            <w:pPr>
              <w:pStyle w:val="TableContents"/>
              <w:bidi w:val="0"/>
              <w:spacing w:before="0" w:after="1"/>
              <w:ind w:left="0" w:right="0" w:hanging="0"/>
              <w:jc w:val="left"/>
              <w:rPr/>
            </w:pPr>
            <w:r>
              <w:rPr/>
              <w:t>​</w:t>
            </w:r>
          </w:p>
        </w:tc>
        <w:tc>
          <w:tcPr>
            <w:tcW w:w="205" w:type="dxa"/>
            <w:tcBorders/>
            <w:shd w:fill="CCEEFF" w:val="clear"/>
            <w:vAlign w:val="center"/>
          </w:tcPr>
          <w:p>
            <w:pPr>
              <w:pStyle w:val="TableContents"/>
              <w:bidi w:val="0"/>
              <w:spacing w:before="0" w:after="1"/>
              <w:ind w:left="0" w:right="0" w:hanging="0"/>
              <w:jc w:val="left"/>
              <w:rPr/>
            </w:pPr>
            <w:r>
              <w:rPr/>
              <w:t>​</w:t>
            </w:r>
          </w:p>
        </w:tc>
        <w:tc>
          <w:tcPr>
            <w:tcW w:w="7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(4,314)</w:t>
            </w:r>
          </w:p>
        </w:tc>
        <w:tc>
          <w:tcPr>
            <w:tcW w:w="28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0" w:type="dxa"/>
            <w:tcBorders/>
            <w:shd w:fill="CCEEFF" w:val="cle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right"/>
              <w:rPr/>
            </w:pPr>
            <w:r>
              <w:rPr/>
              <w:t>​</w:t>
            </w:r>
          </w:p>
        </w:tc>
        <w:tc>
          <w:tcPr>
            <w:tcW w:w="333" w:type="dxa"/>
            <w:tcBorders/>
            <w:shd w:fill="CCEEFF" w:val="clear"/>
            <w:vAlign w:val="center"/>
          </w:tcPr>
          <w:p>
            <w:pPr>
              <w:pStyle w:val="TableContents"/>
              <w:bidi w:val="0"/>
              <w:spacing w:before="0" w:after="1"/>
              <w:ind w:left="0" w:right="0" w:hanging="0"/>
              <w:jc w:val="left"/>
              <w:rPr/>
            </w:pPr>
            <w:r>
              <w:rPr/>
              <w:t>​</w:t>
            </w:r>
          </w:p>
        </w:tc>
        <w:tc>
          <w:tcPr>
            <w:tcW w:w="973" w:type="dxa"/>
            <w:tcBorders/>
            <w:shd w:fill="CCEEFF" w:val="cle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left"/>
              <w:rPr/>
            </w:pPr>
            <w:r>
              <w:rPr/>
              <w:t>​</w:t>
            </w:r>
          </w:p>
        </w:tc>
        <w:tc>
          <w:tcPr>
            <w:tcW w:w="255"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(4,316)</w:t>
            </w:r>
          </w:p>
        </w:tc>
        <w:tc>
          <w:tcPr>
            <w:tcW w:w="286" w:type="dxa"/>
            <w:tcBorders/>
            <w:shd w:fill="CCEEFF" w:val="clear"/>
            <w:vAlign w:val="center"/>
          </w:tcPr>
          <w:p>
            <w:pPr>
              <w:pStyle w:val="TableContents"/>
              <w:bidi w:val="0"/>
              <w:spacing w:before="0" w:after="1"/>
              <w:ind w:left="0" w:right="0" w:hanging="0"/>
              <w:jc w:val="left"/>
              <w:rPr/>
            </w:pPr>
            <w:r>
              <w:rPr/>
              <w:t>​</w:t>
            </w:r>
          </w:p>
        </w:tc>
        <w:tc>
          <w:tcPr>
            <w:tcW w:w="310" w:type="dxa"/>
            <w:tcBorders/>
            <w:shd w:fill="CCEEFF" w:val="clear"/>
            <w:vAlign w:val="center"/>
          </w:tcPr>
          <w:p>
            <w:pPr>
              <w:pStyle w:val="TableContents"/>
              <w:bidi w:val="0"/>
              <w:spacing w:before="0" w:after="1"/>
              <w:ind w:left="0" w:right="0" w:hanging="0"/>
              <w:jc w:val="left"/>
              <w:rPr/>
            </w:pPr>
            <w:r>
              <w:rPr/>
              <w:t>​</w:t>
            </w:r>
          </w:p>
        </w:tc>
        <w:tc>
          <w:tcPr>
            <w:tcW w:w="951" w:type="dxa"/>
            <w:tcBorders/>
            <w:shd w:fill="CCEEFF" w:val="cle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08"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(4,316)</w:t>
            </w:r>
          </w:p>
        </w:tc>
      </w:tr>
      <w:tr>
        <w:trPr/>
        <w:tc>
          <w:tcPr>
            <w:tcW w:w="123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Common Stock Issuances to Directors</w:t>
            </w:r>
          </w:p>
        </w:tc>
        <w:tc>
          <w:tcPr>
            <w:tcW w:w="109" w:type="dxa"/>
            <w:tcBorders/>
            <w:vAlign w:val="center"/>
          </w:tcPr>
          <w:p>
            <w:pPr>
              <w:pStyle w:val="TableContents"/>
              <w:bidi w:val="0"/>
              <w:spacing w:before="0" w:after="1"/>
              <w:ind w:left="0" w:right="0" w:hanging="0"/>
              <w:jc w:val="left"/>
              <w:rPr/>
            </w:pPr>
            <w:r>
              <w:rPr/>
              <w:t>​</w:t>
            </w:r>
          </w:p>
        </w:tc>
        <w:tc>
          <w:tcPr>
            <w:tcW w:w="298" w:type="dxa"/>
            <w:tcBorders/>
            <w:vAlign w:val="center"/>
          </w:tcPr>
          <w:p>
            <w:pPr>
              <w:pStyle w:val="TableContents"/>
              <w:bidi w:val="0"/>
              <w:spacing w:before="0" w:after="1"/>
              <w:ind w:left="0" w:right="0" w:hanging="0"/>
              <w:jc w:val="left"/>
              <w:rPr/>
            </w:pPr>
            <w:r>
              <w:rPr/>
              <w:t>​</w:t>
            </w:r>
          </w:p>
        </w:tc>
        <w:tc>
          <w:tcPr>
            <w:tcW w:w="528"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83" w:type="dxa"/>
            <w:tcBorders/>
            <w:vAlign w:val="center"/>
          </w:tcPr>
          <w:p>
            <w:pPr>
              <w:pStyle w:val="TableContents"/>
              <w:bidi w:val="0"/>
              <w:spacing w:before="0" w:after="1"/>
              <w:ind w:left="0" w:right="0" w:hanging="0"/>
              <w:jc w:val="left"/>
              <w:rPr/>
            </w:pPr>
            <w:r>
              <w:rPr/>
              <w:t>​</w:t>
            </w:r>
          </w:p>
        </w:tc>
        <w:tc>
          <w:tcPr>
            <w:tcW w:w="543"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w:t>
            </w:r>
          </w:p>
        </w:tc>
        <w:tc>
          <w:tcPr>
            <w:tcW w:w="205" w:type="dxa"/>
            <w:tcBorders/>
            <w:vAlign w:val="center"/>
          </w:tcPr>
          <w:p>
            <w:pPr>
              <w:pStyle w:val="TableContents"/>
              <w:bidi w:val="0"/>
              <w:spacing w:before="0" w:after="1"/>
              <w:ind w:left="0" w:right="0" w:hanging="0"/>
              <w:jc w:val="left"/>
              <w:rPr/>
            </w:pPr>
            <w:r>
              <w:rPr/>
              <w:t>​</w:t>
            </w:r>
          </w:p>
        </w:tc>
        <w:tc>
          <w:tcPr>
            <w:tcW w:w="7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91</w:t>
            </w:r>
          </w:p>
        </w:tc>
        <w:tc>
          <w:tcPr>
            <w:tcW w:w="28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0"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right"/>
              <w:rPr/>
            </w:pPr>
            <w:r>
              <w:rPr/>
              <w:t>​</w:t>
            </w:r>
          </w:p>
        </w:tc>
        <w:tc>
          <w:tcPr>
            <w:tcW w:w="333" w:type="dxa"/>
            <w:tcBorders/>
            <w:vAlign w:val="center"/>
          </w:tcPr>
          <w:p>
            <w:pPr>
              <w:pStyle w:val="TableContents"/>
              <w:bidi w:val="0"/>
              <w:spacing w:before="0" w:after="1"/>
              <w:ind w:left="0" w:right="0" w:hanging="0"/>
              <w:jc w:val="left"/>
              <w:rPr/>
            </w:pPr>
            <w:r>
              <w:rPr/>
              <w:t>​</w:t>
            </w:r>
          </w:p>
        </w:tc>
        <w:tc>
          <w:tcPr>
            <w:tcW w:w="973"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w:t>
            </w:r>
          </w:p>
        </w:tc>
        <w:tc>
          <w:tcPr>
            <w:tcW w:w="255"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91</w:t>
            </w:r>
          </w:p>
        </w:tc>
        <w:tc>
          <w:tcPr>
            <w:tcW w:w="286" w:type="dxa"/>
            <w:tcBorders/>
            <w:vAlign w:val="center"/>
          </w:tcPr>
          <w:p>
            <w:pPr>
              <w:pStyle w:val="TableContents"/>
              <w:bidi w:val="0"/>
              <w:spacing w:before="0" w:after="1"/>
              <w:ind w:left="0" w:right="0" w:hanging="0"/>
              <w:jc w:val="left"/>
              <w:rPr/>
            </w:pPr>
            <w:r>
              <w:rPr/>
              <w:t>​</w:t>
            </w:r>
          </w:p>
        </w:tc>
        <w:tc>
          <w:tcPr>
            <w:tcW w:w="310" w:type="dxa"/>
            <w:tcBorders/>
            <w:vAlign w:val="center"/>
          </w:tcPr>
          <w:p>
            <w:pPr>
              <w:pStyle w:val="TableContents"/>
              <w:bidi w:val="0"/>
              <w:spacing w:before="0" w:after="1"/>
              <w:ind w:left="0" w:right="0" w:hanging="0"/>
              <w:jc w:val="left"/>
              <w:rPr/>
            </w:pPr>
            <w:r>
              <w:rPr/>
              <w:t>​</w:t>
            </w:r>
          </w:p>
        </w:tc>
        <w:tc>
          <w:tcPr>
            <w:tcW w:w="951"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08"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91</w:t>
            </w:r>
          </w:p>
        </w:tc>
      </w:tr>
      <w:tr>
        <w:trPr/>
        <w:tc>
          <w:tcPr>
            <w:tcW w:w="123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Common Stock Dividends ($0.285 per share)</w:t>
            </w:r>
          </w:p>
        </w:tc>
        <w:tc>
          <w:tcPr>
            <w:tcW w:w="109" w:type="dxa"/>
            <w:tcBorders/>
            <w:shd w:fill="CCEEFF" w:val="clear"/>
            <w:vAlign w:val="center"/>
          </w:tcPr>
          <w:p>
            <w:pPr>
              <w:pStyle w:val="TableContents"/>
              <w:bidi w:val="0"/>
              <w:spacing w:before="0" w:after="1"/>
              <w:ind w:left="0" w:right="0" w:hanging="0"/>
              <w:jc w:val="left"/>
              <w:rPr/>
            </w:pPr>
            <w:r>
              <w:rPr/>
              <w:t>​</w:t>
            </w:r>
          </w:p>
        </w:tc>
        <w:tc>
          <w:tcPr>
            <w:tcW w:w="298" w:type="dxa"/>
            <w:tcBorders/>
            <w:shd w:fill="CCEEFF" w:val="clear"/>
            <w:vAlign w:val="center"/>
          </w:tcPr>
          <w:p>
            <w:pPr>
              <w:pStyle w:val="TableContents"/>
              <w:bidi w:val="0"/>
              <w:spacing w:before="0" w:after="1"/>
              <w:ind w:left="0" w:right="0" w:hanging="0"/>
              <w:jc w:val="left"/>
              <w:rPr/>
            </w:pPr>
            <w:r>
              <w:rPr/>
              <w:t>​</w:t>
            </w:r>
          </w:p>
        </w:tc>
        <w:tc>
          <w:tcPr>
            <w:tcW w:w="528"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83" w:type="dxa"/>
            <w:tcBorders/>
            <w:shd w:fill="CCEEFF" w:val="clear"/>
            <w:vAlign w:val="center"/>
          </w:tcPr>
          <w:p>
            <w:pPr>
              <w:pStyle w:val="TableContents"/>
              <w:bidi w:val="0"/>
              <w:spacing w:before="0" w:after="1"/>
              <w:ind w:left="0" w:right="0" w:hanging="0"/>
              <w:jc w:val="left"/>
              <w:rPr/>
            </w:pPr>
            <w:r>
              <w:rPr/>
              <w:t>​</w:t>
            </w:r>
          </w:p>
        </w:tc>
        <w:tc>
          <w:tcPr>
            <w:tcW w:w="543" w:type="dxa"/>
            <w:tcBorders/>
            <w:shd w:fill="CCEEFF" w:val="cle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left"/>
              <w:rPr/>
            </w:pPr>
            <w:r>
              <w:rPr/>
              <w:t>​</w:t>
            </w:r>
          </w:p>
        </w:tc>
        <w:tc>
          <w:tcPr>
            <w:tcW w:w="205" w:type="dxa"/>
            <w:tcBorders/>
            <w:shd w:fill="CCEEFF" w:val="clear"/>
            <w:vAlign w:val="center"/>
          </w:tcPr>
          <w:p>
            <w:pPr>
              <w:pStyle w:val="TableContents"/>
              <w:bidi w:val="0"/>
              <w:spacing w:before="0" w:after="1"/>
              <w:ind w:left="0" w:right="0" w:hanging="0"/>
              <w:jc w:val="left"/>
              <w:rPr/>
            </w:pPr>
            <w:r>
              <w:rPr/>
              <w:t>​</w:t>
            </w:r>
          </w:p>
        </w:tc>
        <w:tc>
          <w:tcPr>
            <w:tcW w:w="726" w:type="dxa"/>
            <w:tcBorders/>
            <w:shd w:fill="CCEEFF" w:val="cle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0"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(4,032)</w:t>
            </w:r>
          </w:p>
        </w:tc>
        <w:tc>
          <w:tcPr>
            <w:tcW w:w="286" w:type="dxa"/>
            <w:tcBorders/>
            <w:shd w:fill="CCEEFF" w:val="clear"/>
            <w:vAlign w:val="center"/>
          </w:tcPr>
          <w:p>
            <w:pPr>
              <w:pStyle w:val="TableContents"/>
              <w:bidi w:val="0"/>
              <w:spacing w:before="0" w:after="1"/>
              <w:ind w:left="0" w:right="0" w:hanging="0"/>
              <w:jc w:val="right"/>
              <w:rPr/>
            </w:pPr>
            <w:r>
              <w:rPr/>
              <w:t>​</w:t>
            </w:r>
          </w:p>
        </w:tc>
        <w:tc>
          <w:tcPr>
            <w:tcW w:w="333" w:type="dxa"/>
            <w:tcBorders/>
            <w:shd w:fill="CCEEFF" w:val="clear"/>
            <w:vAlign w:val="center"/>
          </w:tcPr>
          <w:p>
            <w:pPr>
              <w:pStyle w:val="TableContents"/>
              <w:bidi w:val="0"/>
              <w:spacing w:before="0" w:after="1"/>
              <w:ind w:left="0" w:right="0" w:hanging="0"/>
              <w:jc w:val="left"/>
              <w:rPr/>
            </w:pPr>
            <w:r>
              <w:rPr/>
              <w:t>​</w:t>
            </w:r>
          </w:p>
        </w:tc>
        <w:tc>
          <w:tcPr>
            <w:tcW w:w="973" w:type="dxa"/>
            <w:tcBorders/>
            <w:shd w:fill="CCEEFF" w:val="cle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left"/>
              <w:rPr/>
            </w:pPr>
            <w:r>
              <w:rPr/>
              <w:t>​</w:t>
            </w:r>
          </w:p>
        </w:tc>
        <w:tc>
          <w:tcPr>
            <w:tcW w:w="255"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(4,032)</w:t>
            </w:r>
          </w:p>
        </w:tc>
        <w:tc>
          <w:tcPr>
            <w:tcW w:w="286" w:type="dxa"/>
            <w:tcBorders/>
            <w:shd w:fill="CCEEFF" w:val="clear"/>
            <w:vAlign w:val="center"/>
          </w:tcPr>
          <w:p>
            <w:pPr>
              <w:pStyle w:val="TableContents"/>
              <w:bidi w:val="0"/>
              <w:spacing w:before="0" w:after="1"/>
              <w:ind w:left="0" w:right="0" w:hanging="0"/>
              <w:jc w:val="left"/>
              <w:rPr/>
            </w:pPr>
            <w:r>
              <w:rPr/>
              <w:t>​</w:t>
            </w:r>
          </w:p>
        </w:tc>
        <w:tc>
          <w:tcPr>
            <w:tcW w:w="310" w:type="dxa"/>
            <w:tcBorders/>
            <w:shd w:fill="CCEEFF" w:val="clear"/>
            <w:vAlign w:val="center"/>
          </w:tcPr>
          <w:p>
            <w:pPr>
              <w:pStyle w:val="TableContents"/>
              <w:bidi w:val="0"/>
              <w:spacing w:before="0" w:after="1"/>
              <w:ind w:left="0" w:right="0" w:hanging="0"/>
              <w:jc w:val="left"/>
              <w:rPr/>
            </w:pPr>
            <w:r>
              <w:rPr/>
              <w:t>​</w:t>
            </w:r>
          </w:p>
        </w:tc>
        <w:tc>
          <w:tcPr>
            <w:tcW w:w="95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(349)</w:t>
            </w:r>
          </w:p>
        </w:tc>
        <w:tc>
          <w:tcPr>
            <w:tcW w:w="28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08"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(4,381)</w:t>
            </w:r>
          </w:p>
        </w:tc>
      </w:tr>
      <w:tr>
        <w:trPr/>
        <w:tc>
          <w:tcPr>
            <w:tcW w:w="123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 Comprehensive Loss</w:t>
            </w:r>
          </w:p>
        </w:tc>
        <w:tc>
          <w:tcPr>
            <w:tcW w:w="109" w:type="dxa"/>
            <w:tcBorders/>
            <w:vAlign w:val="center"/>
          </w:tcPr>
          <w:p>
            <w:pPr>
              <w:pStyle w:val="TableContents"/>
              <w:bidi w:val="0"/>
              <w:spacing w:before="0" w:after="1"/>
              <w:ind w:left="0" w:right="0" w:hanging="0"/>
              <w:jc w:val="left"/>
              <w:rPr/>
            </w:pPr>
            <w:r>
              <w:rPr/>
              <w:t>​</w:t>
            </w:r>
          </w:p>
        </w:tc>
        <w:tc>
          <w:tcPr>
            <w:tcW w:w="29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28"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8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43"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w:t>
            </w:r>
          </w:p>
        </w:tc>
        <w:tc>
          <w:tcPr>
            <w:tcW w:w="20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2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90"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right"/>
              <w:rPr/>
            </w:pPr>
            <w:r>
              <w:rPr/>
              <w:t>​</w:t>
            </w:r>
          </w:p>
        </w:tc>
        <w:tc>
          <w:tcPr>
            <w:tcW w:w="33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7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(1,206)</w:t>
            </w:r>
          </w:p>
        </w:tc>
        <w:tc>
          <w:tcPr>
            <w:tcW w:w="286" w:type="dxa"/>
            <w:tcBorders/>
            <w:vAlign w:val="center"/>
          </w:tcPr>
          <w:p>
            <w:pPr>
              <w:pStyle w:val="TableContents"/>
              <w:bidi w:val="0"/>
              <w:spacing w:before="0" w:after="1"/>
              <w:ind w:left="0" w:right="0" w:hanging="0"/>
              <w:jc w:val="left"/>
              <w:rPr/>
            </w:pPr>
            <w:r>
              <w:rPr/>
              <w:t>​</w:t>
            </w:r>
          </w:p>
        </w:tc>
        <w:tc>
          <w:tcPr>
            <w:tcW w:w="25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(1,206)</w:t>
            </w:r>
          </w:p>
        </w:tc>
        <w:tc>
          <w:tcPr>
            <w:tcW w:w="286" w:type="dxa"/>
            <w:tcBorders/>
            <w:vAlign w:val="center"/>
          </w:tcPr>
          <w:p>
            <w:pPr>
              <w:pStyle w:val="TableContents"/>
              <w:bidi w:val="0"/>
              <w:spacing w:before="0" w:after="1"/>
              <w:ind w:left="0" w:right="0" w:hanging="0"/>
              <w:jc w:val="left"/>
              <w:rPr/>
            </w:pPr>
            <w:r>
              <w:rPr/>
              <w:t>​</w:t>
            </w:r>
          </w:p>
        </w:tc>
        <w:tc>
          <w:tcPr>
            <w:tcW w:w="31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(104)</w:t>
            </w:r>
          </w:p>
        </w:tc>
        <w:tc>
          <w:tcPr>
            <w:tcW w:w="28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0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(1,310)</w:t>
            </w:r>
          </w:p>
        </w:tc>
      </w:tr>
      <w:tr>
        <w:trPr/>
        <w:tc>
          <w:tcPr>
            <w:tcW w:w="123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Balance June 30, 2025</w:t>
            </w:r>
          </w:p>
        </w:tc>
        <w:tc>
          <w:tcPr>
            <w:tcW w:w="109" w:type="dxa"/>
            <w:tcBorders/>
            <w:shd w:fill="CCEEFF" w:val="clear"/>
            <w:vAlign w:val="center"/>
          </w:tcPr>
          <w:p>
            <w:pPr>
              <w:pStyle w:val="TableContents"/>
              <w:bidi w:val="0"/>
              <w:spacing w:before="0" w:after="1"/>
              <w:ind w:left="0" w:right="0" w:hanging="0"/>
              <w:jc w:val="left"/>
              <w:rPr/>
            </w:pPr>
            <w:r>
              <w:rPr/>
              <w:t>​</w:t>
            </w:r>
          </w:p>
        </w:tc>
        <w:tc>
          <w:tcPr>
            <w:tcW w:w="29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52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8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54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142</w:t>
            </w:r>
          </w:p>
        </w:tc>
        <w:tc>
          <w:tcPr>
            <w:tcW w:w="286" w:type="dxa"/>
            <w:tcBorders/>
            <w:shd w:fill="CCEEFF" w:val="clear"/>
            <w:vAlign w:val="center"/>
          </w:tcPr>
          <w:p>
            <w:pPr>
              <w:pStyle w:val="TableContents"/>
              <w:bidi w:val="0"/>
              <w:spacing w:before="0" w:after="1"/>
              <w:ind w:left="0" w:right="0" w:hanging="0"/>
              <w:jc w:val="left"/>
              <w:rPr/>
            </w:pPr>
            <w:r>
              <w:rPr/>
              <w:t>​</w:t>
            </w:r>
          </w:p>
        </w:tc>
        <w:tc>
          <w:tcPr>
            <w:tcW w:w="20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2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253,067</w:t>
            </w:r>
          </w:p>
        </w:tc>
        <w:tc>
          <w:tcPr>
            <w:tcW w:w="28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9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(26,721)</w:t>
            </w:r>
          </w:p>
        </w:tc>
        <w:tc>
          <w:tcPr>
            <w:tcW w:w="286" w:type="dxa"/>
            <w:tcBorders/>
            <w:shd w:fill="CCEEFF" w:val="clear"/>
            <w:vAlign w:val="center"/>
          </w:tcPr>
          <w:p>
            <w:pPr>
              <w:pStyle w:val="TableContents"/>
              <w:bidi w:val="0"/>
              <w:spacing w:before="0" w:after="1"/>
              <w:ind w:left="0" w:right="0" w:hanging="0"/>
              <w:jc w:val="right"/>
              <w:rPr/>
            </w:pPr>
            <w:r>
              <w:rPr/>
              <w:t>​</w:t>
            </w:r>
          </w:p>
        </w:tc>
        <w:tc>
          <w:tcPr>
            <w:tcW w:w="33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7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3,357</w:t>
            </w:r>
          </w:p>
        </w:tc>
        <w:tc>
          <w:tcPr>
            <w:tcW w:w="286" w:type="dxa"/>
            <w:tcBorders/>
            <w:shd w:fill="CCEEFF" w:val="clear"/>
            <w:vAlign w:val="center"/>
          </w:tcPr>
          <w:p>
            <w:pPr>
              <w:pStyle w:val="TableContents"/>
              <w:bidi w:val="0"/>
              <w:spacing w:before="0" w:after="1"/>
              <w:ind w:left="0" w:right="0" w:hanging="0"/>
              <w:jc w:val="left"/>
              <w:rPr/>
            </w:pPr>
            <w:r>
              <w:rPr/>
              <w:t>​</w:t>
            </w:r>
          </w:p>
        </w:tc>
        <w:tc>
          <w:tcPr>
            <w:tcW w:w="25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229,845</w:t>
            </w:r>
          </w:p>
        </w:tc>
        <w:tc>
          <w:tcPr>
            <w:tcW w:w="286" w:type="dxa"/>
            <w:tcBorders/>
            <w:shd w:fill="CCEEFF" w:val="clear"/>
            <w:vAlign w:val="center"/>
          </w:tcPr>
          <w:p>
            <w:pPr>
              <w:pStyle w:val="TableContents"/>
              <w:bidi w:val="0"/>
              <w:spacing w:before="0" w:after="1"/>
              <w:ind w:left="0" w:right="0" w:hanging="0"/>
              <w:jc w:val="left"/>
              <w:rPr/>
            </w:pPr>
            <w:r>
              <w:rPr/>
              <w:t>​</w:t>
            </w:r>
          </w:p>
        </w:tc>
        <w:tc>
          <w:tcPr>
            <w:tcW w:w="31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5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22,242</w:t>
            </w:r>
          </w:p>
        </w:tc>
        <w:tc>
          <w:tcPr>
            <w:tcW w:w="28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08" w:type="dxa"/>
            <w:tcBorders>
              <w:bottom w:val="double" w:sz="6" w:space="0" w:color="000000"/>
            </w:tcBorders>
            <w:shd w:fill="CCEEFF" w:val="clear"/>
            <w:tcMar>
              <w:bottom w:w="28" w:type="dxa"/>
            </w:tcMar>
            <w:vAlign w:val="center"/>
          </w:tcPr>
          <w:p>
            <w:pPr>
              <w:pStyle w:val="TableContents"/>
              <w:bidi w:val="0"/>
              <w:spacing w:before="0" w:after="1"/>
              <w:ind w:left="0" w:right="72" w:hanging="0"/>
              <w:jc w:val="right"/>
              <w:rPr>
                <w:rFonts w:ascii="Times New Roman;Times;serif" w:hAnsi="Times New Roman;Times;serif"/>
                <w:sz w:val="18"/>
              </w:rPr>
            </w:pPr>
            <w:r>
              <w:rPr>
                <w:rFonts w:ascii="Times New Roman;Times;serif" w:hAnsi="Times New Roman;Times;serif"/>
                <w:sz w:val="18"/>
              </w:rPr>
              <w:t>252,087</w:t>
            </w:r>
          </w:p>
        </w:tc>
      </w:tr>
    </w:tbl>
    <w:p>
      <w:pPr>
        <w:pStyle w:val="TextBody"/>
        <w:bidi w:val="0"/>
        <w:spacing w:before="0" w:after="240"/>
        <w:ind w:left="0" w:right="0" w:hanging="0"/>
        <w:jc w:val="center"/>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accompanying notes are an integral part of these consolidated financial statements.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sz w:val="19"/>
        </w:rPr>
      </w:pPr>
      <w:r>
        <w:rPr>
          <w:rFonts w:ascii="Times New Roman;Times;serif" w:hAnsi="Times New Roman;Times;serif"/>
          <w:sz w:val="19"/>
        </w:rPr>
        <w:t>ALPINE INCOME PROPERTY TRUST, INC.</w:t>
      </w:r>
    </w:p>
    <w:p>
      <w:pPr>
        <w:pStyle w:val="TextBody"/>
        <w:bidi w:val="0"/>
        <w:spacing w:before="0" w:after="0"/>
        <w:ind w:left="0" w:right="0" w:hanging="0"/>
        <w:jc w:val="center"/>
        <w:rPr>
          <w:rFonts w:ascii="Times New Roman;Times;serif" w:hAnsi="Times New Roman;Times;serif"/>
          <w:sz w:val="19"/>
        </w:rPr>
      </w:pPr>
      <w:r>
        <w:rPr>
          <w:rFonts w:ascii="Times New Roman;Times;serif" w:hAnsi="Times New Roman;Times;serif"/>
          <w:sz w:val="19"/>
        </w:rPr>
        <w:t>CONSOLIDATED STATEMENTS OF STOCKHOLDERS’ EQUITY</w:t>
      </w:r>
    </w:p>
    <w:p>
      <w:pPr>
        <w:pStyle w:val="TextBody"/>
        <w:bidi w:val="0"/>
        <w:spacing w:before="0" w:after="0"/>
        <w:ind w:left="0" w:right="0" w:hanging="0"/>
        <w:jc w:val="center"/>
        <w:rPr>
          <w:rFonts w:ascii="Times New Roman;Times;serif" w:hAnsi="Times New Roman;Times;serif"/>
          <w:sz w:val="19"/>
        </w:rPr>
      </w:pPr>
      <w:r>
        <w:rPr>
          <w:rFonts w:ascii="Times New Roman;Times;serif" w:hAnsi="Times New Roman;Times;serif"/>
          <w:sz w:val="19"/>
        </w:rPr>
        <w:t>(Unaudited, in thousands, except per share data)</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 the six months ended June 30, 2026:</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540" w:name="Tc_X7Uecoz81kq504plw8aE3Q_9_23"/>
      <w:bookmarkStart w:id="541" w:name="Tc_IZkkRdVNi0SY2jsFtERizg_9_20"/>
      <w:bookmarkStart w:id="542" w:name="Tc_3Sp6OvX0m0qYDD1cEsZClQ_9_17"/>
      <w:bookmarkStart w:id="543" w:name="Tc_8v2DVNRH4k2MXtrXXG7i6A_9_14"/>
      <w:bookmarkStart w:id="544" w:name="Tc_owlICgRqvUKY1IYAYMQ9PQ_9_11"/>
      <w:bookmarkStart w:id="545" w:name="Tc_PEQr-eeh1EOdLOB1XMisLg_9_8"/>
      <w:bookmarkStart w:id="546" w:name="Tc_hYYL-iidNkGwdi0oFEFWEA_9_5"/>
      <w:bookmarkStart w:id="547" w:name="Tc_Zf2Gj5gzfk2vdnv4NwmNNg_9_2"/>
      <w:bookmarkStart w:id="548" w:name="Tc_8Em8FAFum0K3bClDbYBm9g_9_0"/>
      <w:bookmarkStart w:id="549" w:name="Tc_Zs19_a5BAEup6ctZL8okqw_8_12"/>
      <w:bookmarkStart w:id="550" w:name="Tc_ia_RfuIdsUijLFnPaXNQVQ_8_9"/>
      <w:bookmarkStart w:id="551" w:name="Tc_D-9hDtt0e0Wi-rZ-IFzgNw_8_6"/>
      <w:bookmarkStart w:id="552" w:name="Tc_ArnV4er29ke9R4oADA0sGQ_8_3"/>
      <w:bookmarkStart w:id="553" w:name="Tc_dWZLtwEKg0ypBndaOChGiw_8_0"/>
      <w:bookmarkStart w:id="554" w:name="Tc_1ysp2Bq8yE-ZRZcbvmN59Q_7_15"/>
      <w:bookmarkStart w:id="555" w:name="Tc_2OZvEJ-hV0SyBQ8rY-C-KQ_7_9"/>
      <w:bookmarkStart w:id="556" w:name="Tc_b0FW-00qsUma5n2F8DyjyQ_7_6"/>
      <w:bookmarkStart w:id="557" w:name="Tc_z95mS3JSnUaIbzkZ85gWuQ_7_3"/>
      <w:bookmarkStart w:id="558" w:name="Tc_m2q07hAiHk69CAb7b2bacQ_7_0"/>
      <w:bookmarkStart w:id="559" w:name="Tc_bwQ2oFdElkGNpnDJV4y1zQ_6_21"/>
      <w:bookmarkStart w:id="560" w:name="Tc_K2Y0Rq548UGS1cHju_66Fg_6_15"/>
      <w:bookmarkStart w:id="561" w:name="Tc_jdvmg54WVkmoPN3w6FpncA_6_9"/>
      <w:bookmarkStart w:id="562" w:name="Tc_ie6hR52ukUau2EG_h9VN1A_6_6"/>
      <w:bookmarkStart w:id="563" w:name="Tc_Ekky-w8rQEOIyT8cqTuZow_6_3"/>
      <w:bookmarkStart w:id="564" w:name="Tc_CYtGT8V_-0y3TbR1s4Ivqg_6_0"/>
      <w:bookmarkStart w:id="565" w:name="Tc_8PDb0XIyaUmN3x7VqI0CwQ_5_21"/>
      <w:bookmarkStart w:id="566" w:name="Tc_hccqgG0hRUezrARrCZcVOw_5_15"/>
      <w:bookmarkStart w:id="567" w:name="Tc_lBiwhm47q0GUvQwUFodu7A_5_12"/>
      <w:bookmarkStart w:id="568" w:name="Tc_PabWF-1d4UaU_GtLqanmcQ_5_0"/>
      <w:bookmarkStart w:id="569" w:name="Tc_SuDFcMy7wEyMy6xLrF1QTA_4_21"/>
      <w:bookmarkStart w:id="570" w:name="Tc_l_Yw3ys9bEKtIaK-a7-yNg_4_15"/>
      <w:bookmarkStart w:id="571" w:name="Tc_DvKxV5vNkka_CyIu9MCuDA_4_12"/>
      <w:bookmarkStart w:id="572" w:name="Tc_7_QB018KnkCsV46ZXe3rzg_4_6"/>
      <w:bookmarkStart w:id="573" w:name="Tc_YYn8iTbu4kysM59fyZ4_Dg_4_3"/>
      <w:bookmarkStart w:id="574" w:name="Tc_Eca1fRGHm0yk16TxVU0OoA_4_0"/>
      <w:bookmarkStart w:id="575" w:name="Tc_V492Qwv9GE-spTUc0OKXcA_3_15"/>
      <w:bookmarkStart w:id="576" w:name="Tc_Bs1GC501qEe6ye6AliuUKA_3_9"/>
      <w:bookmarkStart w:id="577" w:name="Tc_f5iD4F3vvU6Gpc6Qw5LJCA_3_6"/>
      <w:bookmarkStart w:id="578" w:name="Tc_iO-lXMDrgEuoe_OEerlA8Q_3_3"/>
      <w:bookmarkStart w:id="579" w:name="Tc_FjvDd06DJkiaKFw8A3iohQ_3_0"/>
      <w:bookmarkStart w:id="580" w:name="Tc_l1dMKpSM_EeWm0aszTjHNw_2_23"/>
      <w:bookmarkStart w:id="581" w:name="Tc_bU-vLMYEfE2GbpxfgZcADw_2_20"/>
      <w:bookmarkStart w:id="582" w:name="Tc_Llzxpi_NeEyUfNM9f-PuIw_2_17"/>
      <w:bookmarkStart w:id="583" w:name="Tc_UFjhRI5anUWTm8MQSNK3WQ_2_14"/>
      <w:bookmarkStart w:id="584" w:name="Tc_By1CbB6J20G9FRbevLHY2Q_2_11"/>
      <w:bookmarkStart w:id="585" w:name="Tc_Mx65jUqJWku-tMsUH-0JyA_2_8"/>
      <w:bookmarkStart w:id="586" w:name="Tc_U0wQBI0MN0uQzQcozAGNIg_2_5"/>
      <w:bookmarkStart w:id="587" w:name="Tc_rnOpp5M2Nka5-8qIyszmfw_2_2"/>
      <w:bookmarkStart w:id="588" w:name="Tc_hJUvdmwsnEWKpRcTsshF_Q_2_0"/>
      <w:bookmarkStart w:id="589" w:name="Tc_EgPi-Q1_MEKscpjPrH05gg_1_23"/>
      <w:bookmarkStart w:id="590" w:name="Tc_HxhzczOZzUO696DThM_jVw_1_20"/>
      <w:bookmarkStart w:id="591" w:name="Tc_st3l8cr8h0yAatSnS2vvCw_1_17"/>
      <w:bookmarkStart w:id="592" w:name="Tc_aDm3TBNpL0CVlJ8RxJqN-A_1_14"/>
      <w:bookmarkStart w:id="593" w:name="Tc_pLDZ48-H3kyvzlISQX7UMQ_1_11"/>
      <w:bookmarkStart w:id="594" w:name="Tc_cd9cJ6aYO02kZt2qZYo-fw_1_8"/>
      <w:bookmarkStart w:id="595" w:name="Tc_Zh8iRAzdQUmWIO01iA17CA_1_5"/>
      <w:bookmarkStart w:id="596" w:name="Tc_JK1x6v72G0GzEeLExEworA_1_2"/>
      <w:bookmarkStart w:id="597" w:name="_35177446_7c00_407d_b84f_31e843990b0d"/>
      <w:bookmarkStart w:id="598" w:name="Tc_X7Uecoz81kq504plw8aE3Q_9_23"/>
      <w:bookmarkStart w:id="599" w:name="Tc_IZkkRdVNi0SY2jsFtERizg_9_20"/>
      <w:bookmarkStart w:id="600" w:name="Tc_3Sp6OvX0m0qYDD1cEsZClQ_9_17"/>
      <w:bookmarkStart w:id="601" w:name="Tc_8v2DVNRH4k2MXtrXXG7i6A_9_14"/>
      <w:bookmarkStart w:id="602" w:name="Tc_owlICgRqvUKY1IYAYMQ9PQ_9_11"/>
      <w:bookmarkStart w:id="603" w:name="Tc_PEQr-eeh1EOdLOB1XMisLg_9_8"/>
      <w:bookmarkStart w:id="604" w:name="Tc_hYYL-iidNkGwdi0oFEFWEA_9_5"/>
      <w:bookmarkStart w:id="605" w:name="Tc_Zf2Gj5gzfk2vdnv4NwmNNg_9_2"/>
      <w:bookmarkStart w:id="606" w:name="Tc_8Em8FAFum0K3bClDbYBm9g_9_0"/>
      <w:bookmarkStart w:id="607" w:name="Tc_Zs19_a5BAEup6ctZL8okqw_8_12"/>
      <w:bookmarkStart w:id="608" w:name="Tc_ia_RfuIdsUijLFnPaXNQVQ_8_9"/>
      <w:bookmarkStart w:id="609" w:name="Tc_D-9hDtt0e0Wi-rZ-IFzgNw_8_6"/>
      <w:bookmarkStart w:id="610" w:name="Tc_ArnV4er29ke9R4oADA0sGQ_8_3"/>
      <w:bookmarkStart w:id="611" w:name="Tc_dWZLtwEKg0ypBndaOChGiw_8_0"/>
      <w:bookmarkStart w:id="612" w:name="Tc_1ysp2Bq8yE-ZRZcbvmN59Q_7_15"/>
      <w:bookmarkStart w:id="613" w:name="Tc_2OZvEJ-hV0SyBQ8rY-C-KQ_7_9"/>
      <w:bookmarkStart w:id="614" w:name="Tc_b0FW-00qsUma5n2F8DyjyQ_7_6"/>
      <w:bookmarkStart w:id="615" w:name="Tc_z95mS3JSnUaIbzkZ85gWuQ_7_3"/>
      <w:bookmarkStart w:id="616" w:name="Tc_m2q07hAiHk69CAb7b2bacQ_7_0"/>
      <w:bookmarkStart w:id="617" w:name="Tc_bwQ2oFdElkGNpnDJV4y1zQ_6_21"/>
      <w:bookmarkStart w:id="618" w:name="Tc_K2Y0Rq548UGS1cHju_66Fg_6_15"/>
      <w:bookmarkStart w:id="619" w:name="Tc_jdvmg54WVkmoPN3w6FpncA_6_9"/>
      <w:bookmarkStart w:id="620" w:name="Tc_ie6hR52ukUau2EG_h9VN1A_6_6"/>
      <w:bookmarkStart w:id="621" w:name="Tc_Ekky-w8rQEOIyT8cqTuZow_6_3"/>
      <w:bookmarkStart w:id="622" w:name="Tc_CYtGT8V_-0y3TbR1s4Ivqg_6_0"/>
      <w:bookmarkStart w:id="623" w:name="Tc_8PDb0XIyaUmN3x7VqI0CwQ_5_21"/>
      <w:bookmarkStart w:id="624" w:name="Tc_hccqgG0hRUezrARrCZcVOw_5_15"/>
      <w:bookmarkStart w:id="625" w:name="Tc_lBiwhm47q0GUvQwUFodu7A_5_12"/>
      <w:bookmarkStart w:id="626" w:name="Tc_PabWF-1d4UaU_GtLqanmcQ_5_0"/>
      <w:bookmarkStart w:id="627" w:name="Tc_SuDFcMy7wEyMy6xLrF1QTA_4_21"/>
      <w:bookmarkStart w:id="628" w:name="Tc_l_Yw3ys9bEKtIaK-a7-yNg_4_15"/>
      <w:bookmarkStart w:id="629" w:name="Tc_DvKxV5vNkka_CyIu9MCuDA_4_12"/>
      <w:bookmarkStart w:id="630" w:name="Tc_7_QB018KnkCsV46ZXe3rzg_4_6"/>
      <w:bookmarkStart w:id="631" w:name="Tc_YYn8iTbu4kysM59fyZ4_Dg_4_3"/>
      <w:bookmarkStart w:id="632" w:name="Tc_Eca1fRGHm0yk16TxVU0OoA_4_0"/>
      <w:bookmarkStart w:id="633" w:name="Tc_V492Qwv9GE-spTUc0OKXcA_3_15"/>
      <w:bookmarkStart w:id="634" w:name="Tc_Bs1GC501qEe6ye6AliuUKA_3_9"/>
      <w:bookmarkStart w:id="635" w:name="Tc_f5iD4F3vvU6Gpc6Qw5LJCA_3_6"/>
      <w:bookmarkStart w:id="636" w:name="Tc_iO-lXMDrgEuoe_OEerlA8Q_3_3"/>
      <w:bookmarkStart w:id="637" w:name="Tc_FjvDd06DJkiaKFw8A3iohQ_3_0"/>
      <w:bookmarkStart w:id="638" w:name="Tc_l1dMKpSM_EeWm0aszTjHNw_2_23"/>
      <w:bookmarkStart w:id="639" w:name="Tc_bU-vLMYEfE2GbpxfgZcADw_2_20"/>
      <w:bookmarkStart w:id="640" w:name="Tc_Llzxpi_NeEyUfNM9f-PuIw_2_17"/>
      <w:bookmarkStart w:id="641" w:name="Tc_UFjhRI5anUWTm8MQSNK3WQ_2_14"/>
      <w:bookmarkStart w:id="642" w:name="Tc_By1CbB6J20G9FRbevLHY2Q_2_11"/>
      <w:bookmarkStart w:id="643" w:name="Tc_Mx65jUqJWku-tMsUH-0JyA_2_8"/>
      <w:bookmarkStart w:id="644" w:name="Tc_U0wQBI0MN0uQzQcozAGNIg_2_5"/>
      <w:bookmarkStart w:id="645" w:name="Tc_rnOpp5M2Nka5-8qIyszmfw_2_2"/>
      <w:bookmarkStart w:id="646" w:name="Tc_hJUvdmwsnEWKpRcTsshF_Q_2_0"/>
      <w:bookmarkStart w:id="647" w:name="Tc_EgPi-Q1_MEKscpjPrH05gg_1_23"/>
      <w:bookmarkStart w:id="648" w:name="Tc_HxhzczOZzUO696DThM_jVw_1_20"/>
      <w:bookmarkStart w:id="649" w:name="Tc_st3l8cr8h0yAatSnS2vvCw_1_17"/>
      <w:bookmarkStart w:id="650" w:name="Tc_aDm3TBNpL0CVlJ8RxJqN-A_1_14"/>
      <w:bookmarkStart w:id="651" w:name="Tc_pLDZ48-H3kyvzlISQX7UMQ_1_11"/>
      <w:bookmarkStart w:id="652" w:name="Tc_cd9cJ6aYO02kZt2qZYo-fw_1_8"/>
      <w:bookmarkStart w:id="653" w:name="Tc_Zh8iRAzdQUmWIO01iA17CA_1_5"/>
      <w:bookmarkStart w:id="654" w:name="Tc_JK1x6v72G0GzEeLExEworA_1_2"/>
      <w:bookmarkStart w:id="655" w:name="_35177446_7c00_407d_b84f_31e843990b0d"/>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p>
    <w:tbl>
      <w:tblPr>
        <w:tblW w:w="11361" w:type="dxa"/>
        <w:jc w:val="left"/>
        <w:tblInd w:w="0" w:type="dxa"/>
        <w:tblLayout w:type="fixed"/>
        <w:tblCellMar>
          <w:top w:w="0" w:type="dxa"/>
          <w:left w:w="0" w:type="dxa"/>
          <w:bottom w:w="0" w:type="dxa"/>
          <w:right w:w="0" w:type="dxa"/>
        </w:tblCellMar>
      </w:tblPr>
      <w:tblGrid>
        <w:gridCol w:w="1231"/>
        <w:gridCol w:w="109"/>
        <w:gridCol w:w="298"/>
        <w:gridCol w:w="528"/>
        <w:gridCol w:w="109"/>
        <w:gridCol w:w="283"/>
        <w:gridCol w:w="543"/>
        <w:gridCol w:w="286"/>
        <w:gridCol w:w="205"/>
        <w:gridCol w:w="726"/>
        <w:gridCol w:w="286"/>
        <w:gridCol w:w="196"/>
        <w:gridCol w:w="690"/>
        <w:gridCol w:w="286"/>
        <w:gridCol w:w="362"/>
        <w:gridCol w:w="944"/>
        <w:gridCol w:w="286"/>
        <w:gridCol w:w="255"/>
        <w:gridCol w:w="901"/>
        <w:gridCol w:w="286"/>
        <w:gridCol w:w="310"/>
        <w:gridCol w:w="951"/>
        <w:gridCol w:w="286"/>
        <w:gridCol w:w="196"/>
        <w:gridCol w:w="808"/>
      </w:tblGrid>
      <w:tr>
        <w:trPr/>
        <w:tc>
          <w:tcPr>
            <w:tcW w:w="1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781685" cy="175260"/>
                      <wp:effectExtent l="0" t="0" r="0" b="0"/>
                      <wp:wrapNone/>
                      <wp:docPr id="80" name="Frame80"/>
                      <a:graphic xmlns:a="http://schemas.openxmlformats.org/drawingml/2006/main">
                        <a:graphicData uri="http://schemas.microsoft.com/office/word/2010/wordprocessingShape">
                          <wps:wsp>
                            <wps:cNvSpPr txBox="1"/>
                            <wps:spPr>
                              <a:xfrm>
                                <a:off x="0" y="0"/>
                                <a:ext cx="781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9215" cy="175260"/>
                      <wp:effectExtent l="0" t="0" r="0" b="0"/>
                      <wp:wrapNone/>
                      <wp:docPr id="81" name="Frame8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189230" cy="175260"/>
                      <wp:effectExtent l="0" t="0" r="0" b="0"/>
                      <wp:wrapNone/>
                      <wp:docPr id="82" name="Frame82"/>
                      <a:graphic xmlns:a="http://schemas.openxmlformats.org/drawingml/2006/main">
                        <a:graphicData uri="http://schemas.microsoft.com/office/word/2010/wordprocessingShape">
                          <wps:wsp>
                            <wps:cNvSpPr txBox="1"/>
                            <wps:spPr>
                              <a:xfrm>
                                <a:off x="0" y="0"/>
                                <a:ext cx="1892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335280" cy="175260"/>
                      <wp:effectExtent l="0" t="0" r="0" b="0"/>
                      <wp:wrapNone/>
                      <wp:docPr id="83" name="Frame83"/>
                      <a:graphic xmlns:a="http://schemas.openxmlformats.org/drawingml/2006/main">
                        <a:graphicData uri="http://schemas.microsoft.com/office/word/2010/wordprocessingShape">
                          <wps:wsp>
                            <wps:cNvSpPr txBox="1"/>
                            <wps:spPr>
                              <a:xfrm>
                                <a:off x="0" y="0"/>
                                <a:ext cx="3352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9215" cy="175260"/>
                      <wp:effectExtent l="0" t="0" r="0" b="0"/>
                      <wp:wrapNone/>
                      <wp:docPr id="84" name="Frame8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179705" cy="175260"/>
                      <wp:effectExtent l="0" t="0" r="0" b="0"/>
                      <wp:wrapNone/>
                      <wp:docPr id="85" name="Frame85"/>
                      <a:graphic xmlns:a="http://schemas.openxmlformats.org/drawingml/2006/main">
                        <a:graphicData uri="http://schemas.microsoft.com/office/word/2010/wordprocessingShape">
                          <wps:wsp>
                            <wps:cNvSpPr txBox="1"/>
                            <wps:spPr>
                              <a:xfrm>
                                <a:off x="0" y="0"/>
                                <a:ext cx="1797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344805" cy="175260"/>
                      <wp:effectExtent l="0" t="0" r="0" b="0"/>
                      <wp:wrapNone/>
                      <wp:docPr id="86" name="Frame86"/>
                      <a:graphic xmlns:a="http://schemas.openxmlformats.org/drawingml/2006/main">
                        <a:graphicData uri="http://schemas.microsoft.com/office/word/2010/wordprocessingShape">
                          <wps:wsp>
                            <wps:cNvSpPr txBox="1"/>
                            <wps:spPr>
                              <a:xfrm>
                                <a:off x="0" y="0"/>
                                <a:ext cx="3448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181610" cy="175260"/>
                      <wp:effectExtent l="0" t="0" r="0" b="0"/>
                      <wp:wrapNone/>
                      <wp:docPr id="87" name="Frame87"/>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130175" cy="175260"/>
                      <wp:effectExtent l="0" t="0" r="0" b="0"/>
                      <wp:wrapNone/>
                      <wp:docPr id="88" name="Frame88"/>
                      <a:graphic xmlns:a="http://schemas.openxmlformats.org/drawingml/2006/main">
                        <a:graphicData uri="http://schemas.microsoft.com/office/word/2010/wordprocessingShape">
                          <wps:wsp>
                            <wps:cNvSpPr txBox="1"/>
                            <wps:spPr>
                              <a:xfrm>
                                <a:off x="0" y="0"/>
                                <a:ext cx="1301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461010" cy="175260"/>
                      <wp:effectExtent l="0" t="0" r="0" b="0"/>
                      <wp:wrapNone/>
                      <wp:docPr id="89" name="Frame89"/>
                      <a:graphic xmlns:a="http://schemas.openxmlformats.org/drawingml/2006/main">
                        <a:graphicData uri="http://schemas.microsoft.com/office/word/2010/wordprocessingShape">
                          <wps:wsp>
                            <wps:cNvSpPr txBox="1"/>
                            <wps:spPr>
                              <a:xfrm>
                                <a:off x="0" y="0"/>
                                <a:ext cx="461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181610" cy="175260"/>
                      <wp:effectExtent l="0" t="0" r="0" b="0"/>
                      <wp:wrapNone/>
                      <wp:docPr id="90" name="Frame90"/>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124460" cy="175260"/>
                      <wp:effectExtent l="0" t="0" r="0" b="0"/>
                      <wp:wrapNone/>
                      <wp:docPr id="91" name="Frame9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438150" cy="175260"/>
                      <wp:effectExtent l="0" t="0" r="0" b="0"/>
                      <wp:wrapNone/>
                      <wp:docPr id="92" name="Frame92"/>
                      <a:graphic xmlns:a="http://schemas.openxmlformats.org/drawingml/2006/main">
                        <a:graphicData uri="http://schemas.microsoft.com/office/word/2010/wordprocessingShape">
                          <wps:wsp>
                            <wps:cNvSpPr txBox="1"/>
                            <wps:spPr>
                              <a:xfrm>
                                <a:off x="0" y="0"/>
                                <a:ext cx="4381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181610" cy="175260"/>
                      <wp:effectExtent l="0" t="0" r="0" b="0"/>
                      <wp:wrapNone/>
                      <wp:docPr id="93" name="Frame93"/>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229870" cy="175260"/>
                      <wp:effectExtent l="0" t="0" r="0" b="0"/>
                      <wp:wrapNone/>
                      <wp:docPr id="94" name="Frame94"/>
                      <a:graphic xmlns:a="http://schemas.openxmlformats.org/drawingml/2006/main">
                        <a:graphicData uri="http://schemas.microsoft.com/office/word/2010/wordprocessingShape">
                          <wps:wsp>
                            <wps:cNvSpPr txBox="1"/>
                            <wps:spPr>
                              <a:xfrm>
                                <a:off x="0" y="0"/>
                                <a:ext cx="2298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599440" cy="175260"/>
                      <wp:effectExtent l="0" t="0" r="0" b="0"/>
                      <wp:wrapNone/>
                      <wp:docPr id="95" name="Frame95"/>
                      <a:graphic xmlns:a="http://schemas.openxmlformats.org/drawingml/2006/main">
                        <a:graphicData uri="http://schemas.microsoft.com/office/word/2010/wordprocessingShape">
                          <wps:wsp>
                            <wps:cNvSpPr txBox="1"/>
                            <wps:spPr>
                              <a:xfrm>
                                <a:off x="0" y="0"/>
                                <a:ext cx="5994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181610" cy="175260"/>
                      <wp:effectExtent l="0" t="0" r="0" b="0"/>
                      <wp:wrapNone/>
                      <wp:docPr id="96" name="Frame96"/>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161925" cy="175260"/>
                      <wp:effectExtent l="0" t="0" r="0" b="0"/>
                      <wp:wrapNone/>
                      <wp:docPr id="97" name="Frame97"/>
                      <a:graphic xmlns:a="http://schemas.openxmlformats.org/drawingml/2006/main">
                        <a:graphicData uri="http://schemas.microsoft.com/office/word/2010/wordprocessingShape">
                          <wps:wsp>
                            <wps:cNvSpPr txBox="1"/>
                            <wps:spPr>
                              <a:xfrm>
                                <a:off x="0" y="0"/>
                                <a:ext cx="1619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572135" cy="175260"/>
                      <wp:effectExtent l="0" t="0" r="0" b="0"/>
                      <wp:wrapNone/>
                      <wp:docPr id="98" name="Frame98"/>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181610" cy="175260"/>
                      <wp:effectExtent l="0" t="0" r="0" b="0"/>
                      <wp:wrapNone/>
                      <wp:docPr id="99" name="Frame99"/>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196850" cy="175260"/>
                      <wp:effectExtent l="0" t="0" r="0" b="0"/>
                      <wp:wrapNone/>
                      <wp:docPr id="100" name="Frame100"/>
                      <a:graphic xmlns:a="http://schemas.openxmlformats.org/drawingml/2006/main">
                        <a:graphicData uri="http://schemas.microsoft.com/office/word/2010/wordprocessingShape">
                          <wps:wsp>
                            <wps:cNvSpPr txBox="1"/>
                            <wps:spPr>
                              <a:xfrm>
                                <a:off x="0" y="0"/>
                                <a:ext cx="1968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03885" cy="175260"/>
                      <wp:effectExtent l="0" t="0" r="0" b="0"/>
                      <wp:wrapNone/>
                      <wp:docPr id="101" name="Frame101"/>
                      <a:graphic xmlns:a="http://schemas.openxmlformats.org/drawingml/2006/main">
                        <a:graphicData uri="http://schemas.microsoft.com/office/word/2010/wordprocessingShape">
                          <wps:wsp>
                            <wps:cNvSpPr txBox="1"/>
                            <wps:spPr>
                              <a:xfrm>
                                <a:off x="0" y="0"/>
                                <a:ext cx="603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181610" cy="175260"/>
                      <wp:effectExtent l="0" t="0" r="0" b="0"/>
                      <wp:wrapNone/>
                      <wp:docPr id="102" name="Frame102"/>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124460" cy="175260"/>
                      <wp:effectExtent l="0" t="0" r="0" b="0"/>
                      <wp:wrapNone/>
                      <wp:docPr id="103" name="Frame10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513080" cy="175260"/>
                      <wp:effectExtent l="0" t="0" r="0" b="0"/>
                      <wp:wrapNone/>
                      <wp:docPr id="104" name="Frame104"/>
                      <a:graphic xmlns:a="http://schemas.openxmlformats.org/drawingml/2006/main">
                        <a:graphicData uri="http://schemas.microsoft.com/office/word/2010/wordprocessingShape">
                          <wps:wsp>
                            <wps:cNvSpPr txBox="1"/>
                            <wps:spPr>
                              <a:xfrm>
                                <a:off x="0" y="0"/>
                                <a:ext cx="5130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231"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82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Preferred Stock at Par</w:t>
            </w:r>
          </w:p>
        </w:tc>
        <w:tc>
          <w:tcPr>
            <w:tcW w:w="109" w:type="dxa"/>
            <w:tcBorders/>
            <w:vAlign w:val="center"/>
          </w:tcPr>
          <w:p>
            <w:pPr>
              <w:pStyle w:val="TableContents"/>
              <w:bidi w:val="0"/>
              <w:spacing w:before="0" w:after="1"/>
              <w:ind w:left="0" w:right="0" w:hanging="0"/>
              <w:jc w:val="left"/>
              <w:rPr/>
            </w:pPr>
            <w:r>
              <w:rPr/>
              <w:t>​</w:t>
            </w:r>
          </w:p>
        </w:tc>
        <w:tc>
          <w:tcPr>
            <w:tcW w:w="82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Common Stock at Par</w:t>
            </w:r>
          </w:p>
        </w:tc>
        <w:tc>
          <w:tcPr>
            <w:tcW w:w="286" w:type="dxa"/>
            <w:tcBorders/>
            <w:vAlign w:val="center"/>
          </w:tcPr>
          <w:p>
            <w:pPr>
              <w:pStyle w:val="TableContents"/>
              <w:bidi w:val="0"/>
              <w:spacing w:before="0" w:after="1"/>
              <w:ind w:left="0" w:right="0" w:hanging="0"/>
              <w:jc w:val="center"/>
              <w:rPr/>
            </w:pPr>
            <w:r>
              <w:rPr/>
              <w:t>  ​ ​</w:t>
            </w:r>
          </w:p>
        </w:tc>
        <w:tc>
          <w:tcPr>
            <w:tcW w:w="93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Additional Paid-in Capital</w:t>
            </w:r>
          </w:p>
        </w:tc>
        <w:tc>
          <w:tcPr>
            <w:tcW w:w="286" w:type="dxa"/>
            <w:tcBorders/>
            <w:vAlign w:val="center"/>
          </w:tcPr>
          <w:p>
            <w:pPr>
              <w:pStyle w:val="TableContents"/>
              <w:bidi w:val="0"/>
              <w:spacing w:before="0" w:after="1"/>
              <w:ind w:left="0" w:right="0" w:hanging="0"/>
              <w:jc w:val="center"/>
              <w:rPr/>
            </w:pPr>
            <w:r>
              <w:rPr/>
              <w:t>  ​ ​</w:t>
            </w:r>
          </w:p>
        </w:tc>
        <w:tc>
          <w:tcPr>
            <w:tcW w:w="88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Dividends in Excess of Net Income</w:t>
            </w:r>
          </w:p>
        </w:tc>
        <w:tc>
          <w:tcPr>
            <w:tcW w:w="286" w:type="dxa"/>
            <w:tcBorders/>
            <w:vAlign w:val="center"/>
          </w:tcPr>
          <w:p>
            <w:pPr>
              <w:pStyle w:val="TableContents"/>
              <w:bidi w:val="0"/>
              <w:spacing w:before="0" w:after="1"/>
              <w:ind w:left="0" w:right="0" w:hanging="0"/>
              <w:jc w:val="center"/>
              <w:rPr/>
            </w:pPr>
            <w:r>
              <w:rPr/>
              <w:t>  ​ ​</w:t>
            </w:r>
          </w:p>
        </w:tc>
        <w:tc>
          <w:tcPr>
            <w:tcW w:w="130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Accumulated Other Comprehensive Income</w:t>
            </w:r>
          </w:p>
        </w:tc>
        <w:tc>
          <w:tcPr>
            <w:tcW w:w="286" w:type="dxa"/>
            <w:tcBorders/>
            <w:vAlign w:val="center"/>
          </w:tcPr>
          <w:p>
            <w:pPr>
              <w:pStyle w:val="TableContents"/>
              <w:bidi w:val="0"/>
              <w:spacing w:before="0" w:after="1"/>
              <w:ind w:left="0" w:right="0" w:hanging="0"/>
              <w:jc w:val="center"/>
              <w:rPr/>
            </w:pPr>
            <w:r>
              <w:rPr/>
              <w:t>  ​ ​</w:t>
            </w:r>
          </w:p>
        </w:tc>
        <w:tc>
          <w:tcPr>
            <w:tcW w:w="115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Stockholders' Equity</w:t>
            </w:r>
          </w:p>
        </w:tc>
        <w:tc>
          <w:tcPr>
            <w:tcW w:w="286" w:type="dxa"/>
            <w:tcBorders/>
            <w:vAlign w:val="center"/>
          </w:tcPr>
          <w:p>
            <w:pPr>
              <w:pStyle w:val="TableContents"/>
              <w:bidi w:val="0"/>
              <w:spacing w:before="0" w:after="1"/>
              <w:ind w:left="0" w:right="0" w:hanging="0"/>
              <w:jc w:val="center"/>
              <w:rPr/>
            </w:pPr>
            <w:r>
              <w:rPr/>
              <w:t>  ​ ​</w:t>
            </w:r>
          </w:p>
        </w:tc>
        <w:tc>
          <w:tcPr>
            <w:tcW w:w="126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Noncontrolling Interest</w:t>
            </w:r>
          </w:p>
        </w:tc>
        <w:tc>
          <w:tcPr>
            <w:tcW w:w="286" w:type="dxa"/>
            <w:tcBorders/>
            <w:vAlign w:val="center"/>
          </w:tcPr>
          <w:p>
            <w:pPr>
              <w:pStyle w:val="TableContents"/>
              <w:bidi w:val="0"/>
              <w:spacing w:before="0" w:after="1"/>
              <w:ind w:left="0" w:right="0" w:hanging="0"/>
              <w:jc w:val="center"/>
              <w:rPr/>
            </w:pPr>
            <w:r>
              <w:rPr/>
              <w:t>  ​ ​</w:t>
            </w:r>
          </w:p>
        </w:tc>
        <w:tc>
          <w:tcPr>
            <w:tcW w:w="100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Total Equity</w:t>
            </w:r>
          </w:p>
        </w:tc>
      </w:tr>
      <w:tr>
        <w:trPr/>
        <w:tc>
          <w:tcPr>
            <w:tcW w:w="123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Balance January 1, 2026</w:t>
            </w:r>
          </w:p>
        </w:tc>
        <w:tc>
          <w:tcPr>
            <w:tcW w:w="109" w:type="dxa"/>
            <w:tcBorders/>
            <w:shd w:fill="CCEEFF" w:val="clear"/>
            <w:vAlign w:val="center"/>
          </w:tcPr>
          <w:p>
            <w:pPr>
              <w:pStyle w:val="TableContents"/>
              <w:bidi w:val="0"/>
              <w:spacing w:before="0" w:after="1"/>
              <w:ind w:left="0" w:right="0" w:hanging="0"/>
              <w:jc w:val="center"/>
              <w:rPr/>
            </w:pPr>
            <w:r>
              <w:rPr/>
              <w:t>​</w:t>
            </w:r>
          </w:p>
        </w:tc>
        <w:tc>
          <w:tcPr>
            <w:tcW w:w="298"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528"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w:t>
            </w:r>
          </w:p>
        </w:tc>
        <w:tc>
          <w:tcPr>
            <w:tcW w:w="109" w:type="dxa"/>
            <w:tcBorders/>
            <w:shd w:fill="CCEEFF" w:val="clear"/>
            <w:vAlign w:val="center"/>
          </w:tcPr>
          <w:p>
            <w:pPr>
              <w:pStyle w:val="TableContents"/>
              <w:bidi w:val="0"/>
              <w:spacing w:before="0" w:after="1"/>
              <w:ind w:left="0" w:right="0" w:hanging="0"/>
              <w:jc w:val="left"/>
              <w:rPr/>
            </w:pPr>
            <w:r>
              <w:rPr/>
              <w:t>​</w:t>
            </w:r>
          </w:p>
        </w:tc>
        <w:tc>
          <w:tcPr>
            <w:tcW w:w="283"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54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148</w:t>
            </w:r>
          </w:p>
        </w:tc>
        <w:tc>
          <w:tcPr>
            <w:tcW w:w="286" w:type="dxa"/>
            <w:tcBorders/>
            <w:shd w:fill="CCEEFF" w:val="clear"/>
            <w:vAlign w:val="center"/>
          </w:tcPr>
          <w:p>
            <w:pPr>
              <w:pStyle w:val="TableContents"/>
              <w:bidi w:val="0"/>
              <w:spacing w:before="0" w:after="1"/>
              <w:ind w:left="0" w:right="0" w:hanging="0"/>
              <w:jc w:val="left"/>
              <w:rPr/>
            </w:pPr>
            <w:r>
              <w:rPr/>
              <w:t>​</w:t>
            </w:r>
          </w:p>
        </w:tc>
        <w:tc>
          <w:tcPr>
            <w:tcW w:w="205"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313,690</w:t>
            </w:r>
          </w:p>
        </w:tc>
        <w:tc>
          <w:tcPr>
            <w:tcW w:w="28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90"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(35,276)</w:t>
            </w:r>
          </w:p>
        </w:tc>
        <w:tc>
          <w:tcPr>
            <w:tcW w:w="286" w:type="dxa"/>
            <w:tcBorders/>
            <w:shd w:fill="CCEEFF" w:val="clear"/>
            <w:vAlign w:val="center"/>
          </w:tcPr>
          <w:p>
            <w:pPr>
              <w:pStyle w:val="TableContents"/>
              <w:bidi w:val="0"/>
              <w:spacing w:before="0" w:after="1"/>
              <w:ind w:left="0" w:right="0" w:hanging="0"/>
              <w:jc w:val="right"/>
              <w:rPr/>
            </w:pPr>
            <w:r>
              <w:rPr/>
              <w:t>​</w:t>
            </w:r>
          </w:p>
        </w:tc>
        <w:tc>
          <w:tcPr>
            <w:tcW w:w="362"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4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1,293</w:t>
            </w:r>
          </w:p>
        </w:tc>
        <w:tc>
          <w:tcPr>
            <w:tcW w:w="286" w:type="dxa"/>
            <w:tcBorders/>
            <w:shd w:fill="CCEEFF" w:val="clear"/>
            <w:vAlign w:val="center"/>
          </w:tcPr>
          <w:p>
            <w:pPr>
              <w:pStyle w:val="TableContents"/>
              <w:bidi w:val="0"/>
              <w:spacing w:before="0" w:after="1"/>
              <w:ind w:left="0" w:right="0" w:hanging="0"/>
              <w:jc w:val="left"/>
              <w:rPr/>
            </w:pPr>
            <w:r>
              <w:rPr/>
              <w:t>​</w:t>
            </w:r>
          </w:p>
        </w:tc>
        <w:tc>
          <w:tcPr>
            <w:tcW w:w="255"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279,876</w:t>
            </w:r>
          </w:p>
        </w:tc>
        <w:tc>
          <w:tcPr>
            <w:tcW w:w="286" w:type="dxa"/>
            <w:tcBorders/>
            <w:shd w:fill="CCEEFF" w:val="clear"/>
            <w:vAlign w:val="center"/>
          </w:tcPr>
          <w:p>
            <w:pPr>
              <w:pStyle w:val="TableContents"/>
              <w:bidi w:val="0"/>
              <w:spacing w:before="0" w:after="1"/>
              <w:ind w:left="0" w:right="0" w:hanging="0"/>
              <w:jc w:val="left"/>
              <w:rPr/>
            </w:pPr>
            <w:r>
              <w:rPr/>
              <w:t>​</w:t>
            </w:r>
          </w:p>
        </w:tc>
        <w:tc>
          <w:tcPr>
            <w:tcW w:w="310"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5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21,380</w:t>
            </w:r>
          </w:p>
        </w:tc>
        <w:tc>
          <w:tcPr>
            <w:tcW w:w="28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08"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301,256</w:t>
            </w:r>
          </w:p>
        </w:tc>
      </w:tr>
      <w:tr>
        <w:trPr/>
        <w:tc>
          <w:tcPr>
            <w:tcW w:w="123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Income</w:t>
            </w:r>
          </w:p>
        </w:tc>
        <w:tc>
          <w:tcPr>
            <w:tcW w:w="109" w:type="dxa"/>
            <w:tcBorders/>
            <w:vAlign w:val="center"/>
          </w:tcPr>
          <w:p>
            <w:pPr>
              <w:pStyle w:val="TableContents"/>
              <w:bidi w:val="0"/>
              <w:spacing w:before="0" w:after="1"/>
              <w:ind w:left="0" w:right="0" w:hanging="0"/>
              <w:jc w:val="left"/>
              <w:rPr/>
            </w:pPr>
            <w:r>
              <w:rPr/>
              <w:t>​</w:t>
            </w:r>
          </w:p>
        </w:tc>
        <w:tc>
          <w:tcPr>
            <w:tcW w:w="298" w:type="dxa"/>
            <w:tcBorders/>
            <w:vAlign w:val="center"/>
          </w:tcPr>
          <w:p>
            <w:pPr>
              <w:pStyle w:val="TableContents"/>
              <w:bidi w:val="0"/>
              <w:spacing w:before="0" w:after="1"/>
              <w:ind w:left="0" w:right="0" w:hanging="0"/>
              <w:jc w:val="left"/>
              <w:rPr/>
            </w:pPr>
            <w:r>
              <w:rPr/>
              <w:t>​</w:t>
            </w:r>
          </w:p>
        </w:tc>
        <w:tc>
          <w:tcPr>
            <w:tcW w:w="528"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83" w:type="dxa"/>
            <w:tcBorders/>
            <w:vAlign w:val="center"/>
          </w:tcPr>
          <w:p>
            <w:pPr>
              <w:pStyle w:val="TableContents"/>
              <w:bidi w:val="0"/>
              <w:spacing w:before="0" w:after="1"/>
              <w:ind w:left="0" w:right="0" w:hanging="0"/>
              <w:jc w:val="left"/>
              <w:rPr/>
            </w:pPr>
            <w:r>
              <w:rPr/>
              <w:t>​</w:t>
            </w:r>
          </w:p>
        </w:tc>
        <w:tc>
          <w:tcPr>
            <w:tcW w:w="543"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w:t>
            </w:r>
          </w:p>
        </w:tc>
        <w:tc>
          <w:tcPr>
            <w:tcW w:w="205" w:type="dxa"/>
            <w:tcBorders/>
            <w:vAlign w:val="center"/>
          </w:tcPr>
          <w:p>
            <w:pPr>
              <w:pStyle w:val="TableContents"/>
              <w:bidi w:val="0"/>
              <w:spacing w:before="0" w:after="1"/>
              <w:ind w:left="0" w:right="0" w:hanging="0"/>
              <w:jc w:val="left"/>
              <w:rPr/>
            </w:pPr>
            <w:r>
              <w:rPr/>
              <w:t>​</w:t>
            </w:r>
          </w:p>
        </w:tc>
        <w:tc>
          <w:tcPr>
            <w:tcW w:w="726"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0"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6,376</w:t>
            </w:r>
          </w:p>
        </w:tc>
        <w:tc>
          <w:tcPr>
            <w:tcW w:w="286" w:type="dxa"/>
            <w:tcBorders/>
            <w:vAlign w:val="center"/>
          </w:tcPr>
          <w:p>
            <w:pPr>
              <w:pStyle w:val="TableContents"/>
              <w:bidi w:val="0"/>
              <w:spacing w:before="0" w:after="1"/>
              <w:ind w:left="0" w:right="0" w:hanging="0"/>
              <w:jc w:val="right"/>
              <w:rPr/>
            </w:pPr>
            <w:r>
              <w:rPr/>
              <w:t>​</w:t>
            </w:r>
          </w:p>
        </w:tc>
        <w:tc>
          <w:tcPr>
            <w:tcW w:w="362" w:type="dxa"/>
            <w:tcBorders/>
            <w:vAlign w:val="center"/>
          </w:tcPr>
          <w:p>
            <w:pPr>
              <w:pStyle w:val="TableContents"/>
              <w:bidi w:val="0"/>
              <w:spacing w:before="0" w:after="1"/>
              <w:ind w:left="0" w:right="0" w:hanging="0"/>
              <w:jc w:val="left"/>
              <w:rPr/>
            </w:pPr>
            <w:r>
              <w:rPr/>
              <w:t>​</w:t>
            </w:r>
          </w:p>
        </w:tc>
        <w:tc>
          <w:tcPr>
            <w:tcW w:w="944"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w:t>
            </w:r>
          </w:p>
        </w:tc>
        <w:tc>
          <w:tcPr>
            <w:tcW w:w="255"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6,376</w:t>
            </w:r>
          </w:p>
        </w:tc>
        <w:tc>
          <w:tcPr>
            <w:tcW w:w="286" w:type="dxa"/>
            <w:tcBorders/>
            <w:vAlign w:val="center"/>
          </w:tcPr>
          <w:p>
            <w:pPr>
              <w:pStyle w:val="TableContents"/>
              <w:bidi w:val="0"/>
              <w:spacing w:before="0" w:after="1"/>
              <w:ind w:left="0" w:right="0" w:hanging="0"/>
              <w:jc w:val="left"/>
              <w:rPr/>
            </w:pPr>
            <w:r>
              <w:rPr/>
              <w:t>​</w:t>
            </w:r>
          </w:p>
        </w:tc>
        <w:tc>
          <w:tcPr>
            <w:tcW w:w="310" w:type="dxa"/>
            <w:tcBorders/>
            <w:vAlign w:val="center"/>
          </w:tcPr>
          <w:p>
            <w:pPr>
              <w:pStyle w:val="TableContents"/>
              <w:bidi w:val="0"/>
              <w:spacing w:before="0" w:after="1"/>
              <w:ind w:left="0" w:right="0" w:hanging="0"/>
              <w:jc w:val="left"/>
              <w:rPr/>
            </w:pPr>
            <w:r>
              <w:rPr/>
              <w:t>​</w:t>
            </w:r>
          </w:p>
        </w:tc>
        <w:tc>
          <w:tcPr>
            <w:tcW w:w="95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473</w:t>
            </w:r>
          </w:p>
        </w:tc>
        <w:tc>
          <w:tcPr>
            <w:tcW w:w="28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08"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6,849</w:t>
            </w:r>
          </w:p>
        </w:tc>
      </w:tr>
      <w:tr>
        <w:trPr/>
        <w:tc>
          <w:tcPr>
            <w:tcW w:w="123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Common Stock Issuances to Directors</w:t>
            </w:r>
          </w:p>
        </w:tc>
        <w:tc>
          <w:tcPr>
            <w:tcW w:w="109" w:type="dxa"/>
            <w:tcBorders/>
            <w:shd w:fill="CCEEFF" w:val="clear"/>
            <w:vAlign w:val="center"/>
          </w:tcPr>
          <w:p>
            <w:pPr>
              <w:pStyle w:val="TableContents"/>
              <w:bidi w:val="0"/>
              <w:spacing w:before="0" w:after="1"/>
              <w:ind w:left="0" w:right="0" w:hanging="0"/>
              <w:jc w:val="left"/>
              <w:rPr/>
            </w:pPr>
            <w:r>
              <w:rPr/>
              <w:t>​</w:t>
            </w:r>
          </w:p>
        </w:tc>
        <w:tc>
          <w:tcPr>
            <w:tcW w:w="298" w:type="dxa"/>
            <w:tcBorders/>
            <w:shd w:fill="CCEEFF" w:val="clear"/>
            <w:vAlign w:val="center"/>
          </w:tcPr>
          <w:p>
            <w:pPr>
              <w:pStyle w:val="TableContents"/>
              <w:bidi w:val="0"/>
              <w:spacing w:before="0" w:after="1"/>
              <w:ind w:left="0" w:right="0" w:hanging="0"/>
              <w:jc w:val="left"/>
              <w:rPr/>
            </w:pPr>
            <w:r>
              <w:rPr/>
              <w:t>​</w:t>
            </w:r>
          </w:p>
        </w:tc>
        <w:tc>
          <w:tcPr>
            <w:tcW w:w="528"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83" w:type="dxa"/>
            <w:tcBorders/>
            <w:shd w:fill="CCEEFF" w:val="clear"/>
            <w:vAlign w:val="center"/>
          </w:tcPr>
          <w:p>
            <w:pPr>
              <w:pStyle w:val="TableContents"/>
              <w:bidi w:val="0"/>
              <w:spacing w:before="0" w:after="1"/>
              <w:ind w:left="0" w:right="0" w:hanging="0"/>
              <w:jc w:val="left"/>
              <w:rPr/>
            </w:pPr>
            <w:r>
              <w:rPr/>
              <w:t>​</w:t>
            </w:r>
          </w:p>
        </w:tc>
        <w:tc>
          <w:tcPr>
            <w:tcW w:w="543" w:type="dxa"/>
            <w:tcBorders/>
            <w:shd w:fill="CCEEFF" w:val="cle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left"/>
              <w:rPr/>
            </w:pPr>
            <w:r>
              <w:rPr/>
              <w:t>​</w:t>
            </w:r>
          </w:p>
        </w:tc>
        <w:tc>
          <w:tcPr>
            <w:tcW w:w="205" w:type="dxa"/>
            <w:tcBorders/>
            <w:shd w:fill="CCEEFF" w:val="clear"/>
            <w:vAlign w:val="center"/>
          </w:tcPr>
          <w:p>
            <w:pPr>
              <w:pStyle w:val="TableContents"/>
              <w:bidi w:val="0"/>
              <w:spacing w:before="0" w:after="1"/>
              <w:ind w:left="0" w:right="0" w:hanging="0"/>
              <w:jc w:val="left"/>
              <w:rPr/>
            </w:pPr>
            <w:r>
              <w:rPr/>
              <w:t>​</w:t>
            </w:r>
          </w:p>
        </w:tc>
        <w:tc>
          <w:tcPr>
            <w:tcW w:w="7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190</w:t>
            </w:r>
          </w:p>
        </w:tc>
        <w:tc>
          <w:tcPr>
            <w:tcW w:w="28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0" w:type="dxa"/>
            <w:tcBorders/>
            <w:shd w:fill="CCEEFF" w:val="cle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right"/>
              <w:rPr/>
            </w:pPr>
            <w:r>
              <w:rPr/>
              <w:t>​</w:t>
            </w:r>
          </w:p>
        </w:tc>
        <w:tc>
          <w:tcPr>
            <w:tcW w:w="362" w:type="dxa"/>
            <w:tcBorders/>
            <w:shd w:fill="CCEEFF" w:val="clear"/>
            <w:vAlign w:val="center"/>
          </w:tcPr>
          <w:p>
            <w:pPr>
              <w:pStyle w:val="TableContents"/>
              <w:bidi w:val="0"/>
              <w:spacing w:before="0" w:after="1"/>
              <w:ind w:left="0" w:right="0" w:hanging="0"/>
              <w:jc w:val="left"/>
              <w:rPr/>
            </w:pPr>
            <w:r>
              <w:rPr/>
              <w:t>​</w:t>
            </w:r>
          </w:p>
        </w:tc>
        <w:tc>
          <w:tcPr>
            <w:tcW w:w="944" w:type="dxa"/>
            <w:tcBorders/>
            <w:shd w:fill="CCEEFF" w:val="cle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left"/>
              <w:rPr/>
            </w:pPr>
            <w:r>
              <w:rPr/>
              <w:t>​</w:t>
            </w:r>
          </w:p>
        </w:tc>
        <w:tc>
          <w:tcPr>
            <w:tcW w:w="255"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190</w:t>
            </w:r>
          </w:p>
        </w:tc>
        <w:tc>
          <w:tcPr>
            <w:tcW w:w="286" w:type="dxa"/>
            <w:tcBorders/>
            <w:shd w:fill="CCEEFF" w:val="clear"/>
            <w:vAlign w:val="center"/>
          </w:tcPr>
          <w:p>
            <w:pPr>
              <w:pStyle w:val="TableContents"/>
              <w:bidi w:val="0"/>
              <w:spacing w:before="0" w:after="1"/>
              <w:ind w:left="0" w:right="0" w:hanging="0"/>
              <w:jc w:val="left"/>
              <w:rPr/>
            </w:pPr>
            <w:r>
              <w:rPr/>
              <w:t>​</w:t>
            </w:r>
          </w:p>
        </w:tc>
        <w:tc>
          <w:tcPr>
            <w:tcW w:w="310" w:type="dxa"/>
            <w:tcBorders/>
            <w:shd w:fill="CCEEFF" w:val="clear"/>
            <w:vAlign w:val="center"/>
          </w:tcPr>
          <w:p>
            <w:pPr>
              <w:pStyle w:val="TableContents"/>
              <w:bidi w:val="0"/>
              <w:spacing w:before="0" w:after="1"/>
              <w:ind w:left="0" w:right="0" w:hanging="0"/>
              <w:jc w:val="left"/>
              <w:rPr/>
            </w:pPr>
            <w:r>
              <w:rPr/>
              <w:t>​</w:t>
            </w:r>
          </w:p>
        </w:tc>
        <w:tc>
          <w:tcPr>
            <w:tcW w:w="951" w:type="dxa"/>
            <w:tcBorders/>
            <w:shd w:fill="CCEEFF" w:val="cle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08"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190</w:t>
            </w:r>
          </w:p>
        </w:tc>
      </w:tr>
      <w:tr>
        <w:trPr/>
        <w:tc>
          <w:tcPr>
            <w:tcW w:w="123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Stock Issuance, Net of Equity Issuance Costs</w:t>
            </w:r>
          </w:p>
        </w:tc>
        <w:tc>
          <w:tcPr>
            <w:tcW w:w="109" w:type="dxa"/>
            <w:tcBorders/>
            <w:vAlign w:val="center"/>
          </w:tcPr>
          <w:p>
            <w:pPr>
              <w:pStyle w:val="TableContents"/>
              <w:bidi w:val="0"/>
              <w:spacing w:before="0" w:after="1"/>
              <w:ind w:left="0" w:right="0" w:hanging="0"/>
              <w:jc w:val="left"/>
              <w:rPr/>
            </w:pPr>
            <w:r>
              <w:rPr/>
              <w:t>​</w:t>
            </w:r>
          </w:p>
        </w:tc>
        <w:tc>
          <w:tcPr>
            <w:tcW w:w="298" w:type="dxa"/>
            <w:tcBorders/>
            <w:vAlign w:val="center"/>
          </w:tcPr>
          <w:p>
            <w:pPr>
              <w:pStyle w:val="TableContents"/>
              <w:bidi w:val="0"/>
              <w:spacing w:before="0" w:after="1"/>
              <w:ind w:left="0" w:right="0" w:hanging="0"/>
              <w:jc w:val="left"/>
              <w:rPr/>
            </w:pPr>
            <w:r>
              <w:rPr/>
              <w:t>​</w:t>
            </w:r>
          </w:p>
        </w:tc>
        <w:tc>
          <w:tcPr>
            <w:tcW w:w="528"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w:t>
            </w:r>
          </w:p>
        </w:tc>
        <w:tc>
          <w:tcPr>
            <w:tcW w:w="109" w:type="dxa"/>
            <w:tcBorders/>
            <w:vAlign w:val="center"/>
          </w:tcPr>
          <w:p>
            <w:pPr>
              <w:pStyle w:val="TableContents"/>
              <w:bidi w:val="0"/>
              <w:spacing w:before="0" w:after="1"/>
              <w:ind w:left="0" w:right="0" w:hanging="0"/>
              <w:jc w:val="left"/>
              <w:rPr/>
            </w:pPr>
            <w:r>
              <w:rPr/>
              <w:t>​</w:t>
            </w:r>
          </w:p>
        </w:tc>
        <w:tc>
          <w:tcPr>
            <w:tcW w:w="283" w:type="dxa"/>
            <w:tcBorders/>
            <w:vAlign w:val="center"/>
          </w:tcPr>
          <w:p>
            <w:pPr>
              <w:pStyle w:val="TableContents"/>
              <w:bidi w:val="0"/>
              <w:spacing w:before="0" w:after="1"/>
              <w:ind w:left="0" w:right="0" w:hanging="0"/>
              <w:jc w:val="left"/>
              <w:rPr/>
            </w:pPr>
            <w:r>
              <w:rPr/>
              <w:t>​</w:t>
            </w:r>
          </w:p>
        </w:tc>
        <w:tc>
          <w:tcPr>
            <w:tcW w:w="543"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28</w:t>
            </w:r>
          </w:p>
        </w:tc>
        <w:tc>
          <w:tcPr>
            <w:tcW w:w="286" w:type="dxa"/>
            <w:tcBorders/>
            <w:vAlign w:val="center"/>
          </w:tcPr>
          <w:p>
            <w:pPr>
              <w:pStyle w:val="TableContents"/>
              <w:bidi w:val="0"/>
              <w:spacing w:before="0" w:after="1"/>
              <w:ind w:left="0" w:right="0" w:hanging="0"/>
              <w:jc w:val="left"/>
              <w:rPr/>
            </w:pPr>
            <w:r>
              <w:rPr/>
              <w:t>​</w:t>
            </w:r>
          </w:p>
        </w:tc>
        <w:tc>
          <w:tcPr>
            <w:tcW w:w="205" w:type="dxa"/>
            <w:tcBorders/>
            <w:vAlign w:val="center"/>
          </w:tcPr>
          <w:p>
            <w:pPr>
              <w:pStyle w:val="TableContents"/>
              <w:bidi w:val="0"/>
              <w:spacing w:before="0" w:after="1"/>
              <w:ind w:left="0" w:right="0" w:hanging="0"/>
              <w:jc w:val="left"/>
              <w:rPr/>
            </w:pPr>
            <w:r>
              <w:rPr/>
              <w:t>​</w:t>
            </w:r>
          </w:p>
        </w:tc>
        <w:tc>
          <w:tcPr>
            <w:tcW w:w="7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61,457</w:t>
            </w:r>
          </w:p>
        </w:tc>
        <w:tc>
          <w:tcPr>
            <w:tcW w:w="28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0"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right"/>
              <w:rPr/>
            </w:pPr>
            <w:r>
              <w:rPr/>
              <w:t>​</w:t>
            </w:r>
          </w:p>
        </w:tc>
        <w:tc>
          <w:tcPr>
            <w:tcW w:w="362" w:type="dxa"/>
            <w:tcBorders/>
            <w:vAlign w:val="center"/>
          </w:tcPr>
          <w:p>
            <w:pPr>
              <w:pStyle w:val="TableContents"/>
              <w:bidi w:val="0"/>
              <w:spacing w:before="0" w:after="1"/>
              <w:ind w:left="0" w:right="0" w:hanging="0"/>
              <w:jc w:val="left"/>
              <w:rPr/>
            </w:pPr>
            <w:r>
              <w:rPr/>
              <w:t>​</w:t>
            </w:r>
          </w:p>
        </w:tc>
        <w:tc>
          <w:tcPr>
            <w:tcW w:w="944"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w:t>
            </w:r>
          </w:p>
        </w:tc>
        <w:tc>
          <w:tcPr>
            <w:tcW w:w="255"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61,488</w:t>
            </w:r>
          </w:p>
        </w:tc>
        <w:tc>
          <w:tcPr>
            <w:tcW w:w="286" w:type="dxa"/>
            <w:tcBorders/>
            <w:vAlign w:val="center"/>
          </w:tcPr>
          <w:p>
            <w:pPr>
              <w:pStyle w:val="TableContents"/>
              <w:bidi w:val="0"/>
              <w:spacing w:before="0" w:after="1"/>
              <w:ind w:left="0" w:right="0" w:hanging="0"/>
              <w:jc w:val="left"/>
              <w:rPr/>
            </w:pPr>
            <w:r>
              <w:rPr/>
              <w:t>​</w:t>
            </w:r>
          </w:p>
        </w:tc>
        <w:tc>
          <w:tcPr>
            <w:tcW w:w="310" w:type="dxa"/>
            <w:tcBorders/>
            <w:vAlign w:val="center"/>
          </w:tcPr>
          <w:p>
            <w:pPr>
              <w:pStyle w:val="TableContents"/>
              <w:bidi w:val="0"/>
              <w:spacing w:before="0" w:after="1"/>
              <w:ind w:left="0" w:right="0" w:hanging="0"/>
              <w:jc w:val="left"/>
              <w:rPr/>
            </w:pPr>
            <w:r>
              <w:rPr/>
              <w:t>​</w:t>
            </w:r>
          </w:p>
        </w:tc>
        <w:tc>
          <w:tcPr>
            <w:tcW w:w="951"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08"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61,488</w:t>
            </w:r>
          </w:p>
        </w:tc>
      </w:tr>
      <w:tr>
        <w:trPr/>
        <w:tc>
          <w:tcPr>
            <w:tcW w:w="123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Preferred Stock Dividends ($1.000 per share)</w:t>
            </w:r>
          </w:p>
        </w:tc>
        <w:tc>
          <w:tcPr>
            <w:tcW w:w="109" w:type="dxa"/>
            <w:tcBorders/>
            <w:shd w:fill="CCEEFF" w:val="clear"/>
            <w:vAlign w:val="center"/>
          </w:tcPr>
          <w:p>
            <w:pPr>
              <w:pStyle w:val="TableContents"/>
              <w:bidi w:val="0"/>
              <w:spacing w:before="0" w:after="1"/>
              <w:ind w:left="0" w:right="0" w:hanging="0"/>
              <w:jc w:val="left"/>
              <w:rPr/>
            </w:pPr>
            <w:r>
              <w:rPr/>
              <w:t>​</w:t>
            </w:r>
          </w:p>
        </w:tc>
        <w:tc>
          <w:tcPr>
            <w:tcW w:w="298" w:type="dxa"/>
            <w:tcBorders/>
            <w:shd w:fill="CCEEFF" w:val="clear"/>
            <w:vAlign w:val="center"/>
          </w:tcPr>
          <w:p>
            <w:pPr>
              <w:pStyle w:val="TableContents"/>
              <w:bidi w:val="0"/>
              <w:spacing w:before="0" w:after="1"/>
              <w:ind w:left="0" w:right="0" w:hanging="0"/>
              <w:jc w:val="left"/>
              <w:rPr/>
            </w:pPr>
            <w:r>
              <w:rPr/>
              <w:t>​</w:t>
            </w:r>
          </w:p>
        </w:tc>
        <w:tc>
          <w:tcPr>
            <w:tcW w:w="528"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83" w:type="dxa"/>
            <w:tcBorders/>
            <w:shd w:fill="CCEEFF" w:val="clear"/>
            <w:vAlign w:val="center"/>
          </w:tcPr>
          <w:p>
            <w:pPr>
              <w:pStyle w:val="TableContents"/>
              <w:bidi w:val="0"/>
              <w:spacing w:before="0" w:after="1"/>
              <w:ind w:left="0" w:right="0" w:hanging="0"/>
              <w:jc w:val="left"/>
              <w:rPr/>
            </w:pPr>
            <w:r>
              <w:rPr/>
              <w:t>​</w:t>
            </w:r>
          </w:p>
        </w:tc>
        <w:tc>
          <w:tcPr>
            <w:tcW w:w="543" w:type="dxa"/>
            <w:tcBorders/>
            <w:shd w:fill="CCEEFF" w:val="cle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left"/>
              <w:rPr/>
            </w:pPr>
            <w:r>
              <w:rPr/>
              <w:t>​</w:t>
            </w:r>
          </w:p>
        </w:tc>
        <w:tc>
          <w:tcPr>
            <w:tcW w:w="205" w:type="dxa"/>
            <w:tcBorders/>
            <w:shd w:fill="CCEEFF" w:val="clear"/>
            <w:vAlign w:val="center"/>
          </w:tcPr>
          <w:p>
            <w:pPr>
              <w:pStyle w:val="TableContents"/>
              <w:bidi w:val="0"/>
              <w:spacing w:before="0" w:after="1"/>
              <w:ind w:left="0" w:right="0" w:hanging="0"/>
              <w:jc w:val="left"/>
              <w:rPr/>
            </w:pPr>
            <w:r>
              <w:rPr/>
              <w:t>​</w:t>
            </w:r>
          </w:p>
        </w:tc>
        <w:tc>
          <w:tcPr>
            <w:tcW w:w="726" w:type="dxa"/>
            <w:tcBorders/>
            <w:shd w:fill="CCEEFF" w:val="cle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0"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(2,309)</w:t>
            </w:r>
          </w:p>
        </w:tc>
        <w:tc>
          <w:tcPr>
            <w:tcW w:w="286" w:type="dxa"/>
            <w:tcBorders/>
            <w:shd w:fill="CCEEFF" w:val="clear"/>
            <w:vAlign w:val="center"/>
          </w:tcPr>
          <w:p>
            <w:pPr>
              <w:pStyle w:val="TableContents"/>
              <w:bidi w:val="0"/>
              <w:spacing w:before="0" w:after="1"/>
              <w:ind w:left="0" w:right="0" w:hanging="0"/>
              <w:jc w:val="right"/>
              <w:rPr/>
            </w:pPr>
            <w:r>
              <w:rPr/>
              <w:t>​</w:t>
            </w:r>
          </w:p>
        </w:tc>
        <w:tc>
          <w:tcPr>
            <w:tcW w:w="362" w:type="dxa"/>
            <w:tcBorders/>
            <w:shd w:fill="CCEEFF" w:val="clear"/>
            <w:vAlign w:val="center"/>
          </w:tcPr>
          <w:p>
            <w:pPr>
              <w:pStyle w:val="TableContents"/>
              <w:bidi w:val="0"/>
              <w:spacing w:before="0" w:after="1"/>
              <w:ind w:left="0" w:right="0" w:hanging="0"/>
              <w:jc w:val="left"/>
              <w:rPr/>
            </w:pPr>
            <w:r>
              <w:rPr/>
              <w:t>​</w:t>
            </w:r>
          </w:p>
        </w:tc>
        <w:tc>
          <w:tcPr>
            <w:tcW w:w="944" w:type="dxa"/>
            <w:tcBorders/>
            <w:shd w:fill="CCEEFF" w:val="cle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left"/>
              <w:rPr/>
            </w:pPr>
            <w:r>
              <w:rPr/>
              <w:t>​</w:t>
            </w:r>
          </w:p>
        </w:tc>
        <w:tc>
          <w:tcPr>
            <w:tcW w:w="255"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(2,309)</w:t>
            </w:r>
          </w:p>
        </w:tc>
        <w:tc>
          <w:tcPr>
            <w:tcW w:w="286" w:type="dxa"/>
            <w:tcBorders/>
            <w:shd w:fill="CCEEFF" w:val="clear"/>
            <w:vAlign w:val="center"/>
          </w:tcPr>
          <w:p>
            <w:pPr>
              <w:pStyle w:val="TableContents"/>
              <w:bidi w:val="0"/>
              <w:spacing w:before="0" w:after="1"/>
              <w:ind w:left="0" w:right="0" w:hanging="0"/>
              <w:jc w:val="left"/>
              <w:rPr/>
            </w:pPr>
            <w:r>
              <w:rPr/>
              <w:t>​</w:t>
            </w:r>
          </w:p>
        </w:tc>
        <w:tc>
          <w:tcPr>
            <w:tcW w:w="310" w:type="dxa"/>
            <w:tcBorders/>
            <w:shd w:fill="CCEEFF" w:val="clear"/>
            <w:vAlign w:val="center"/>
          </w:tcPr>
          <w:p>
            <w:pPr>
              <w:pStyle w:val="TableContents"/>
              <w:bidi w:val="0"/>
              <w:spacing w:before="0" w:after="1"/>
              <w:ind w:left="0" w:right="0" w:hanging="0"/>
              <w:jc w:val="left"/>
              <w:rPr/>
            </w:pPr>
            <w:r>
              <w:rPr/>
              <w:t>​</w:t>
            </w:r>
          </w:p>
        </w:tc>
        <w:tc>
          <w:tcPr>
            <w:tcW w:w="951" w:type="dxa"/>
            <w:tcBorders/>
            <w:shd w:fill="CCEEFF" w:val="cle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08"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(2,309)</w:t>
            </w:r>
          </w:p>
        </w:tc>
      </w:tr>
      <w:tr>
        <w:trPr/>
        <w:tc>
          <w:tcPr>
            <w:tcW w:w="123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Common Stock Dividends ($0.600 per share)</w:t>
            </w:r>
          </w:p>
        </w:tc>
        <w:tc>
          <w:tcPr>
            <w:tcW w:w="109" w:type="dxa"/>
            <w:tcBorders/>
            <w:vAlign w:val="center"/>
          </w:tcPr>
          <w:p>
            <w:pPr>
              <w:pStyle w:val="TableContents"/>
              <w:bidi w:val="0"/>
              <w:spacing w:before="0" w:after="1"/>
              <w:ind w:left="0" w:right="0" w:hanging="0"/>
              <w:jc w:val="left"/>
              <w:rPr/>
            </w:pPr>
            <w:r>
              <w:rPr/>
              <w:t>​</w:t>
            </w:r>
          </w:p>
        </w:tc>
        <w:tc>
          <w:tcPr>
            <w:tcW w:w="298" w:type="dxa"/>
            <w:tcBorders/>
            <w:vAlign w:val="center"/>
          </w:tcPr>
          <w:p>
            <w:pPr>
              <w:pStyle w:val="TableContents"/>
              <w:bidi w:val="0"/>
              <w:spacing w:before="0" w:after="1"/>
              <w:ind w:left="0" w:right="0" w:hanging="0"/>
              <w:jc w:val="left"/>
              <w:rPr/>
            </w:pPr>
            <w:r>
              <w:rPr/>
              <w:t>​</w:t>
            </w:r>
          </w:p>
        </w:tc>
        <w:tc>
          <w:tcPr>
            <w:tcW w:w="528"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83" w:type="dxa"/>
            <w:tcBorders/>
            <w:vAlign w:val="center"/>
          </w:tcPr>
          <w:p>
            <w:pPr>
              <w:pStyle w:val="TableContents"/>
              <w:bidi w:val="0"/>
              <w:spacing w:before="0" w:after="1"/>
              <w:ind w:left="0" w:right="0" w:hanging="0"/>
              <w:jc w:val="left"/>
              <w:rPr/>
            </w:pPr>
            <w:r>
              <w:rPr/>
              <w:t>​</w:t>
            </w:r>
          </w:p>
        </w:tc>
        <w:tc>
          <w:tcPr>
            <w:tcW w:w="543"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w:t>
            </w:r>
          </w:p>
        </w:tc>
        <w:tc>
          <w:tcPr>
            <w:tcW w:w="205" w:type="dxa"/>
            <w:tcBorders/>
            <w:vAlign w:val="center"/>
          </w:tcPr>
          <w:p>
            <w:pPr>
              <w:pStyle w:val="TableContents"/>
              <w:bidi w:val="0"/>
              <w:spacing w:before="0" w:after="1"/>
              <w:ind w:left="0" w:right="0" w:hanging="0"/>
              <w:jc w:val="left"/>
              <w:rPr/>
            </w:pPr>
            <w:r>
              <w:rPr/>
              <w:t>​</w:t>
            </w:r>
          </w:p>
        </w:tc>
        <w:tc>
          <w:tcPr>
            <w:tcW w:w="726"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0"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(10,185)</w:t>
            </w:r>
          </w:p>
        </w:tc>
        <w:tc>
          <w:tcPr>
            <w:tcW w:w="286" w:type="dxa"/>
            <w:tcBorders/>
            <w:vAlign w:val="center"/>
          </w:tcPr>
          <w:p>
            <w:pPr>
              <w:pStyle w:val="TableContents"/>
              <w:bidi w:val="0"/>
              <w:spacing w:before="0" w:after="1"/>
              <w:ind w:left="0" w:right="0" w:hanging="0"/>
              <w:jc w:val="left"/>
              <w:rPr/>
            </w:pPr>
            <w:r>
              <w:rPr/>
              <w:t>​</w:t>
            </w:r>
          </w:p>
        </w:tc>
        <w:tc>
          <w:tcPr>
            <w:tcW w:w="362" w:type="dxa"/>
            <w:tcBorders/>
            <w:vAlign w:val="center"/>
          </w:tcPr>
          <w:p>
            <w:pPr>
              <w:pStyle w:val="TableContents"/>
              <w:bidi w:val="0"/>
              <w:spacing w:before="0" w:after="1"/>
              <w:ind w:left="0" w:right="0" w:hanging="0"/>
              <w:jc w:val="left"/>
              <w:rPr/>
            </w:pPr>
            <w:r>
              <w:rPr/>
              <w:t>​</w:t>
            </w:r>
          </w:p>
        </w:tc>
        <w:tc>
          <w:tcPr>
            <w:tcW w:w="944"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w:t>
            </w:r>
          </w:p>
        </w:tc>
        <w:tc>
          <w:tcPr>
            <w:tcW w:w="255"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(10,185)</w:t>
            </w:r>
          </w:p>
        </w:tc>
        <w:tc>
          <w:tcPr>
            <w:tcW w:w="286" w:type="dxa"/>
            <w:tcBorders/>
            <w:vAlign w:val="center"/>
          </w:tcPr>
          <w:p>
            <w:pPr>
              <w:pStyle w:val="TableContents"/>
              <w:bidi w:val="0"/>
              <w:spacing w:before="0" w:after="1"/>
              <w:ind w:left="0" w:right="0" w:hanging="0"/>
              <w:jc w:val="left"/>
              <w:rPr/>
            </w:pPr>
            <w:r>
              <w:rPr/>
              <w:t>​</w:t>
            </w:r>
          </w:p>
        </w:tc>
        <w:tc>
          <w:tcPr>
            <w:tcW w:w="310" w:type="dxa"/>
            <w:tcBorders/>
            <w:vAlign w:val="center"/>
          </w:tcPr>
          <w:p>
            <w:pPr>
              <w:pStyle w:val="TableContents"/>
              <w:bidi w:val="0"/>
              <w:spacing w:before="0" w:after="1"/>
              <w:ind w:left="0" w:right="0" w:hanging="0"/>
              <w:jc w:val="left"/>
              <w:rPr/>
            </w:pPr>
            <w:r>
              <w:rPr/>
              <w:t>​</w:t>
            </w:r>
          </w:p>
        </w:tc>
        <w:tc>
          <w:tcPr>
            <w:tcW w:w="95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(736)</w:t>
            </w:r>
          </w:p>
        </w:tc>
        <w:tc>
          <w:tcPr>
            <w:tcW w:w="28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08"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(10,921)</w:t>
            </w:r>
          </w:p>
        </w:tc>
      </w:tr>
      <w:tr>
        <w:trPr/>
        <w:tc>
          <w:tcPr>
            <w:tcW w:w="123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 Comprehensive Income</w:t>
            </w:r>
          </w:p>
        </w:tc>
        <w:tc>
          <w:tcPr>
            <w:tcW w:w="109" w:type="dxa"/>
            <w:tcBorders/>
            <w:shd w:fill="CCEEFF" w:val="clear"/>
            <w:vAlign w:val="center"/>
          </w:tcPr>
          <w:p>
            <w:pPr>
              <w:pStyle w:val="TableContents"/>
              <w:bidi w:val="0"/>
              <w:spacing w:before="0" w:after="1"/>
              <w:ind w:left="0" w:right="0" w:hanging="0"/>
              <w:jc w:val="left"/>
              <w:rPr/>
            </w:pPr>
            <w:r>
              <w:rPr/>
              <w:t>​</w:t>
            </w:r>
          </w:p>
        </w:tc>
        <w:tc>
          <w:tcPr>
            <w:tcW w:w="29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2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8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4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left"/>
              <w:rPr/>
            </w:pPr>
            <w:r>
              <w:rPr/>
              <w:t>​</w:t>
            </w:r>
          </w:p>
        </w:tc>
        <w:tc>
          <w:tcPr>
            <w:tcW w:w="20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right"/>
              <w:rPr/>
            </w:pPr>
            <w:r>
              <w:rPr/>
              <w:t>​</w:t>
            </w:r>
          </w:p>
        </w:tc>
        <w:tc>
          <w:tcPr>
            <w:tcW w:w="36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4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1,855</w:t>
            </w:r>
          </w:p>
        </w:tc>
        <w:tc>
          <w:tcPr>
            <w:tcW w:w="286" w:type="dxa"/>
            <w:tcBorders/>
            <w:shd w:fill="CCEEFF" w:val="clear"/>
            <w:vAlign w:val="center"/>
          </w:tcPr>
          <w:p>
            <w:pPr>
              <w:pStyle w:val="TableContents"/>
              <w:bidi w:val="0"/>
              <w:spacing w:before="0" w:after="1"/>
              <w:ind w:left="0" w:right="0" w:hanging="0"/>
              <w:jc w:val="left"/>
              <w:rPr/>
            </w:pPr>
            <w:r>
              <w:rPr/>
              <w:t>​</w:t>
            </w:r>
          </w:p>
        </w:tc>
        <w:tc>
          <w:tcPr>
            <w:tcW w:w="25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1,855</w:t>
            </w:r>
          </w:p>
        </w:tc>
        <w:tc>
          <w:tcPr>
            <w:tcW w:w="286" w:type="dxa"/>
            <w:tcBorders/>
            <w:shd w:fill="CCEEFF" w:val="clear"/>
            <w:vAlign w:val="center"/>
          </w:tcPr>
          <w:p>
            <w:pPr>
              <w:pStyle w:val="TableContents"/>
              <w:bidi w:val="0"/>
              <w:spacing w:before="0" w:after="1"/>
              <w:ind w:left="0" w:right="0" w:hanging="0"/>
              <w:jc w:val="left"/>
              <w:rPr/>
            </w:pPr>
            <w:r>
              <w:rPr/>
              <w:t>​</w:t>
            </w:r>
          </w:p>
        </w:tc>
        <w:tc>
          <w:tcPr>
            <w:tcW w:w="31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135</w:t>
            </w:r>
          </w:p>
        </w:tc>
        <w:tc>
          <w:tcPr>
            <w:tcW w:w="28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0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1,990</w:t>
            </w:r>
          </w:p>
        </w:tc>
      </w:tr>
      <w:tr>
        <w:trPr/>
        <w:tc>
          <w:tcPr>
            <w:tcW w:w="123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Balance June 30, 2026</w:t>
            </w:r>
          </w:p>
        </w:tc>
        <w:tc>
          <w:tcPr>
            <w:tcW w:w="109" w:type="dxa"/>
            <w:tcBorders/>
            <w:vAlign w:val="center"/>
          </w:tcPr>
          <w:p>
            <w:pPr>
              <w:pStyle w:val="TableContents"/>
              <w:bidi w:val="0"/>
              <w:spacing w:before="0" w:after="1"/>
              <w:ind w:left="0" w:right="0" w:hanging="0"/>
              <w:jc w:val="left"/>
              <w:rPr/>
            </w:pPr>
            <w:r>
              <w:rPr/>
              <w:t>​</w:t>
            </w:r>
          </w:p>
        </w:tc>
        <w:tc>
          <w:tcPr>
            <w:tcW w:w="298"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52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w:t>
            </w:r>
          </w:p>
        </w:tc>
        <w:tc>
          <w:tcPr>
            <w:tcW w:w="109" w:type="dxa"/>
            <w:tcBorders/>
            <w:vAlign w:val="center"/>
          </w:tcPr>
          <w:p>
            <w:pPr>
              <w:pStyle w:val="TableContents"/>
              <w:bidi w:val="0"/>
              <w:spacing w:before="0" w:after="1"/>
              <w:ind w:left="0" w:right="0" w:hanging="0"/>
              <w:jc w:val="left"/>
              <w:rPr/>
            </w:pPr>
            <w:r>
              <w:rPr/>
              <w:t>​</w:t>
            </w:r>
          </w:p>
        </w:tc>
        <w:tc>
          <w:tcPr>
            <w:tcW w:w="283"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54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176</w:t>
            </w:r>
          </w:p>
        </w:tc>
        <w:tc>
          <w:tcPr>
            <w:tcW w:w="286" w:type="dxa"/>
            <w:tcBorders/>
            <w:vAlign w:val="center"/>
          </w:tcPr>
          <w:p>
            <w:pPr>
              <w:pStyle w:val="TableContents"/>
              <w:bidi w:val="0"/>
              <w:spacing w:before="0" w:after="1"/>
              <w:ind w:left="0" w:right="0" w:hanging="0"/>
              <w:jc w:val="left"/>
              <w:rPr/>
            </w:pPr>
            <w:r>
              <w:rPr/>
              <w:t>​</w:t>
            </w:r>
          </w:p>
        </w:tc>
        <w:tc>
          <w:tcPr>
            <w:tcW w:w="205"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2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375,337</w:t>
            </w:r>
          </w:p>
        </w:tc>
        <w:tc>
          <w:tcPr>
            <w:tcW w:w="28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90"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(41,394)</w:t>
            </w:r>
          </w:p>
        </w:tc>
        <w:tc>
          <w:tcPr>
            <w:tcW w:w="286" w:type="dxa"/>
            <w:tcBorders/>
            <w:vAlign w:val="center"/>
          </w:tcPr>
          <w:p>
            <w:pPr>
              <w:pStyle w:val="TableContents"/>
              <w:bidi w:val="0"/>
              <w:spacing w:before="0" w:after="1"/>
              <w:ind w:left="0" w:right="0" w:hanging="0"/>
              <w:jc w:val="right"/>
              <w:rPr/>
            </w:pPr>
            <w:r>
              <w:rPr/>
              <w:t>​</w:t>
            </w:r>
          </w:p>
        </w:tc>
        <w:tc>
          <w:tcPr>
            <w:tcW w:w="362"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4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3,148</w:t>
            </w:r>
          </w:p>
        </w:tc>
        <w:tc>
          <w:tcPr>
            <w:tcW w:w="286" w:type="dxa"/>
            <w:tcBorders/>
            <w:vAlign w:val="center"/>
          </w:tcPr>
          <w:p>
            <w:pPr>
              <w:pStyle w:val="TableContents"/>
              <w:bidi w:val="0"/>
              <w:spacing w:before="0" w:after="1"/>
              <w:ind w:left="0" w:right="0" w:hanging="0"/>
              <w:jc w:val="left"/>
              <w:rPr/>
            </w:pPr>
            <w:r>
              <w:rPr/>
              <w:t>​</w:t>
            </w:r>
          </w:p>
        </w:tc>
        <w:tc>
          <w:tcPr>
            <w:tcW w:w="255"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0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337,291</w:t>
            </w:r>
          </w:p>
        </w:tc>
        <w:tc>
          <w:tcPr>
            <w:tcW w:w="286" w:type="dxa"/>
            <w:tcBorders/>
            <w:vAlign w:val="center"/>
          </w:tcPr>
          <w:p>
            <w:pPr>
              <w:pStyle w:val="TableContents"/>
              <w:bidi w:val="0"/>
              <w:spacing w:before="0" w:after="1"/>
              <w:ind w:left="0" w:right="0" w:hanging="0"/>
              <w:jc w:val="left"/>
              <w:rPr/>
            </w:pPr>
            <w:r>
              <w:rPr/>
              <w:t>​</w:t>
            </w:r>
          </w:p>
        </w:tc>
        <w:tc>
          <w:tcPr>
            <w:tcW w:w="31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5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21,252</w:t>
            </w:r>
          </w:p>
        </w:tc>
        <w:tc>
          <w:tcPr>
            <w:tcW w:w="28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08" w:type="dxa"/>
            <w:tcBorders>
              <w:bottom w:val="double" w:sz="6" w:space="0" w:color="000000"/>
            </w:tcBorders>
            <w:tcMar>
              <w:bottom w:w="28" w:type="dxa"/>
            </w:tcMar>
            <w:vAlign w:val="center"/>
          </w:tcPr>
          <w:p>
            <w:pPr>
              <w:pStyle w:val="TableContents"/>
              <w:bidi w:val="0"/>
              <w:spacing w:before="0" w:after="1"/>
              <w:ind w:left="0" w:right="72" w:hanging="0"/>
              <w:jc w:val="right"/>
              <w:rPr>
                <w:rFonts w:ascii="Times New Roman;Times;serif" w:hAnsi="Times New Roman;Times;serif"/>
                <w:sz w:val="18"/>
              </w:rPr>
            </w:pPr>
            <w:r>
              <w:rPr>
                <w:rFonts w:ascii="Times New Roman;Times;serif" w:hAnsi="Times New Roman;Times;serif"/>
                <w:sz w:val="18"/>
              </w:rPr>
              <w:t>358,543</w:t>
            </w:r>
          </w:p>
        </w:tc>
      </w:tr>
    </w:tbl>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 the six months ended June 30, 2025:</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656" w:name="Tc_OEr9xOzrbUeAzDxtjHR6LQ_9_23"/>
      <w:bookmarkStart w:id="657" w:name="Tc_ooA-Joy05kWrqo9fpGn-8A_9_20"/>
      <w:bookmarkStart w:id="658" w:name="Tc_WzYp2gTbd0aEm3kZS9G1uw_9_17"/>
      <w:bookmarkStart w:id="659" w:name="Tc_0kin1dL6xk2mly05jS3w6A_9_14"/>
      <w:bookmarkStart w:id="660" w:name="Tc_t0Gh2kESoE-ynctZWi1SpQ_9_11"/>
      <w:bookmarkStart w:id="661" w:name="Tc_ip9xheM7S0C5LUzJESSlmg_9_8"/>
      <w:bookmarkStart w:id="662" w:name="Tc_2HvWOjVBUkyYr1gdXYXfMQ_9_5"/>
      <w:bookmarkStart w:id="663" w:name="Tc_p8zQX6FXmUSTXZbRnz-vNg_9_3"/>
      <w:bookmarkStart w:id="664" w:name="Tc_77GmxrjHQUyDpcfywGQ4DA_9_2"/>
      <w:bookmarkStart w:id="665" w:name="Tc_l6z6aAVb1kqaXOPoPnepVA_9_0"/>
      <w:bookmarkStart w:id="666" w:name="Tc_skv-q3XFCkW7LO8YcmZ8wA_8_12"/>
      <w:bookmarkStart w:id="667" w:name="Tc_kXI2CQlQIUOBGZHHcI60kg_8_9"/>
      <w:bookmarkStart w:id="668" w:name="Tc_w3BbW6Fy4UKfpimrQ2SVIw_8_6"/>
      <w:bookmarkStart w:id="669" w:name="Tc_zbS7LmESJUGiO_uVbp5Vyw_8_3"/>
      <w:bookmarkStart w:id="670" w:name="Tc_1VpJwGOgqkCpdoS2YHnzjg_8_0"/>
      <w:bookmarkStart w:id="671" w:name="Tc_lIdI_O3vWkmdysUCXwe1eQ_7_15"/>
      <w:bookmarkStart w:id="672" w:name="Tc_2CNg5aXF_UyFfD_nS-lGlw_7_9"/>
      <w:bookmarkStart w:id="673" w:name="Tc_oJBBdABCCkOy5MaYMkkAIw_7_6"/>
      <w:bookmarkStart w:id="674" w:name="Tc_FHKOlWPwQkaUlikV-nF1Gw_7_3"/>
      <w:bookmarkStart w:id="675" w:name="Tc_D1AbDLcBkUyO196i_KxQzg_7_0"/>
      <w:bookmarkStart w:id="676" w:name="Tc_czkSPMkGuEqS_5Lgae9q6Q_6_21"/>
      <w:bookmarkStart w:id="677" w:name="Tc_fAsZTzZNTEW1UbtGSAY_sA_6_15"/>
      <w:bookmarkStart w:id="678" w:name="Tc_B5Te1XDwIE6XmG0xZmpIVw_6_12"/>
      <w:bookmarkStart w:id="679" w:name="Tc_eK23wXrZhkqWgj98DtAgoA_6_6"/>
      <w:bookmarkStart w:id="680" w:name="Tc_mDP5NgjS5kiNnyIT9HqXJQ_6_3"/>
      <w:bookmarkStart w:id="681" w:name="Tc_KXX7tF_PNkGPPYgIUCzZLw_6_0"/>
      <w:bookmarkStart w:id="682" w:name="Tc_07LxVOxJRE6rRkX805L3Bg_5_21"/>
      <w:bookmarkStart w:id="683" w:name="Tc_TdPENJkvwUuP0jCdmYnghQ_5_15"/>
      <w:bookmarkStart w:id="684" w:name="Tc_j2mHls_O3US9oQl92sS8pQ_5_12"/>
      <w:bookmarkStart w:id="685" w:name="Tc_8QS8fMAFDEKjzp7ZS3-96w_5_6"/>
      <w:bookmarkStart w:id="686" w:name="Tc_9-Q4jWb0cEmv5cH7ayizCw_5_3"/>
      <w:bookmarkStart w:id="687" w:name="Tc_06yiYuvtFEOPg7hUIVMBHA_5_0"/>
      <w:bookmarkStart w:id="688" w:name="Tc_-lr-uH3v2UKZvn5ssz10QQ_4_21"/>
      <w:bookmarkStart w:id="689" w:name="Tc_gv0hCZiXE0Cl8Mpi0GpHEg_4_15"/>
      <w:bookmarkStart w:id="690" w:name="Tc_SmnTzkQHVkWVgqLnLCOtyg_4_12"/>
      <w:bookmarkStart w:id="691" w:name="Tc_YcdNN7Y9D060XPRNA0wObA_4_3"/>
      <w:bookmarkStart w:id="692" w:name="Tc_PVQcZBOqL0G18VY_I2-rcQ_4_0"/>
      <w:bookmarkStart w:id="693" w:name="Tc_G7X9XzSab0uDf2TNZ37gBw_3_15"/>
      <w:bookmarkStart w:id="694" w:name="Tc_VqJGp9qjlEGzHVPiltxbug_3_9"/>
      <w:bookmarkStart w:id="695" w:name="Tc_eYMOgZEeeE2RJRLoKy0lUw_3_6"/>
      <w:bookmarkStart w:id="696" w:name="Tc_8bUi-L8H7EijqiIKqpqTIw_3_3"/>
      <w:bookmarkStart w:id="697" w:name="Tc_vrWOORQ0-0a4nihC4ggIGA_3_0"/>
      <w:bookmarkStart w:id="698" w:name="Tc_hOTw_PIQS0mo8zMzUM6h2Q_2_23"/>
      <w:bookmarkStart w:id="699" w:name="Tc_NYkmpE8v60SG-pYB-sWPVQ_2_20"/>
      <w:bookmarkStart w:id="700" w:name="Tc_k2lr0dL1Wk-Elruf8Q2oFQ_2_17"/>
      <w:bookmarkStart w:id="701" w:name="Tc_1Z59gYh1Fk6zvLYluhucMg_2_14"/>
      <w:bookmarkStart w:id="702" w:name="Tc_ZqLcX_fG8km6qIlgTaN5qQ_2_11"/>
      <w:bookmarkStart w:id="703" w:name="Tc_oHqEOnctPUakgbJJ8-xUtQ_2_8"/>
      <w:bookmarkStart w:id="704" w:name="Tc_jz8rBIFWGkyGL4LBhcQAtg_2_5"/>
      <w:bookmarkStart w:id="705" w:name="Tc_BFr_s1TnA0SyPbomG9hpkg_2_3"/>
      <w:bookmarkStart w:id="706" w:name="Tc_KaWSxrbkgkOnwZf-OS4NoA_2_2"/>
      <w:bookmarkStart w:id="707" w:name="Tc_-gsOrVAqCESzQ3E_J8z0lw_2_0"/>
      <w:bookmarkStart w:id="708" w:name="Tc_BqnBC7dzVUSDTBj9jUz4Sg_1_23"/>
      <w:bookmarkStart w:id="709" w:name="Tc_N0TalB265U23jVkUtWvF1g_1_20"/>
      <w:bookmarkStart w:id="710" w:name="Tc_dPBuXYgTTEC36fp5eZoC0A_1_17"/>
      <w:bookmarkStart w:id="711" w:name="Tc_NB6B_9Kt9Eyb11eMV0xPBA_1_14"/>
      <w:bookmarkStart w:id="712" w:name="Tc_P6GBDRSSt0SYjHMa143oQw_1_11"/>
      <w:bookmarkStart w:id="713" w:name="Tc_bwfjwtLsKUi4aki66iKNog_1_8"/>
      <w:bookmarkStart w:id="714" w:name="Tc_j7Bum7ZjQkuNEQ9lR16tww_1_5"/>
      <w:bookmarkStart w:id="715" w:name="Tc_hGstvHhCQkybYTgP_WagkA_1_2"/>
      <w:bookmarkStart w:id="716" w:name="_37d42cdd_3770_4cb9_9cee_826859722209"/>
      <w:bookmarkStart w:id="717" w:name="Tc_OEr9xOzrbUeAzDxtjHR6LQ_9_23"/>
      <w:bookmarkStart w:id="718" w:name="Tc_ooA-Joy05kWrqo9fpGn-8A_9_20"/>
      <w:bookmarkStart w:id="719" w:name="Tc_WzYp2gTbd0aEm3kZS9G1uw_9_17"/>
      <w:bookmarkStart w:id="720" w:name="Tc_0kin1dL6xk2mly05jS3w6A_9_14"/>
      <w:bookmarkStart w:id="721" w:name="Tc_t0Gh2kESoE-ynctZWi1SpQ_9_11"/>
      <w:bookmarkStart w:id="722" w:name="Tc_ip9xheM7S0C5LUzJESSlmg_9_8"/>
      <w:bookmarkStart w:id="723" w:name="Tc_2HvWOjVBUkyYr1gdXYXfMQ_9_5"/>
      <w:bookmarkStart w:id="724" w:name="Tc_p8zQX6FXmUSTXZbRnz-vNg_9_3"/>
      <w:bookmarkStart w:id="725" w:name="Tc_77GmxrjHQUyDpcfywGQ4DA_9_2"/>
      <w:bookmarkStart w:id="726" w:name="Tc_l6z6aAVb1kqaXOPoPnepVA_9_0"/>
      <w:bookmarkStart w:id="727" w:name="Tc_skv-q3XFCkW7LO8YcmZ8wA_8_12"/>
      <w:bookmarkStart w:id="728" w:name="Tc_kXI2CQlQIUOBGZHHcI60kg_8_9"/>
      <w:bookmarkStart w:id="729" w:name="Tc_w3BbW6Fy4UKfpimrQ2SVIw_8_6"/>
      <w:bookmarkStart w:id="730" w:name="Tc_zbS7LmESJUGiO_uVbp5Vyw_8_3"/>
      <w:bookmarkStart w:id="731" w:name="Tc_1VpJwGOgqkCpdoS2YHnzjg_8_0"/>
      <w:bookmarkStart w:id="732" w:name="Tc_lIdI_O3vWkmdysUCXwe1eQ_7_15"/>
      <w:bookmarkStart w:id="733" w:name="Tc_2CNg5aXF_UyFfD_nS-lGlw_7_9"/>
      <w:bookmarkStart w:id="734" w:name="Tc_oJBBdABCCkOy5MaYMkkAIw_7_6"/>
      <w:bookmarkStart w:id="735" w:name="Tc_FHKOlWPwQkaUlikV-nF1Gw_7_3"/>
      <w:bookmarkStart w:id="736" w:name="Tc_D1AbDLcBkUyO196i_KxQzg_7_0"/>
      <w:bookmarkStart w:id="737" w:name="Tc_czkSPMkGuEqS_5Lgae9q6Q_6_21"/>
      <w:bookmarkStart w:id="738" w:name="Tc_fAsZTzZNTEW1UbtGSAY_sA_6_15"/>
      <w:bookmarkStart w:id="739" w:name="Tc_B5Te1XDwIE6XmG0xZmpIVw_6_12"/>
      <w:bookmarkStart w:id="740" w:name="Tc_eK23wXrZhkqWgj98DtAgoA_6_6"/>
      <w:bookmarkStart w:id="741" w:name="Tc_mDP5NgjS5kiNnyIT9HqXJQ_6_3"/>
      <w:bookmarkStart w:id="742" w:name="Tc_KXX7tF_PNkGPPYgIUCzZLw_6_0"/>
      <w:bookmarkStart w:id="743" w:name="Tc_07LxVOxJRE6rRkX805L3Bg_5_21"/>
      <w:bookmarkStart w:id="744" w:name="Tc_TdPENJkvwUuP0jCdmYnghQ_5_15"/>
      <w:bookmarkStart w:id="745" w:name="Tc_j2mHls_O3US9oQl92sS8pQ_5_12"/>
      <w:bookmarkStart w:id="746" w:name="Tc_8QS8fMAFDEKjzp7ZS3-96w_5_6"/>
      <w:bookmarkStart w:id="747" w:name="Tc_9-Q4jWb0cEmv5cH7ayizCw_5_3"/>
      <w:bookmarkStart w:id="748" w:name="Tc_06yiYuvtFEOPg7hUIVMBHA_5_0"/>
      <w:bookmarkStart w:id="749" w:name="Tc_-lr-uH3v2UKZvn5ssz10QQ_4_21"/>
      <w:bookmarkStart w:id="750" w:name="Tc_gv0hCZiXE0Cl8Mpi0GpHEg_4_15"/>
      <w:bookmarkStart w:id="751" w:name="Tc_SmnTzkQHVkWVgqLnLCOtyg_4_12"/>
      <w:bookmarkStart w:id="752" w:name="Tc_YcdNN7Y9D060XPRNA0wObA_4_3"/>
      <w:bookmarkStart w:id="753" w:name="Tc_PVQcZBOqL0G18VY_I2-rcQ_4_0"/>
      <w:bookmarkStart w:id="754" w:name="Tc_G7X9XzSab0uDf2TNZ37gBw_3_15"/>
      <w:bookmarkStart w:id="755" w:name="Tc_VqJGp9qjlEGzHVPiltxbug_3_9"/>
      <w:bookmarkStart w:id="756" w:name="Tc_eYMOgZEeeE2RJRLoKy0lUw_3_6"/>
      <w:bookmarkStart w:id="757" w:name="Tc_8bUi-L8H7EijqiIKqpqTIw_3_3"/>
      <w:bookmarkStart w:id="758" w:name="Tc_vrWOORQ0-0a4nihC4ggIGA_3_0"/>
      <w:bookmarkStart w:id="759" w:name="Tc_hOTw_PIQS0mo8zMzUM6h2Q_2_23"/>
      <w:bookmarkStart w:id="760" w:name="Tc_NYkmpE8v60SG-pYB-sWPVQ_2_20"/>
      <w:bookmarkStart w:id="761" w:name="Tc_k2lr0dL1Wk-Elruf8Q2oFQ_2_17"/>
      <w:bookmarkStart w:id="762" w:name="Tc_1Z59gYh1Fk6zvLYluhucMg_2_14"/>
      <w:bookmarkStart w:id="763" w:name="Tc_ZqLcX_fG8km6qIlgTaN5qQ_2_11"/>
      <w:bookmarkStart w:id="764" w:name="Tc_oHqEOnctPUakgbJJ8-xUtQ_2_8"/>
      <w:bookmarkStart w:id="765" w:name="Tc_jz8rBIFWGkyGL4LBhcQAtg_2_5"/>
      <w:bookmarkStart w:id="766" w:name="Tc_BFr_s1TnA0SyPbomG9hpkg_2_3"/>
      <w:bookmarkStart w:id="767" w:name="Tc_KaWSxrbkgkOnwZf-OS4NoA_2_2"/>
      <w:bookmarkStart w:id="768" w:name="Tc_-gsOrVAqCESzQ3E_J8z0lw_2_0"/>
      <w:bookmarkStart w:id="769" w:name="Tc_BqnBC7dzVUSDTBj9jUz4Sg_1_23"/>
      <w:bookmarkStart w:id="770" w:name="Tc_N0TalB265U23jVkUtWvF1g_1_20"/>
      <w:bookmarkStart w:id="771" w:name="Tc_dPBuXYgTTEC36fp5eZoC0A_1_17"/>
      <w:bookmarkStart w:id="772" w:name="Tc_NB6B_9Kt9Eyb11eMV0xPBA_1_14"/>
      <w:bookmarkStart w:id="773" w:name="Tc_P6GBDRSSt0SYjHMa143oQw_1_11"/>
      <w:bookmarkStart w:id="774" w:name="Tc_bwfjwtLsKUi4aki66iKNog_1_8"/>
      <w:bookmarkStart w:id="775" w:name="Tc_j7Bum7ZjQkuNEQ9lR16tww_1_5"/>
      <w:bookmarkStart w:id="776" w:name="Tc_hGstvHhCQkybYTgP_WagkA_1_2"/>
      <w:bookmarkStart w:id="777" w:name="_37d42cdd_3770_4cb9_9cee_826859722209"/>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p>
    <w:tbl>
      <w:tblPr>
        <w:tblW w:w="11598" w:type="dxa"/>
        <w:jc w:val="left"/>
        <w:tblInd w:w="0" w:type="dxa"/>
        <w:tblLayout w:type="fixed"/>
        <w:tblCellMar>
          <w:top w:w="0" w:type="dxa"/>
          <w:left w:w="0" w:type="dxa"/>
          <w:bottom w:w="0" w:type="dxa"/>
          <w:right w:w="0" w:type="dxa"/>
        </w:tblCellMar>
      </w:tblPr>
      <w:tblGrid>
        <w:gridCol w:w="1231"/>
        <w:gridCol w:w="109"/>
        <w:gridCol w:w="298"/>
        <w:gridCol w:w="528"/>
        <w:gridCol w:w="346"/>
        <w:gridCol w:w="283"/>
        <w:gridCol w:w="543"/>
        <w:gridCol w:w="286"/>
        <w:gridCol w:w="205"/>
        <w:gridCol w:w="726"/>
        <w:gridCol w:w="286"/>
        <w:gridCol w:w="196"/>
        <w:gridCol w:w="690"/>
        <w:gridCol w:w="286"/>
        <w:gridCol w:w="333"/>
        <w:gridCol w:w="973"/>
        <w:gridCol w:w="286"/>
        <w:gridCol w:w="255"/>
        <w:gridCol w:w="901"/>
        <w:gridCol w:w="286"/>
        <w:gridCol w:w="310"/>
        <w:gridCol w:w="951"/>
        <w:gridCol w:w="286"/>
        <w:gridCol w:w="196"/>
        <w:gridCol w:w="808"/>
      </w:tblGrid>
      <w:tr>
        <w:trPr/>
        <w:tc>
          <w:tcPr>
            <w:tcW w:w="1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781685" cy="175260"/>
                      <wp:effectExtent l="0" t="0" r="0" b="0"/>
                      <wp:wrapNone/>
                      <wp:docPr id="105" name="Frame105"/>
                      <a:graphic xmlns:a="http://schemas.openxmlformats.org/drawingml/2006/main">
                        <a:graphicData uri="http://schemas.microsoft.com/office/word/2010/wordprocessingShape">
                          <wps:wsp>
                            <wps:cNvSpPr txBox="1"/>
                            <wps:spPr>
                              <a:xfrm>
                                <a:off x="0" y="0"/>
                                <a:ext cx="781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9215" cy="175260"/>
                      <wp:effectExtent l="0" t="0" r="0" b="0"/>
                      <wp:wrapNone/>
                      <wp:docPr id="106" name="Frame10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189230" cy="175260"/>
                      <wp:effectExtent l="0" t="0" r="0" b="0"/>
                      <wp:wrapNone/>
                      <wp:docPr id="107" name="Frame107"/>
                      <a:graphic xmlns:a="http://schemas.openxmlformats.org/drawingml/2006/main">
                        <a:graphicData uri="http://schemas.microsoft.com/office/word/2010/wordprocessingShape">
                          <wps:wsp>
                            <wps:cNvSpPr txBox="1"/>
                            <wps:spPr>
                              <a:xfrm>
                                <a:off x="0" y="0"/>
                                <a:ext cx="1892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335280" cy="175260"/>
                      <wp:effectExtent l="0" t="0" r="0" b="0"/>
                      <wp:wrapNone/>
                      <wp:docPr id="108" name="Frame108"/>
                      <a:graphic xmlns:a="http://schemas.openxmlformats.org/drawingml/2006/main">
                        <a:graphicData uri="http://schemas.microsoft.com/office/word/2010/wordprocessingShape">
                          <wps:wsp>
                            <wps:cNvSpPr txBox="1"/>
                            <wps:spPr>
                              <a:xfrm>
                                <a:off x="0" y="0"/>
                                <a:ext cx="3352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219710" cy="175260"/>
                      <wp:effectExtent l="0" t="0" r="0" b="0"/>
                      <wp:wrapNone/>
                      <wp:docPr id="109" name="Frame10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179705" cy="175260"/>
                      <wp:effectExtent l="0" t="0" r="0" b="0"/>
                      <wp:wrapNone/>
                      <wp:docPr id="110" name="Frame110"/>
                      <a:graphic xmlns:a="http://schemas.openxmlformats.org/drawingml/2006/main">
                        <a:graphicData uri="http://schemas.microsoft.com/office/word/2010/wordprocessingShape">
                          <wps:wsp>
                            <wps:cNvSpPr txBox="1"/>
                            <wps:spPr>
                              <a:xfrm>
                                <a:off x="0" y="0"/>
                                <a:ext cx="1797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344805" cy="175260"/>
                      <wp:effectExtent l="0" t="0" r="0" b="0"/>
                      <wp:wrapNone/>
                      <wp:docPr id="111" name="Frame111"/>
                      <a:graphic xmlns:a="http://schemas.openxmlformats.org/drawingml/2006/main">
                        <a:graphicData uri="http://schemas.microsoft.com/office/word/2010/wordprocessingShape">
                          <wps:wsp>
                            <wps:cNvSpPr txBox="1"/>
                            <wps:spPr>
                              <a:xfrm>
                                <a:off x="0" y="0"/>
                                <a:ext cx="3448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181610" cy="175260"/>
                      <wp:effectExtent l="0" t="0" r="0" b="0"/>
                      <wp:wrapNone/>
                      <wp:docPr id="112" name="Frame112"/>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130175" cy="175260"/>
                      <wp:effectExtent l="0" t="0" r="0" b="0"/>
                      <wp:wrapNone/>
                      <wp:docPr id="113" name="Frame113"/>
                      <a:graphic xmlns:a="http://schemas.openxmlformats.org/drawingml/2006/main">
                        <a:graphicData uri="http://schemas.microsoft.com/office/word/2010/wordprocessingShape">
                          <wps:wsp>
                            <wps:cNvSpPr txBox="1"/>
                            <wps:spPr>
                              <a:xfrm>
                                <a:off x="0" y="0"/>
                                <a:ext cx="1301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461010" cy="175260"/>
                      <wp:effectExtent l="0" t="0" r="0" b="0"/>
                      <wp:wrapNone/>
                      <wp:docPr id="114" name="Frame114"/>
                      <a:graphic xmlns:a="http://schemas.openxmlformats.org/drawingml/2006/main">
                        <a:graphicData uri="http://schemas.microsoft.com/office/word/2010/wordprocessingShape">
                          <wps:wsp>
                            <wps:cNvSpPr txBox="1"/>
                            <wps:spPr>
                              <a:xfrm>
                                <a:off x="0" y="0"/>
                                <a:ext cx="461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181610" cy="175260"/>
                      <wp:effectExtent l="0" t="0" r="0" b="0"/>
                      <wp:wrapNone/>
                      <wp:docPr id="115" name="Frame115"/>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124460" cy="175260"/>
                      <wp:effectExtent l="0" t="0" r="0" b="0"/>
                      <wp:wrapNone/>
                      <wp:docPr id="116" name="Frame11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438150" cy="175260"/>
                      <wp:effectExtent l="0" t="0" r="0" b="0"/>
                      <wp:wrapNone/>
                      <wp:docPr id="117" name="Frame117"/>
                      <a:graphic xmlns:a="http://schemas.openxmlformats.org/drawingml/2006/main">
                        <a:graphicData uri="http://schemas.microsoft.com/office/word/2010/wordprocessingShape">
                          <wps:wsp>
                            <wps:cNvSpPr txBox="1"/>
                            <wps:spPr>
                              <a:xfrm>
                                <a:off x="0" y="0"/>
                                <a:ext cx="4381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181610" cy="175260"/>
                      <wp:effectExtent l="0" t="0" r="0" b="0"/>
                      <wp:wrapNone/>
                      <wp:docPr id="118" name="Frame118"/>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211455" cy="175260"/>
                      <wp:effectExtent l="0" t="0" r="0" b="0"/>
                      <wp:wrapNone/>
                      <wp:docPr id="119" name="Frame119"/>
                      <a:graphic xmlns:a="http://schemas.openxmlformats.org/drawingml/2006/main">
                        <a:graphicData uri="http://schemas.microsoft.com/office/word/2010/wordprocessingShape">
                          <wps:wsp>
                            <wps:cNvSpPr txBox="1"/>
                            <wps:spPr>
                              <a:xfrm>
                                <a:off x="0" y="0"/>
                                <a:ext cx="2114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17855" cy="175260"/>
                      <wp:effectExtent l="0" t="0" r="0" b="0"/>
                      <wp:wrapNone/>
                      <wp:docPr id="120" name="Frame120"/>
                      <a:graphic xmlns:a="http://schemas.openxmlformats.org/drawingml/2006/main">
                        <a:graphicData uri="http://schemas.microsoft.com/office/word/2010/wordprocessingShape">
                          <wps:wsp>
                            <wps:cNvSpPr txBox="1"/>
                            <wps:spPr>
                              <a:xfrm>
                                <a:off x="0" y="0"/>
                                <a:ext cx="6178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181610" cy="175260"/>
                      <wp:effectExtent l="0" t="0" r="0" b="0"/>
                      <wp:wrapNone/>
                      <wp:docPr id="121" name="Frame121"/>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161925" cy="175260"/>
                      <wp:effectExtent l="0" t="0" r="0" b="0"/>
                      <wp:wrapNone/>
                      <wp:docPr id="122" name="Frame122"/>
                      <a:graphic xmlns:a="http://schemas.openxmlformats.org/drawingml/2006/main">
                        <a:graphicData uri="http://schemas.microsoft.com/office/word/2010/wordprocessingShape">
                          <wps:wsp>
                            <wps:cNvSpPr txBox="1"/>
                            <wps:spPr>
                              <a:xfrm>
                                <a:off x="0" y="0"/>
                                <a:ext cx="1619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572135" cy="175260"/>
                      <wp:effectExtent l="0" t="0" r="0" b="0"/>
                      <wp:wrapNone/>
                      <wp:docPr id="123" name="Frame123"/>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181610" cy="175260"/>
                      <wp:effectExtent l="0" t="0" r="0" b="0"/>
                      <wp:wrapNone/>
                      <wp:docPr id="124" name="Frame124"/>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196850" cy="175260"/>
                      <wp:effectExtent l="0" t="0" r="0" b="0"/>
                      <wp:wrapNone/>
                      <wp:docPr id="125" name="Frame125"/>
                      <a:graphic xmlns:a="http://schemas.openxmlformats.org/drawingml/2006/main">
                        <a:graphicData uri="http://schemas.microsoft.com/office/word/2010/wordprocessingShape">
                          <wps:wsp>
                            <wps:cNvSpPr txBox="1"/>
                            <wps:spPr>
                              <a:xfrm>
                                <a:off x="0" y="0"/>
                                <a:ext cx="1968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03885" cy="175260"/>
                      <wp:effectExtent l="0" t="0" r="0" b="0"/>
                      <wp:wrapNone/>
                      <wp:docPr id="126" name="Frame126"/>
                      <a:graphic xmlns:a="http://schemas.openxmlformats.org/drawingml/2006/main">
                        <a:graphicData uri="http://schemas.microsoft.com/office/word/2010/wordprocessingShape">
                          <wps:wsp>
                            <wps:cNvSpPr txBox="1"/>
                            <wps:spPr>
                              <a:xfrm>
                                <a:off x="0" y="0"/>
                                <a:ext cx="603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181610" cy="175260"/>
                      <wp:effectExtent l="0" t="0" r="0" b="0"/>
                      <wp:wrapNone/>
                      <wp:docPr id="127" name="Frame127"/>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124460" cy="175260"/>
                      <wp:effectExtent l="0" t="0" r="0" b="0"/>
                      <wp:wrapNone/>
                      <wp:docPr id="128" name="Frame12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513080" cy="175260"/>
                      <wp:effectExtent l="0" t="0" r="0" b="0"/>
                      <wp:wrapNone/>
                      <wp:docPr id="129" name="Frame129"/>
                      <a:graphic xmlns:a="http://schemas.openxmlformats.org/drawingml/2006/main">
                        <a:graphicData uri="http://schemas.microsoft.com/office/word/2010/wordprocessingShape">
                          <wps:wsp>
                            <wps:cNvSpPr txBox="1"/>
                            <wps:spPr>
                              <a:xfrm>
                                <a:off x="0" y="0"/>
                                <a:ext cx="5130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8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Preferred Stock at Par</w:t>
            </w:r>
          </w:p>
        </w:tc>
        <w:tc>
          <w:tcPr>
            <w:tcW w:w="346" w:type="dxa"/>
            <w:tcBorders/>
            <w:vAlign w:val="center"/>
          </w:tcPr>
          <w:p>
            <w:pPr>
              <w:pStyle w:val="TableContents"/>
              <w:bidi w:val="0"/>
              <w:spacing w:before="0" w:after="0"/>
              <w:ind w:left="0" w:right="0" w:hanging="0"/>
              <w:jc w:val="center"/>
              <w:rPr/>
            </w:pPr>
            <w:r>
              <w:rPr/>
              <w:t>  ​ ​ ​</w:t>
            </w:r>
          </w:p>
        </w:tc>
        <w:tc>
          <w:tcPr>
            <w:tcW w:w="8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Common Stock at Par</w:t>
            </w:r>
          </w:p>
        </w:tc>
        <w:tc>
          <w:tcPr>
            <w:tcW w:w="286" w:type="dxa"/>
            <w:tcBorders/>
            <w:vAlign w:val="center"/>
          </w:tcPr>
          <w:p>
            <w:pPr>
              <w:pStyle w:val="TableContents"/>
              <w:bidi w:val="0"/>
              <w:spacing w:before="0" w:after="0"/>
              <w:ind w:left="0" w:right="0" w:hanging="0"/>
              <w:jc w:val="center"/>
              <w:rPr/>
            </w:pPr>
            <w:r>
              <w:rPr/>
              <w:t>  ​ ​</w:t>
            </w:r>
          </w:p>
        </w:tc>
        <w:tc>
          <w:tcPr>
            <w:tcW w:w="9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Additional Paid-in Capital</w:t>
            </w:r>
          </w:p>
        </w:tc>
        <w:tc>
          <w:tcPr>
            <w:tcW w:w="286" w:type="dxa"/>
            <w:tcBorders/>
            <w:vAlign w:val="center"/>
          </w:tcPr>
          <w:p>
            <w:pPr>
              <w:pStyle w:val="TableContents"/>
              <w:bidi w:val="0"/>
              <w:spacing w:before="0" w:after="0"/>
              <w:ind w:left="0" w:right="0" w:hanging="0"/>
              <w:jc w:val="center"/>
              <w:rPr/>
            </w:pPr>
            <w:r>
              <w:rPr/>
              <w:t>  ​ ​</w:t>
            </w:r>
          </w:p>
        </w:tc>
        <w:tc>
          <w:tcPr>
            <w:tcW w:w="8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Dividends in Excess of Net Income</w:t>
            </w:r>
          </w:p>
        </w:tc>
        <w:tc>
          <w:tcPr>
            <w:tcW w:w="286" w:type="dxa"/>
            <w:tcBorders/>
            <w:vAlign w:val="center"/>
          </w:tcPr>
          <w:p>
            <w:pPr>
              <w:pStyle w:val="TableContents"/>
              <w:bidi w:val="0"/>
              <w:spacing w:before="0" w:after="0"/>
              <w:ind w:left="0" w:right="0" w:hanging="0"/>
              <w:jc w:val="center"/>
              <w:rPr/>
            </w:pPr>
            <w:r>
              <w:rPr/>
              <w:t>  ​ ​</w:t>
            </w:r>
          </w:p>
        </w:tc>
        <w:tc>
          <w:tcPr>
            <w:tcW w:w="13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Accumulated Other Comprehensive Income</w:t>
            </w:r>
          </w:p>
        </w:tc>
        <w:tc>
          <w:tcPr>
            <w:tcW w:w="286" w:type="dxa"/>
            <w:tcBorders/>
            <w:vAlign w:val="center"/>
          </w:tcPr>
          <w:p>
            <w:pPr>
              <w:pStyle w:val="TableContents"/>
              <w:bidi w:val="0"/>
              <w:spacing w:before="0" w:after="0"/>
              <w:ind w:left="0" w:right="0" w:hanging="0"/>
              <w:jc w:val="center"/>
              <w:rPr/>
            </w:pPr>
            <w:r>
              <w:rPr/>
              <w:t>  ​ ​</w:t>
            </w:r>
          </w:p>
        </w:tc>
        <w:tc>
          <w:tcPr>
            <w:tcW w:w="115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Stockholders' Equity</w:t>
            </w:r>
          </w:p>
        </w:tc>
        <w:tc>
          <w:tcPr>
            <w:tcW w:w="286" w:type="dxa"/>
            <w:tcBorders/>
            <w:vAlign w:val="center"/>
          </w:tcPr>
          <w:p>
            <w:pPr>
              <w:pStyle w:val="TableContents"/>
              <w:bidi w:val="0"/>
              <w:spacing w:before="0" w:after="0"/>
              <w:ind w:left="0" w:right="0" w:hanging="0"/>
              <w:jc w:val="center"/>
              <w:rPr/>
            </w:pPr>
            <w:r>
              <w:rPr/>
              <w:t>  ​ ​</w:t>
            </w:r>
          </w:p>
        </w:tc>
        <w:tc>
          <w:tcPr>
            <w:tcW w:w="12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Noncontrolling Interest</w:t>
            </w:r>
          </w:p>
        </w:tc>
        <w:tc>
          <w:tcPr>
            <w:tcW w:w="286" w:type="dxa"/>
            <w:tcBorders/>
            <w:vAlign w:val="center"/>
          </w:tcPr>
          <w:p>
            <w:pPr>
              <w:pStyle w:val="TableContents"/>
              <w:bidi w:val="0"/>
              <w:spacing w:before="0" w:after="0"/>
              <w:ind w:left="0" w:right="0" w:hanging="0"/>
              <w:jc w:val="center"/>
              <w:rPr/>
            </w:pPr>
            <w:r>
              <w:rPr/>
              <w:t>  ​ ​</w:t>
            </w:r>
          </w:p>
        </w:tc>
        <w:tc>
          <w:tcPr>
            <w:tcW w:w="100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Total Equity</w:t>
            </w:r>
          </w:p>
        </w:tc>
      </w:tr>
      <w:tr>
        <w:trPr/>
        <w:tc>
          <w:tcPr>
            <w:tcW w:w="123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Balance January 1, 2025</w:t>
            </w:r>
          </w:p>
        </w:tc>
        <w:tc>
          <w:tcPr>
            <w:tcW w:w="109" w:type="dxa"/>
            <w:tcBorders/>
            <w:shd w:fill="CCEEFF" w:val="clear"/>
            <w:vAlign w:val="center"/>
          </w:tcPr>
          <w:p>
            <w:pPr>
              <w:pStyle w:val="TableContents"/>
              <w:bidi w:val="0"/>
              <w:spacing w:before="0" w:after="0"/>
              <w:ind w:left="0" w:right="0" w:hanging="0"/>
              <w:jc w:val="left"/>
              <w:rPr/>
            </w:pPr>
            <w:r>
              <w:rPr/>
              <w:t>​</w:t>
            </w:r>
          </w:p>
        </w:tc>
        <w:tc>
          <w:tcPr>
            <w:tcW w:w="298"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2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83"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4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147</w:t>
            </w:r>
          </w:p>
        </w:tc>
        <w:tc>
          <w:tcPr>
            <w:tcW w:w="286" w:type="dxa"/>
            <w:tcBorders/>
            <w:shd w:fill="CCEEFF" w:val="clear"/>
            <w:vAlign w:val="center"/>
          </w:tcPr>
          <w:p>
            <w:pPr>
              <w:pStyle w:val="TableContents"/>
              <w:bidi w:val="0"/>
              <w:spacing w:before="0" w:after="0"/>
              <w:ind w:left="0" w:right="0" w:hanging="0"/>
              <w:jc w:val="left"/>
              <w:rPr/>
            </w:pPr>
            <w:r>
              <w:rPr/>
              <w:t>​</w:t>
            </w:r>
          </w:p>
        </w:tc>
        <w:tc>
          <w:tcPr>
            <w:tcW w:w="20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261,831</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(15,722)</w:t>
            </w:r>
          </w:p>
        </w:tc>
        <w:tc>
          <w:tcPr>
            <w:tcW w:w="286" w:type="dxa"/>
            <w:tcBorders/>
            <w:shd w:fill="CCEEFF" w:val="clear"/>
            <w:vAlign w:val="center"/>
          </w:tcPr>
          <w:p>
            <w:pPr>
              <w:pStyle w:val="TableContents"/>
              <w:bidi w:val="0"/>
              <w:spacing w:before="0" w:after="0"/>
              <w:ind w:left="0" w:right="0" w:hanging="0"/>
              <w:jc w:val="right"/>
              <w:rPr/>
            </w:pPr>
            <w:r>
              <w:rPr/>
              <w:t>​</w:t>
            </w:r>
          </w:p>
        </w:tc>
        <w:tc>
          <w:tcPr>
            <w:tcW w:w="333"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7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6,771</w:t>
            </w:r>
          </w:p>
        </w:tc>
        <w:tc>
          <w:tcPr>
            <w:tcW w:w="286"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253,027</w:t>
            </w:r>
          </w:p>
        </w:tc>
        <w:tc>
          <w:tcPr>
            <w:tcW w:w="286"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5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23,468</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0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276,495</w:t>
            </w:r>
          </w:p>
        </w:tc>
      </w:tr>
      <w:tr>
        <w:trPr/>
        <w:tc>
          <w:tcPr>
            <w:tcW w:w="123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Loss</w:t>
            </w:r>
          </w:p>
        </w:tc>
        <w:tc>
          <w:tcPr>
            <w:tcW w:w="109" w:type="dxa"/>
            <w:tcBorders/>
            <w:vAlign w:val="center"/>
          </w:tcPr>
          <w:p>
            <w:pPr>
              <w:pStyle w:val="TableContents"/>
              <w:bidi w:val="0"/>
              <w:spacing w:before="0" w:after="0"/>
              <w:ind w:left="0" w:right="0" w:hanging="0"/>
              <w:jc w:val="left"/>
              <w:rPr/>
            </w:pPr>
            <w:r>
              <w:rPr/>
              <w:t>​</w:t>
            </w:r>
          </w:p>
        </w:tc>
        <w:tc>
          <w:tcPr>
            <w:tcW w:w="298" w:type="dxa"/>
            <w:tcBorders/>
            <w:vAlign w:val="center"/>
          </w:tcPr>
          <w:p>
            <w:pPr>
              <w:pStyle w:val="TableContents"/>
              <w:bidi w:val="0"/>
              <w:spacing w:before="0" w:after="0"/>
              <w:ind w:left="0" w:right="0" w:hanging="0"/>
              <w:jc w:val="left"/>
              <w:rPr/>
            </w:pPr>
            <w:r>
              <w:rPr/>
              <w:t>​</w:t>
            </w:r>
          </w:p>
        </w:tc>
        <w:tc>
          <w:tcPr>
            <w:tcW w:w="52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83" w:type="dxa"/>
            <w:tcBorders/>
            <w:vAlign w:val="center"/>
          </w:tcPr>
          <w:p>
            <w:pPr>
              <w:pStyle w:val="TableContents"/>
              <w:bidi w:val="0"/>
              <w:spacing w:before="0" w:after="0"/>
              <w:ind w:left="0" w:right="0" w:hanging="0"/>
              <w:jc w:val="left"/>
              <w:rPr/>
            </w:pPr>
            <w:r>
              <w:rPr/>
              <w:t>​</w:t>
            </w:r>
          </w:p>
        </w:tc>
        <w:tc>
          <w:tcPr>
            <w:tcW w:w="543"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05" w:type="dxa"/>
            <w:tcBorders/>
            <w:vAlign w:val="center"/>
          </w:tcPr>
          <w:p>
            <w:pPr>
              <w:pStyle w:val="TableContents"/>
              <w:bidi w:val="0"/>
              <w:spacing w:before="0" w:after="0"/>
              <w:ind w:left="0" w:right="0" w:hanging="0"/>
              <w:jc w:val="left"/>
              <w:rPr/>
            </w:pPr>
            <w:r>
              <w:rPr/>
              <w:t>​</w:t>
            </w:r>
          </w:p>
        </w:tc>
        <w:tc>
          <w:tcPr>
            <w:tcW w:w="726"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(2,820)</w:t>
            </w:r>
          </w:p>
        </w:tc>
        <w:tc>
          <w:tcPr>
            <w:tcW w:w="286" w:type="dxa"/>
            <w:tcBorders/>
            <w:vAlign w:val="center"/>
          </w:tcPr>
          <w:p>
            <w:pPr>
              <w:pStyle w:val="TableContents"/>
              <w:bidi w:val="0"/>
              <w:spacing w:before="0" w:after="0"/>
              <w:ind w:left="0" w:right="0" w:hanging="0"/>
              <w:jc w:val="right"/>
              <w:rPr/>
            </w:pPr>
            <w:r>
              <w:rPr/>
              <w:t>​</w:t>
            </w:r>
          </w:p>
        </w:tc>
        <w:tc>
          <w:tcPr>
            <w:tcW w:w="333" w:type="dxa"/>
            <w:tcBorders/>
            <w:vAlign w:val="center"/>
          </w:tcPr>
          <w:p>
            <w:pPr>
              <w:pStyle w:val="TableContents"/>
              <w:bidi w:val="0"/>
              <w:spacing w:before="0" w:after="0"/>
              <w:ind w:left="0" w:right="0" w:hanging="0"/>
              <w:jc w:val="left"/>
              <w:rPr/>
            </w:pPr>
            <w:r>
              <w:rPr/>
              <w:t>​</w:t>
            </w:r>
          </w:p>
        </w:tc>
        <w:tc>
          <w:tcPr>
            <w:tcW w:w="973"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(2,820)</w:t>
            </w:r>
          </w:p>
        </w:tc>
        <w:tc>
          <w:tcPr>
            <w:tcW w:w="286"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left"/>
              <w:rPr/>
            </w:pPr>
            <w:r>
              <w:rPr/>
              <w:t>​</w:t>
            </w:r>
          </w:p>
        </w:tc>
        <w:tc>
          <w:tcPr>
            <w:tcW w:w="95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(240)</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0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(3,060)</w:t>
            </w:r>
          </w:p>
        </w:tc>
      </w:tr>
      <w:tr>
        <w:trPr/>
        <w:tc>
          <w:tcPr>
            <w:tcW w:w="123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Common Stock Repurchases</w:t>
            </w:r>
          </w:p>
        </w:tc>
        <w:tc>
          <w:tcPr>
            <w:tcW w:w="109" w:type="dxa"/>
            <w:tcBorders/>
            <w:shd w:fill="CCEEFF" w:val="clear"/>
            <w:vAlign w:val="center"/>
          </w:tcPr>
          <w:p>
            <w:pPr>
              <w:pStyle w:val="TableContents"/>
              <w:bidi w:val="0"/>
              <w:spacing w:before="0" w:after="0"/>
              <w:ind w:left="0" w:right="0" w:hanging="0"/>
              <w:jc w:val="left"/>
              <w:rPr/>
            </w:pPr>
            <w:r>
              <w:rPr/>
              <w:t>​</w:t>
            </w:r>
          </w:p>
        </w:tc>
        <w:tc>
          <w:tcPr>
            <w:tcW w:w="298" w:type="dxa"/>
            <w:tcBorders/>
            <w:shd w:fill="CCEEFF" w:val="clear"/>
            <w:vAlign w:val="center"/>
          </w:tcPr>
          <w:p>
            <w:pPr>
              <w:pStyle w:val="TableContents"/>
              <w:bidi w:val="0"/>
              <w:spacing w:before="0" w:after="0"/>
              <w:ind w:left="0" w:right="0" w:hanging="0"/>
              <w:jc w:val="left"/>
              <w:rPr/>
            </w:pPr>
            <w:r>
              <w:rPr/>
              <w:t>​</w:t>
            </w:r>
          </w:p>
        </w:tc>
        <w:tc>
          <w:tcPr>
            <w:tcW w:w="52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83" w:type="dxa"/>
            <w:tcBorders/>
            <w:shd w:fill="CCEEFF" w:val="clear"/>
            <w:vAlign w:val="center"/>
          </w:tcPr>
          <w:p>
            <w:pPr>
              <w:pStyle w:val="TableContents"/>
              <w:bidi w:val="0"/>
              <w:spacing w:before="0" w:after="0"/>
              <w:ind w:left="0" w:right="0" w:hanging="0"/>
              <w:jc w:val="left"/>
              <w:rPr/>
            </w:pPr>
            <w:r>
              <w:rPr/>
              <w:t>​</w:t>
            </w:r>
          </w:p>
        </w:tc>
        <w:tc>
          <w:tcPr>
            <w:tcW w:w="54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w:t>
            </w:r>
          </w:p>
        </w:tc>
        <w:tc>
          <w:tcPr>
            <w:tcW w:w="286" w:type="dxa"/>
            <w:tcBorders/>
            <w:shd w:fill="CCEEFF" w:val="clear"/>
            <w:vAlign w:val="center"/>
          </w:tcPr>
          <w:p>
            <w:pPr>
              <w:pStyle w:val="TableContents"/>
              <w:bidi w:val="0"/>
              <w:spacing w:before="0" w:after="0"/>
              <w:ind w:left="0" w:right="0" w:hanging="0"/>
              <w:jc w:val="left"/>
              <w:rPr/>
            </w:pPr>
            <w:r>
              <w:rPr/>
              <w:t>​</w:t>
            </w:r>
          </w:p>
        </w:tc>
        <w:tc>
          <w:tcPr>
            <w:tcW w:w="205" w:type="dxa"/>
            <w:tcBorders/>
            <w:shd w:fill="CCEEFF" w:val="clear"/>
            <w:vAlign w:val="center"/>
          </w:tcPr>
          <w:p>
            <w:pPr>
              <w:pStyle w:val="TableContents"/>
              <w:bidi w:val="0"/>
              <w:spacing w:before="0" w:after="0"/>
              <w:ind w:left="0" w:right="0" w:hanging="0"/>
              <w:jc w:val="left"/>
              <w:rPr/>
            </w:pPr>
            <w:r>
              <w:rPr/>
              <w:t>​</w:t>
            </w:r>
          </w:p>
        </w:tc>
        <w:tc>
          <w:tcPr>
            <w:tcW w:w="7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(8,793)</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0"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right"/>
              <w:rPr/>
            </w:pPr>
            <w:r>
              <w:rPr/>
              <w:t>​</w:t>
            </w:r>
          </w:p>
        </w:tc>
        <w:tc>
          <w:tcPr>
            <w:tcW w:w="333" w:type="dxa"/>
            <w:tcBorders/>
            <w:shd w:fill="CCEEFF" w:val="clear"/>
            <w:vAlign w:val="center"/>
          </w:tcPr>
          <w:p>
            <w:pPr>
              <w:pStyle w:val="TableContents"/>
              <w:bidi w:val="0"/>
              <w:spacing w:before="0" w:after="0"/>
              <w:ind w:left="0" w:right="0" w:hanging="0"/>
              <w:jc w:val="left"/>
              <w:rPr/>
            </w:pPr>
            <w:r>
              <w:rPr/>
              <w:t>​</w:t>
            </w:r>
          </w:p>
        </w:tc>
        <w:tc>
          <w:tcPr>
            <w:tcW w:w="973"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(8,798)</w:t>
            </w:r>
          </w:p>
        </w:tc>
        <w:tc>
          <w:tcPr>
            <w:tcW w:w="286"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left"/>
              <w:rPr/>
            </w:pPr>
            <w:r>
              <w:rPr/>
              <w:t>​</w:t>
            </w:r>
          </w:p>
        </w:tc>
        <w:tc>
          <w:tcPr>
            <w:tcW w:w="951"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0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(8,798)</w:t>
            </w:r>
          </w:p>
        </w:tc>
      </w:tr>
      <w:tr>
        <w:trPr/>
        <w:tc>
          <w:tcPr>
            <w:tcW w:w="123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Common Stock Issuances to Directors</w:t>
            </w:r>
          </w:p>
        </w:tc>
        <w:tc>
          <w:tcPr>
            <w:tcW w:w="109" w:type="dxa"/>
            <w:tcBorders/>
            <w:vAlign w:val="center"/>
          </w:tcPr>
          <w:p>
            <w:pPr>
              <w:pStyle w:val="TableContents"/>
              <w:bidi w:val="0"/>
              <w:spacing w:before="0" w:after="0"/>
              <w:ind w:left="0" w:right="0" w:hanging="0"/>
              <w:jc w:val="left"/>
              <w:rPr/>
            </w:pPr>
            <w:r>
              <w:rPr/>
              <w:t>​</w:t>
            </w:r>
          </w:p>
        </w:tc>
        <w:tc>
          <w:tcPr>
            <w:tcW w:w="298" w:type="dxa"/>
            <w:tcBorders/>
            <w:vAlign w:val="center"/>
          </w:tcPr>
          <w:p>
            <w:pPr>
              <w:pStyle w:val="TableContents"/>
              <w:bidi w:val="0"/>
              <w:spacing w:before="0" w:after="0"/>
              <w:ind w:left="0" w:right="0" w:hanging="0"/>
              <w:jc w:val="left"/>
              <w:rPr/>
            </w:pPr>
            <w:r>
              <w:rPr/>
              <w:t>​</w:t>
            </w:r>
          </w:p>
        </w:tc>
        <w:tc>
          <w:tcPr>
            <w:tcW w:w="52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83" w:type="dxa"/>
            <w:tcBorders/>
            <w:vAlign w:val="center"/>
          </w:tcPr>
          <w:p>
            <w:pPr>
              <w:pStyle w:val="TableContents"/>
              <w:bidi w:val="0"/>
              <w:spacing w:before="0" w:after="0"/>
              <w:ind w:left="0" w:right="0" w:hanging="0"/>
              <w:jc w:val="left"/>
              <w:rPr/>
            </w:pPr>
            <w:r>
              <w:rPr/>
              <w:t>​</w:t>
            </w:r>
          </w:p>
        </w:tc>
        <w:tc>
          <w:tcPr>
            <w:tcW w:w="543"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05" w:type="dxa"/>
            <w:tcBorders/>
            <w:vAlign w:val="center"/>
          </w:tcPr>
          <w:p>
            <w:pPr>
              <w:pStyle w:val="TableContents"/>
              <w:bidi w:val="0"/>
              <w:spacing w:before="0" w:after="0"/>
              <w:ind w:left="0" w:right="0" w:hanging="0"/>
              <w:jc w:val="left"/>
              <w:rPr/>
            </w:pPr>
            <w:r>
              <w:rPr/>
              <w:t>​</w:t>
            </w:r>
          </w:p>
        </w:tc>
        <w:tc>
          <w:tcPr>
            <w:tcW w:w="7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0"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right"/>
              <w:rPr/>
            </w:pPr>
            <w:r>
              <w:rPr/>
              <w:t>​</w:t>
            </w:r>
          </w:p>
        </w:tc>
        <w:tc>
          <w:tcPr>
            <w:tcW w:w="333" w:type="dxa"/>
            <w:tcBorders/>
            <w:vAlign w:val="center"/>
          </w:tcPr>
          <w:p>
            <w:pPr>
              <w:pStyle w:val="TableContents"/>
              <w:bidi w:val="0"/>
              <w:spacing w:before="0" w:after="0"/>
              <w:ind w:left="0" w:right="0" w:hanging="0"/>
              <w:jc w:val="left"/>
              <w:rPr/>
            </w:pPr>
            <w:r>
              <w:rPr/>
              <w:t>​</w:t>
            </w:r>
          </w:p>
        </w:tc>
        <w:tc>
          <w:tcPr>
            <w:tcW w:w="973"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w:t>
            </w:r>
          </w:p>
        </w:tc>
        <w:tc>
          <w:tcPr>
            <w:tcW w:w="286"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left"/>
              <w:rPr/>
            </w:pPr>
            <w:r>
              <w:rPr/>
              <w:t>​</w:t>
            </w:r>
          </w:p>
        </w:tc>
        <w:tc>
          <w:tcPr>
            <w:tcW w:w="95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0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w:t>
            </w:r>
          </w:p>
        </w:tc>
      </w:tr>
      <w:tr>
        <w:trPr/>
        <w:tc>
          <w:tcPr>
            <w:tcW w:w="123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Payment of Equity Issuance Costs</w:t>
            </w:r>
          </w:p>
        </w:tc>
        <w:tc>
          <w:tcPr>
            <w:tcW w:w="109" w:type="dxa"/>
            <w:tcBorders/>
            <w:shd w:fill="CCEEFF" w:val="clear"/>
            <w:vAlign w:val="center"/>
          </w:tcPr>
          <w:p>
            <w:pPr>
              <w:pStyle w:val="TableContents"/>
              <w:bidi w:val="0"/>
              <w:spacing w:before="0" w:after="0"/>
              <w:ind w:left="0" w:right="0" w:hanging="0"/>
              <w:jc w:val="left"/>
              <w:rPr/>
            </w:pPr>
            <w:r>
              <w:rPr/>
              <w:t>​</w:t>
            </w:r>
          </w:p>
        </w:tc>
        <w:tc>
          <w:tcPr>
            <w:tcW w:w="298" w:type="dxa"/>
            <w:tcBorders/>
            <w:shd w:fill="CCEEFF" w:val="clear"/>
            <w:vAlign w:val="center"/>
          </w:tcPr>
          <w:p>
            <w:pPr>
              <w:pStyle w:val="TableContents"/>
              <w:bidi w:val="0"/>
              <w:spacing w:before="0" w:after="0"/>
              <w:ind w:left="0" w:right="0" w:hanging="0"/>
              <w:jc w:val="left"/>
              <w:rPr/>
            </w:pPr>
            <w:r>
              <w:rPr/>
              <w:t>​</w:t>
            </w:r>
          </w:p>
        </w:tc>
        <w:tc>
          <w:tcPr>
            <w:tcW w:w="52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83" w:type="dxa"/>
            <w:tcBorders/>
            <w:shd w:fill="CCEEFF" w:val="clear"/>
            <w:vAlign w:val="center"/>
          </w:tcPr>
          <w:p>
            <w:pPr>
              <w:pStyle w:val="TableContents"/>
              <w:bidi w:val="0"/>
              <w:spacing w:before="0" w:after="0"/>
              <w:ind w:left="0" w:right="0" w:hanging="0"/>
              <w:jc w:val="left"/>
              <w:rPr/>
            </w:pPr>
            <w:r>
              <w:rPr/>
              <w:t>​</w:t>
            </w:r>
          </w:p>
        </w:tc>
        <w:tc>
          <w:tcPr>
            <w:tcW w:w="543"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05" w:type="dxa"/>
            <w:tcBorders/>
            <w:shd w:fill="CCEEFF" w:val="clear"/>
            <w:vAlign w:val="center"/>
          </w:tcPr>
          <w:p>
            <w:pPr>
              <w:pStyle w:val="TableContents"/>
              <w:bidi w:val="0"/>
              <w:spacing w:before="0" w:after="0"/>
              <w:ind w:left="0" w:right="0" w:hanging="0"/>
              <w:jc w:val="left"/>
              <w:rPr/>
            </w:pPr>
            <w:r>
              <w:rPr/>
              <w:t>​</w:t>
            </w:r>
          </w:p>
        </w:tc>
        <w:tc>
          <w:tcPr>
            <w:tcW w:w="7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(71)</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0"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right"/>
              <w:rPr/>
            </w:pPr>
            <w:r>
              <w:rPr/>
              <w:t>​</w:t>
            </w:r>
          </w:p>
        </w:tc>
        <w:tc>
          <w:tcPr>
            <w:tcW w:w="333" w:type="dxa"/>
            <w:tcBorders/>
            <w:shd w:fill="CCEEFF" w:val="clear"/>
            <w:vAlign w:val="center"/>
          </w:tcPr>
          <w:p>
            <w:pPr>
              <w:pStyle w:val="TableContents"/>
              <w:bidi w:val="0"/>
              <w:spacing w:before="0" w:after="0"/>
              <w:ind w:left="0" w:right="0" w:hanging="0"/>
              <w:jc w:val="left"/>
              <w:rPr/>
            </w:pPr>
            <w:r>
              <w:rPr/>
              <w:t>​</w:t>
            </w:r>
          </w:p>
        </w:tc>
        <w:tc>
          <w:tcPr>
            <w:tcW w:w="973"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(71)</w:t>
            </w:r>
          </w:p>
        </w:tc>
        <w:tc>
          <w:tcPr>
            <w:tcW w:w="286"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left"/>
              <w:rPr/>
            </w:pPr>
            <w:r>
              <w:rPr/>
              <w:t>​</w:t>
            </w:r>
          </w:p>
        </w:tc>
        <w:tc>
          <w:tcPr>
            <w:tcW w:w="951"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0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(71)</w:t>
            </w:r>
          </w:p>
        </w:tc>
      </w:tr>
      <w:tr>
        <w:trPr/>
        <w:tc>
          <w:tcPr>
            <w:tcW w:w="123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Common Stock Dividends ($0.570 per share)</w:t>
            </w:r>
          </w:p>
        </w:tc>
        <w:tc>
          <w:tcPr>
            <w:tcW w:w="109" w:type="dxa"/>
            <w:tcBorders/>
            <w:vAlign w:val="center"/>
          </w:tcPr>
          <w:p>
            <w:pPr>
              <w:pStyle w:val="TableContents"/>
              <w:bidi w:val="0"/>
              <w:spacing w:before="0" w:after="0"/>
              <w:ind w:left="0" w:right="0" w:hanging="0"/>
              <w:jc w:val="left"/>
              <w:rPr/>
            </w:pPr>
            <w:r>
              <w:rPr/>
              <w:t>​</w:t>
            </w:r>
          </w:p>
        </w:tc>
        <w:tc>
          <w:tcPr>
            <w:tcW w:w="298" w:type="dxa"/>
            <w:tcBorders/>
            <w:vAlign w:val="center"/>
          </w:tcPr>
          <w:p>
            <w:pPr>
              <w:pStyle w:val="TableContents"/>
              <w:bidi w:val="0"/>
              <w:spacing w:before="0" w:after="0"/>
              <w:ind w:left="0" w:right="0" w:hanging="0"/>
              <w:jc w:val="left"/>
              <w:rPr/>
            </w:pPr>
            <w:r>
              <w:rPr/>
              <w:t>​</w:t>
            </w:r>
          </w:p>
        </w:tc>
        <w:tc>
          <w:tcPr>
            <w:tcW w:w="52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83" w:type="dxa"/>
            <w:tcBorders/>
            <w:vAlign w:val="center"/>
          </w:tcPr>
          <w:p>
            <w:pPr>
              <w:pStyle w:val="TableContents"/>
              <w:bidi w:val="0"/>
              <w:spacing w:before="0" w:after="0"/>
              <w:ind w:left="0" w:right="0" w:hanging="0"/>
              <w:jc w:val="left"/>
              <w:rPr/>
            </w:pPr>
            <w:r>
              <w:rPr/>
              <w:t>​</w:t>
            </w:r>
          </w:p>
        </w:tc>
        <w:tc>
          <w:tcPr>
            <w:tcW w:w="543"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05" w:type="dxa"/>
            <w:tcBorders/>
            <w:vAlign w:val="center"/>
          </w:tcPr>
          <w:p>
            <w:pPr>
              <w:pStyle w:val="TableContents"/>
              <w:bidi w:val="0"/>
              <w:spacing w:before="0" w:after="0"/>
              <w:ind w:left="0" w:right="0" w:hanging="0"/>
              <w:jc w:val="left"/>
              <w:rPr/>
            </w:pPr>
            <w:r>
              <w:rPr/>
              <w:t>​</w:t>
            </w:r>
          </w:p>
        </w:tc>
        <w:tc>
          <w:tcPr>
            <w:tcW w:w="726"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(8,179)</w:t>
            </w:r>
          </w:p>
        </w:tc>
        <w:tc>
          <w:tcPr>
            <w:tcW w:w="286" w:type="dxa"/>
            <w:tcBorders/>
            <w:vAlign w:val="center"/>
          </w:tcPr>
          <w:p>
            <w:pPr>
              <w:pStyle w:val="TableContents"/>
              <w:bidi w:val="0"/>
              <w:spacing w:before="0" w:after="0"/>
              <w:ind w:left="0" w:right="0" w:hanging="0"/>
              <w:jc w:val="right"/>
              <w:rPr/>
            </w:pPr>
            <w:r>
              <w:rPr/>
              <w:t>​</w:t>
            </w:r>
          </w:p>
        </w:tc>
        <w:tc>
          <w:tcPr>
            <w:tcW w:w="333" w:type="dxa"/>
            <w:tcBorders/>
            <w:vAlign w:val="center"/>
          </w:tcPr>
          <w:p>
            <w:pPr>
              <w:pStyle w:val="TableContents"/>
              <w:bidi w:val="0"/>
              <w:spacing w:before="0" w:after="0"/>
              <w:ind w:left="0" w:right="0" w:hanging="0"/>
              <w:jc w:val="left"/>
              <w:rPr/>
            </w:pPr>
            <w:r>
              <w:rPr/>
              <w:t>​</w:t>
            </w:r>
          </w:p>
        </w:tc>
        <w:tc>
          <w:tcPr>
            <w:tcW w:w="973"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(8,179)</w:t>
            </w:r>
          </w:p>
        </w:tc>
        <w:tc>
          <w:tcPr>
            <w:tcW w:w="286"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left"/>
              <w:rPr/>
            </w:pPr>
            <w:r>
              <w:rPr/>
              <w:t>​</w:t>
            </w:r>
          </w:p>
        </w:tc>
        <w:tc>
          <w:tcPr>
            <w:tcW w:w="95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(697)</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0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(8,876)</w:t>
            </w:r>
          </w:p>
        </w:tc>
      </w:tr>
      <w:tr>
        <w:trPr/>
        <w:tc>
          <w:tcPr>
            <w:tcW w:w="123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Comprehensive Loss</w:t>
            </w:r>
          </w:p>
        </w:tc>
        <w:tc>
          <w:tcPr>
            <w:tcW w:w="109" w:type="dxa"/>
            <w:tcBorders/>
            <w:shd w:fill="CCEEFF" w:val="clear"/>
            <w:vAlign w:val="center"/>
          </w:tcPr>
          <w:p>
            <w:pPr>
              <w:pStyle w:val="TableContents"/>
              <w:bidi w:val="0"/>
              <w:spacing w:before="0" w:after="0"/>
              <w:ind w:left="0" w:right="0" w:hanging="0"/>
              <w:jc w:val="left"/>
              <w:rPr/>
            </w:pPr>
            <w:r>
              <w:rPr/>
              <w:t>​</w:t>
            </w:r>
          </w:p>
        </w:tc>
        <w:tc>
          <w:tcPr>
            <w:tcW w:w="29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2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8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4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0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right"/>
              <w:rPr/>
            </w:pPr>
            <w:r>
              <w:rPr/>
              <w:t>​</w:t>
            </w:r>
          </w:p>
        </w:tc>
        <w:tc>
          <w:tcPr>
            <w:tcW w:w="33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7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(3,414)</w:t>
            </w:r>
          </w:p>
        </w:tc>
        <w:tc>
          <w:tcPr>
            <w:tcW w:w="286" w:type="dxa"/>
            <w:tcBorders/>
            <w:shd w:fill="CCEEFF" w:val="clear"/>
            <w:vAlign w:val="center"/>
          </w:tcPr>
          <w:p>
            <w:pPr>
              <w:pStyle w:val="TableContents"/>
              <w:bidi w:val="0"/>
              <w:spacing w:before="0" w:after="0"/>
              <w:ind w:left="0" w:right="0" w:hanging="0"/>
              <w:jc w:val="left"/>
              <w:rPr/>
            </w:pPr>
            <w:r>
              <w:rPr/>
              <w:t>​</w:t>
            </w:r>
          </w:p>
        </w:tc>
        <w:tc>
          <w:tcPr>
            <w:tcW w:w="25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(3,414)</w:t>
            </w:r>
          </w:p>
        </w:tc>
        <w:tc>
          <w:tcPr>
            <w:tcW w:w="286" w:type="dxa"/>
            <w:tcBorders/>
            <w:shd w:fill="CCEEFF" w:val="clear"/>
            <w:vAlign w:val="center"/>
          </w:tcPr>
          <w:p>
            <w:pPr>
              <w:pStyle w:val="TableContents"/>
              <w:bidi w:val="0"/>
              <w:spacing w:before="0" w:after="0"/>
              <w:ind w:left="0" w:right="0" w:hanging="0"/>
              <w:jc w:val="left"/>
              <w:rPr/>
            </w:pPr>
            <w:r>
              <w:rPr/>
              <w:t>​</w:t>
            </w:r>
          </w:p>
        </w:tc>
        <w:tc>
          <w:tcPr>
            <w:tcW w:w="3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(289)</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0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(3,703)</w:t>
            </w:r>
          </w:p>
        </w:tc>
      </w:tr>
      <w:tr>
        <w:trPr/>
        <w:tc>
          <w:tcPr>
            <w:tcW w:w="123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Balance June 30, 2025</w:t>
            </w:r>
          </w:p>
        </w:tc>
        <w:tc>
          <w:tcPr>
            <w:tcW w:w="109" w:type="dxa"/>
            <w:tcBorders/>
            <w:vAlign w:val="center"/>
          </w:tcPr>
          <w:p>
            <w:pPr>
              <w:pStyle w:val="TableContents"/>
              <w:bidi w:val="0"/>
              <w:spacing w:before="0" w:after="0"/>
              <w:ind w:left="0" w:right="0" w:hanging="0"/>
              <w:jc w:val="left"/>
              <w:rPr/>
            </w:pPr>
            <w:r>
              <w:rPr/>
              <w:t>​</w:t>
            </w:r>
          </w:p>
        </w:tc>
        <w:tc>
          <w:tcPr>
            <w:tcW w:w="29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28"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8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4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142</w:t>
            </w:r>
          </w:p>
        </w:tc>
        <w:tc>
          <w:tcPr>
            <w:tcW w:w="286" w:type="dxa"/>
            <w:tcBorders/>
            <w:vAlign w:val="center"/>
          </w:tcPr>
          <w:p>
            <w:pPr>
              <w:pStyle w:val="TableContents"/>
              <w:bidi w:val="0"/>
              <w:spacing w:before="0" w:after="0"/>
              <w:ind w:left="0" w:right="0" w:hanging="0"/>
              <w:jc w:val="left"/>
              <w:rPr/>
            </w:pPr>
            <w:r>
              <w:rPr/>
              <w:t>​</w:t>
            </w:r>
          </w:p>
        </w:tc>
        <w:tc>
          <w:tcPr>
            <w:tcW w:w="20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253,067</w:t>
            </w:r>
          </w:p>
        </w:tc>
        <w:tc>
          <w:tcPr>
            <w:tcW w:w="28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(26,721)</w:t>
            </w:r>
          </w:p>
        </w:tc>
        <w:tc>
          <w:tcPr>
            <w:tcW w:w="286" w:type="dxa"/>
            <w:tcBorders/>
            <w:vAlign w:val="center"/>
          </w:tcPr>
          <w:p>
            <w:pPr>
              <w:pStyle w:val="TableContents"/>
              <w:bidi w:val="0"/>
              <w:spacing w:before="0" w:after="0"/>
              <w:ind w:left="0" w:right="0" w:hanging="0"/>
              <w:jc w:val="left"/>
              <w:rPr/>
            </w:pPr>
            <w:r>
              <w:rPr/>
              <w:t>​</w:t>
            </w:r>
          </w:p>
        </w:tc>
        <w:tc>
          <w:tcPr>
            <w:tcW w:w="33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7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3,357</w:t>
            </w:r>
          </w:p>
        </w:tc>
        <w:tc>
          <w:tcPr>
            <w:tcW w:w="286" w:type="dxa"/>
            <w:tcBorders/>
            <w:vAlign w:val="center"/>
          </w:tcPr>
          <w:p>
            <w:pPr>
              <w:pStyle w:val="TableContents"/>
              <w:bidi w:val="0"/>
              <w:spacing w:before="0" w:after="0"/>
              <w:ind w:left="0" w:right="0" w:hanging="0"/>
              <w:jc w:val="left"/>
              <w:rPr/>
            </w:pPr>
            <w:r>
              <w:rPr/>
              <w:t>​</w:t>
            </w:r>
          </w:p>
        </w:tc>
        <w:tc>
          <w:tcPr>
            <w:tcW w:w="25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229,845</w:t>
            </w:r>
          </w:p>
        </w:tc>
        <w:tc>
          <w:tcPr>
            <w:tcW w:w="286" w:type="dxa"/>
            <w:tcBorders/>
            <w:vAlign w:val="center"/>
          </w:tcPr>
          <w:p>
            <w:pPr>
              <w:pStyle w:val="TableContents"/>
              <w:bidi w:val="0"/>
              <w:spacing w:before="0" w:after="0"/>
              <w:ind w:left="0" w:right="0" w:hanging="0"/>
              <w:jc w:val="left"/>
              <w:rPr/>
            </w:pPr>
            <w:r>
              <w:rPr/>
              <w:t>​</w:t>
            </w:r>
          </w:p>
        </w:tc>
        <w:tc>
          <w:tcPr>
            <w:tcW w:w="31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5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22,242</w:t>
            </w:r>
          </w:p>
        </w:tc>
        <w:tc>
          <w:tcPr>
            <w:tcW w:w="28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08" w:type="dxa"/>
            <w:tcBorders>
              <w:bottom w:val="double" w:sz="6" w:space="0" w:color="000000"/>
            </w:tcBorders>
            <w:tcMar>
              <w:bottom w:w="28" w:type="dxa"/>
            </w:tcMar>
            <w:vAlign w:val="center"/>
          </w:tcPr>
          <w:p>
            <w:pPr>
              <w:pStyle w:val="TableContents"/>
              <w:bidi w:val="0"/>
              <w:spacing w:before="0" w:after="0"/>
              <w:ind w:left="0" w:right="72" w:hanging="0"/>
              <w:jc w:val="right"/>
              <w:rPr>
                <w:rFonts w:ascii="Times New Roman;Times;serif" w:hAnsi="Times New Roman;Times;serif"/>
                <w:sz w:val="18"/>
              </w:rPr>
            </w:pPr>
            <w:r>
              <w:rPr>
                <w:rFonts w:ascii="Times New Roman;Times;serif" w:hAnsi="Times New Roman;Times;serif"/>
                <w:sz w:val="18"/>
              </w:rPr>
              <w:t>252,087</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accompanying notes are an integral part of these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bookmarkStart w:id="778" w:name="_7425066a_198c_4b1a_adf8_0910aa8c6bdd"/>
      <w:bookmarkEnd w:id="778"/>
      <w:r>
        <w:rPr>
          <w:rFonts w:ascii="Times New Roman;Times;serif" w:hAnsi="Times New Roman;Times;serif"/>
          <w:sz w:val="20"/>
        </w:rPr>
        <w:t>ALPINE INCOME PROPERTY TRUST, INC.</w:t>
      </w:r>
    </w:p>
    <w:p>
      <w:pPr>
        <w:pStyle w:val="TextBody"/>
        <w:bidi w:val="0"/>
        <w:spacing w:before="0" w:after="0"/>
        <w:ind w:left="0" w:right="0" w:hanging="0"/>
        <w:jc w:val="center"/>
        <w:rPr>
          <w:rFonts w:ascii="Times New Roman;Times;serif" w:hAnsi="Times New Roman;Times;serif"/>
          <w:sz w:val="20"/>
        </w:rPr>
      </w:pPr>
      <w:bookmarkStart w:id="779" w:name="CONSOLIDATEDSTATEMENTSOFCASHFLOWS_91955"/>
      <w:bookmarkEnd w:id="779"/>
      <w:r>
        <w:rPr>
          <w:rFonts w:ascii="Times New Roman;Times;serif" w:hAnsi="Times New Roman;Times;serif"/>
          <w:sz w:val="20"/>
        </w:rPr>
        <w:t>CONSOLIDATED STATEMENTS OF CASH FLOWS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(Unaudited, in thousands)</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780" w:name="Tc_B-QzaZRcCEOhKkuofNR7sQ_47_5"/>
      <w:bookmarkStart w:id="781" w:name="Tc_CR44acPJU0qIyQdH49nu-A_47_2"/>
      <w:bookmarkStart w:id="782" w:name="Tc_iAOo0ot6DkKB04jea4HB_g_47_0"/>
      <w:bookmarkStart w:id="783" w:name="Tc_yqSgb-BKeEuAKLMrr_KBFg_46_0"/>
      <w:bookmarkStart w:id="784" w:name="Tc_JWgVYlBnQEqV_bH92J5HiQ_45_5"/>
      <w:bookmarkStart w:id="785" w:name="Tc_Oqe0Al1hekCxGECbDqyuaQ_45_2"/>
      <w:bookmarkStart w:id="786" w:name="Tc_ScAhhX2VBEerC_5fdEXFTQ_45_0"/>
      <w:bookmarkStart w:id="787" w:name="Tc_UwWUgtejHUqAjwPwWld_Bw_44_0"/>
      <w:bookmarkStart w:id="788" w:name="Tc_6uD1CAHOCE6jfx7UoEb53g_42_5"/>
      <w:bookmarkStart w:id="789" w:name="Tc_phjQCFEAvkC0zSh9cBw7kg_42_2"/>
      <w:bookmarkStart w:id="790" w:name="Tc_zS98gvS1pUmw__GjUnxKcQ_42_0"/>
      <w:bookmarkStart w:id="791" w:name="Tc_JrKyExvNQ0CXSJ7WCp4Sng_41_0"/>
      <w:bookmarkStart w:id="792" w:name="Tc_MCROVPi0lk6zWnqx3RM1gw_40_0"/>
      <w:bookmarkStart w:id="793" w:name="Tc_h015ruW2_UK9K1BYW5x0OA_39_0"/>
      <w:bookmarkStart w:id="794" w:name="Tc_qHeWBJcJgEaYN4Io3kZmYg_38_0"/>
      <w:bookmarkStart w:id="795" w:name="Tc_hqZjpZd8cEGZx7IURRBpGg_37_6"/>
      <w:bookmarkStart w:id="796" w:name="Tc_HtXmYPzPNEG9BJjY_eR2dQ_37_0"/>
      <w:bookmarkStart w:id="797" w:name="Tc_hSDwOm_Ob0yVfUYwYHyYTA_36_0"/>
      <w:bookmarkStart w:id="798" w:name="Tc_hYQDhOKaL0GKCqNoq5HWww_35_3"/>
      <w:bookmarkStart w:id="799" w:name="Tc_ga7DjW3nMU-cbqmxaHS8LA_35_0"/>
      <w:bookmarkStart w:id="800" w:name="Tc_Ah3yoH-ksUygvZZFQrqRXQ_34_0"/>
      <w:bookmarkStart w:id="801" w:name="Tc_3fYgAZjUl0ms-1UEHz8WAg_33_0"/>
      <w:bookmarkStart w:id="802" w:name="Tc_ehAGQTGX40q6hhXDYqpScQ_32_0"/>
      <w:bookmarkStart w:id="803" w:name="Tc_QfDrU6_tRUSwdubXyZ_Y1A_31_0"/>
      <w:bookmarkStart w:id="804" w:name="Tc_U4PWi6x-1kuueAwbiEucXg_30_0"/>
      <w:bookmarkStart w:id="805" w:name="Tc_y8BlNswXNUu5i1Hlv5bbYg_29_0"/>
      <w:bookmarkStart w:id="806" w:name="Tc_WlriOPLkGUqbiVQTpNrTZQ_28_0"/>
      <w:bookmarkStart w:id="807" w:name="Tc_RtYzJfRRLU2tl1zKEjlzkg_27_6"/>
      <w:bookmarkStart w:id="808" w:name="Tc_O6UdxBgvoE6r-mDrAw1rqQ_27_0"/>
      <w:bookmarkStart w:id="809" w:name="Tc_M0W13ZBaV0ySmcRprtdqgA_26_0"/>
      <w:bookmarkStart w:id="810" w:name="Tc_1h2yn3vW60GkmCOZdLEynw_25_0"/>
      <w:bookmarkStart w:id="811" w:name="Tc_EIDiaW1X-kGmDNP1Xl48fg_24_0"/>
      <w:bookmarkStart w:id="812" w:name="Tc_aYgYB8scL0K1KgME7twuaw_23_0"/>
      <w:bookmarkStart w:id="813" w:name="Tc_dfv7v7RkwEahbRCJxypmRg_22_0"/>
      <w:bookmarkStart w:id="814" w:name="Tc_KtH9Fztduk-6h_YEbBkTIg_21_0"/>
      <w:bookmarkStart w:id="815" w:name="Tc_5CG2Ju6U4E-hueZq8Myh2w_20_0"/>
      <w:bookmarkStart w:id="816" w:name="Tc_Dw4nRp7HMEyDx1P2nDflJg_19_0"/>
      <w:bookmarkStart w:id="817" w:name="Tc_b6F9pIGat0GzdHQkjeKPPg_18_0"/>
      <w:bookmarkStart w:id="818" w:name="Tc_PLf3h4Xno0iqJGsuoJR1bA_17_0"/>
      <w:bookmarkStart w:id="819" w:name="Tc_ztBbX6BeqkW-VKQ6pMHzBA_16_0"/>
      <w:bookmarkStart w:id="820" w:name="Tc_LNQX6lGvO0OheSDOVT-k_w_15_0"/>
      <w:bookmarkStart w:id="821" w:name="Tc_X-ayjVyaEU2IOVDaIbFMAg_14_0"/>
      <w:bookmarkStart w:id="822" w:name="Tc_pWZNxKn2B0ai3WMcFpyayQ_13_0"/>
      <w:bookmarkStart w:id="823" w:name="Tc_TsDu_DPvYEOya8GtoDe8VQ_12_0"/>
      <w:bookmarkStart w:id="824" w:name="Tc_bkPFqMzZgU20weazDh9_zA_11_0"/>
      <w:bookmarkStart w:id="825" w:name="Tc_EFuNbp5o3kaBHSn49eNLPA_10_6"/>
      <w:bookmarkStart w:id="826" w:name="Tc_QUd4BXgqsUiSHicqrztIfA_10_0"/>
      <w:bookmarkStart w:id="827" w:name="Tc_4qqbm9t14EOPTcr7VSYIrQ_9_0"/>
      <w:bookmarkStart w:id="828" w:name="Tc_FMADKnGY70KTTzQth4sROg_8_0"/>
      <w:bookmarkStart w:id="829" w:name="Tc_AEfaHiigsEmYMUJYtL2_-g_7_0"/>
      <w:bookmarkStart w:id="830" w:name="Tc_E-m6850DVkOYQg5A-qU7JA_6_0"/>
      <w:bookmarkStart w:id="831" w:name="Tc_cs9RW_NXMEGexhk_dJwdDg_5_0"/>
      <w:bookmarkStart w:id="832" w:name="Tc_HAtIqyojBEWXJs90YM3iqw_4_5"/>
      <w:bookmarkStart w:id="833" w:name="Tc_u5qBv6KfgEW32LJE_vWGdg_4_2"/>
      <w:bookmarkStart w:id="834" w:name="Tc_OCLd0OU2HE2aIDXSODwepg_4_0"/>
      <w:bookmarkStart w:id="835" w:name="Tc_vE-2jE7sZ0ucrg_hK0V8hw_3_0"/>
      <w:bookmarkStart w:id="836" w:name="Tc_Z5oh3nRJt0CdIrRePQ-5FQ_2_5"/>
      <w:bookmarkStart w:id="837" w:name="Tc_ywH4ZoP9TE6R91PnhsVj0w_2_2"/>
      <w:bookmarkStart w:id="838" w:name="Tc_alXmt6qqz0ORAgPJyz7q1g_1_2"/>
      <w:bookmarkStart w:id="839" w:name="_a46bc8f9_a52d_4f7d_87a7_4d8c59ddb0a5"/>
      <w:bookmarkStart w:id="840" w:name="Tc_B-QzaZRcCEOhKkuofNR7sQ_47_5"/>
      <w:bookmarkStart w:id="841" w:name="Tc_CR44acPJU0qIyQdH49nu-A_47_2"/>
      <w:bookmarkStart w:id="842" w:name="Tc_iAOo0ot6DkKB04jea4HB_g_47_0"/>
      <w:bookmarkStart w:id="843" w:name="Tc_yqSgb-BKeEuAKLMrr_KBFg_46_0"/>
      <w:bookmarkStart w:id="844" w:name="Tc_JWgVYlBnQEqV_bH92J5HiQ_45_5"/>
      <w:bookmarkStart w:id="845" w:name="Tc_Oqe0Al1hekCxGECbDqyuaQ_45_2"/>
      <w:bookmarkStart w:id="846" w:name="Tc_ScAhhX2VBEerC_5fdEXFTQ_45_0"/>
      <w:bookmarkStart w:id="847" w:name="Tc_UwWUgtejHUqAjwPwWld_Bw_44_0"/>
      <w:bookmarkStart w:id="848" w:name="Tc_6uD1CAHOCE6jfx7UoEb53g_42_5"/>
      <w:bookmarkStart w:id="849" w:name="Tc_phjQCFEAvkC0zSh9cBw7kg_42_2"/>
      <w:bookmarkStart w:id="850" w:name="Tc_zS98gvS1pUmw__GjUnxKcQ_42_0"/>
      <w:bookmarkStart w:id="851" w:name="Tc_JrKyExvNQ0CXSJ7WCp4Sng_41_0"/>
      <w:bookmarkStart w:id="852" w:name="Tc_MCROVPi0lk6zWnqx3RM1gw_40_0"/>
      <w:bookmarkStart w:id="853" w:name="Tc_h015ruW2_UK9K1BYW5x0OA_39_0"/>
      <w:bookmarkStart w:id="854" w:name="Tc_qHeWBJcJgEaYN4Io3kZmYg_38_0"/>
      <w:bookmarkStart w:id="855" w:name="Tc_hqZjpZd8cEGZx7IURRBpGg_37_6"/>
      <w:bookmarkStart w:id="856" w:name="Tc_HtXmYPzPNEG9BJjY_eR2dQ_37_0"/>
      <w:bookmarkStart w:id="857" w:name="Tc_hSDwOm_Ob0yVfUYwYHyYTA_36_0"/>
      <w:bookmarkStart w:id="858" w:name="Tc_hYQDhOKaL0GKCqNoq5HWww_35_3"/>
      <w:bookmarkStart w:id="859" w:name="Tc_ga7DjW3nMU-cbqmxaHS8LA_35_0"/>
      <w:bookmarkStart w:id="860" w:name="Tc_Ah3yoH-ksUygvZZFQrqRXQ_34_0"/>
      <w:bookmarkStart w:id="861" w:name="Tc_3fYgAZjUl0ms-1UEHz8WAg_33_0"/>
      <w:bookmarkStart w:id="862" w:name="Tc_ehAGQTGX40q6hhXDYqpScQ_32_0"/>
      <w:bookmarkStart w:id="863" w:name="Tc_QfDrU6_tRUSwdubXyZ_Y1A_31_0"/>
      <w:bookmarkStart w:id="864" w:name="Tc_U4PWi6x-1kuueAwbiEucXg_30_0"/>
      <w:bookmarkStart w:id="865" w:name="Tc_y8BlNswXNUu5i1Hlv5bbYg_29_0"/>
      <w:bookmarkStart w:id="866" w:name="Tc_WlriOPLkGUqbiVQTpNrTZQ_28_0"/>
      <w:bookmarkStart w:id="867" w:name="Tc_RtYzJfRRLU2tl1zKEjlzkg_27_6"/>
      <w:bookmarkStart w:id="868" w:name="Tc_O6UdxBgvoE6r-mDrAw1rqQ_27_0"/>
      <w:bookmarkStart w:id="869" w:name="Tc_M0W13ZBaV0ySmcRprtdqgA_26_0"/>
      <w:bookmarkStart w:id="870" w:name="Tc_1h2yn3vW60GkmCOZdLEynw_25_0"/>
      <w:bookmarkStart w:id="871" w:name="Tc_EIDiaW1X-kGmDNP1Xl48fg_24_0"/>
      <w:bookmarkStart w:id="872" w:name="Tc_aYgYB8scL0K1KgME7twuaw_23_0"/>
      <w:bookmarkStart w:id="873" w:name="Tc_dfv7v7RkwEahbRCJxypmRg_22_0"/>
      <w:bookmarkStart w:id="874" w:name="Tc_KtH9Fztduk-6h_YEbBkTIg_21_0"/>
      <w:bookmarkStart w:id="875" w:name="Tc_5CG2Ju6U4E-hueZq8Myh2w_20_0"/>
      <w:bookmarkStart w:id="876" w:name="Tc_Dw4nRp7HMEyDx1P2nDflJg_19_0"/>
      <w:bookmarkStart w:id="877" w:name="Tc_b6F9pIGat0GzdHQkjeKPPg_18_0"/>
      <w:bookmarkStart w:id="878" w:name="Tc_PLf3h4Xno0iqJGsuoJR1bA_17_0"/>
      <w:bookmarkStart w:id="879" w:name="Tc_ztBbX6BeqkW-VKQ6pMHzBA_16_0"/>
      <w:bookmarkStart w:id="880" w:name="Tc_LNQX6lGvO0OheSDOVT-k_w_15_0"/>
      <w:bookmarkStart w:id="881" w:name="Tc_X-ayjVyaEU2IOVDaIbFMAg_14_0"/>
      <w:bookmarkStart w:id="882" w:name="Tc_pWZNxKn2B0ai3WMcFpyayQ_13_0"/>
      <w:bookmarkStart w:id="883" w:name="Tc_TsDu_DPvYEOya8GtoDe8VQ_12_0"/>
      <w:bookmarkStart w:id="884" w:name="Tc_bkPFqMzZgU20weazDh9_zA_11_0"/>
      <w:bookmarkStart w:id="885" w:name="Tc_EFuNbp5o3kaBHSn49eNLPA_10_6"/>
      <w:bookmarkStart w:id="886" w:name="Tc_QUd4BXgqsUiSHicqrztIfA_10_0"/>
      <w:bookmarkStart w:id="887" w:name="Tc_4qqbm9t14EOPTcr7VSYIrQ_9_0"/>
      <w:bookmarkStart w:id="888" w:name="Tc_FMADKnGY70KTTzQth4sROg_8_0"/>
      <w:bookmarkStart w:id="889" w:name="Tc_AEfaHiigsEmYMUJYtL2_-g_7_0"/>
      <w:bookmarkStart w:id="890" w:name="Tc_E-m6850DVkOYQg5A-qU7JA_6_0"/>
      <w:bookmarkStart w:id="891" w:name="Tc_cs9RW_NXMEGexhk_dJwdDg_5_0"/>
      <w:bookmarkStart w:id="892" w:name="Tc_HAtIqyojBEWXJs90YM3iqw_4_5"/>
      <w:bookmarkStart w:id="893" w:name="Tc_u5qBv6KfgEW32LJE_vWGdg_4_2"/>
      <w:bookmarkStart w:id="894" w:name="Tc_OCLd0OU2HE2aIDXSODwepg_4_0"/>
      <w:bookmarkStart w:id="895" w:name="Tc_vE-2jE7sZ0ucrg_hK0V8hw_3_0"/>
      <w:bookmarkStart w:id="896" w:name="Tc_Z5oh3nRJt0CdIrRePQ-5FQ_2_5"/>
      <w:bookmarkStart w:id="897" w:name="Tc_ywH4ZoP9TE6R91PnhsVj0w_2_2"/>
      <w:bookmarkStart w:id="898" w:name="Tc_alXmt6qqz0ORAgPJyz7q1g_1_2"/>
      <w:bookmarkStart w:id="899" w:name="_a46bc8f9_a52d_4f7d_87a7_4d8c59ddb0a5"/>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p>
    <w:tbl>
      <w:tblPr>
        <w:tblW w:w="8949" w:type="dxa"/>
        <w:jc w:val="left"/>
        <w:tblInd w:w="0" w:type="dxa"/>
        <w:tblLayout w:type="fixed"/>
        <w:tblCellMar>
          <w:top w:w="0" w:type="dxa"/>
          <w:left w:w="0" w:type="dxa"/>
          <w:bottom w:w="0" w:type="dxa"/>
          <w:right w:w="0" w:type="dxa"/>
        </w:tblCellMar>
      </w:tblPr>
      <w:tblGrid>
        <w:gridCol w:w="6436"/>
        <w:gridCol w:w="109"/>
        <w:gridCol w:w="219"/>
        <w:gridCol w:w="906"/>
        <w:gridCol w:w="109"/>
        <w:gridCol w:w="238"/>
        <w:gridCol w:w="932"/>
      </w:tblGrid>
      <w:tr>
        <w:trPr/>
        <w:tc>
          <w:tcPr>
            <w:tcW w:w="643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9215" cy="175260"/>
                      <wp:effectExtent l="0" t="0" r="0" b="0"/>
                      <wp:wrapNone/>
                      <wp:docPr id="130" name="Frame13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139065" cy="175260"/>
                      <wp:effectExtent l="0" t="0" r="0" b="0"/>
                      <wp:wrapNone/>
                      <wp:docPr id="131" name="Frame131"/>
                      <a:graphic xmlns:a="http://schemas.openxmlformats.org/drawingml/2006/main">
                        <a:graphicData uri="http://schemas.microsoft.com/office/word/2010/wordprocessingShape">
                          <wps:wsp>
                            <wps:cNvSpPr txBox="1"/>
                            <wps:spPr>
                              <a:xfrm>
                                <a:off x="0" y="0"/>
                                <a:ext cx="1390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575310" cy="175260"/>
                      <wp:effectExtent l="0" t="0" r="0" b="0"/>
                      <wp:wrapNone/>
                      <wp:docPr id="132" name="Frame132"/>
                      <a:graphic xmlns:a="http://schemas.openxmlformats.org/drawingml/2006/main">
                        <a:graphicData uri="http://schemas.microsoft.com/office/word/2010/wordprocessingShape">
                          <wps:wsp>
                            <wps:cNvSpPr txBox="1"/>
                            <wps:spPr>
                              <a:xfrm>
                                <a:off x="0" y="0"/>
                                <a:ext cx="575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9215" cy="175260"/>
                      <wp:effectExtent l="0" t="0" r="0" b="0"/>
                      <wp:wrapNone/>
                      <wp:docPr id="133" name="Frame13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151130" cy="175260"/>
                      <wp:effectExtent l="0" t="0" r="0" b="0"/>
                      <wp:wrapNone/>
                      <wp:docPr id="134" name="Frame134"/>
                      <a:graphic xmlns:a="http://schemas.openxmlformats.org/drawingml/2006/main">
                        <a:graphicData uri="http://schemas.microsoft.com/office/word/2010/wordprocessingShape">
                          <wps:wsp>
                            <wps:cNvSpPr txBox="1"/>
                            <wps:spPr>
                              <a:xfrm>
                                <a:off x="0" y="0"/>
                                <a:ext cx="1511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591820" cy="175260"/>
                      <wp:effectExtent l="0" t="0" r="0" b="0"/>
                      <wp:wrapNone/>
                      <wp:docPr id="135" name="Frame135"/>
                      <a:graphic xmlns:a="http://schemas.openxmlformats.org/drawingml/2006/main">
                        <a:graphicData uri="http://schemas.microsoft.com/office/word/2010/wordprocessingShape">
                          <wps:wsp>
                            <wps:cNvSpPr txBox="1"/>
                            <wps:spPr>
                              <a:xfrm>
                                <a:off x="0" y="0"/>
                                <a:ext cx="5918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6436"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2404"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7"/>
              </w:rPr>
            </w:pPr>
            <w:r>
              <w:rPr>
                <w:rFonts w:ascii="Times New Roman;Times;serif" w:hAnsi="Times New Roman;Times;serif"/>
                <w:b/>
                <w:sz w:val="17"/>
              </w:rPr>
              <w:t>Six Months Ended</w:t>
            </w:r>
          </w:p>
        </w:tc>
      </w:tr>
      <w:tr>
        <w:trPr/>
        <w:tc>
          <w:tcPr>
            <w:tcW w:w="643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12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2026</w:t>
            </w:r>
          </w:p>
        </w:tc>
        <w:tc>
          <w:tcPr>
            <w:tcW w:w="109" w:type="dxa"/>
            <w:tcBorders/>
            <w:vAlign w:val="center"/>
          </w:tcPr>
          <w:p>
            <w:pPr>
              <w:pStyle w:val="TableContents"/>
              <w:bidi w:val="0"/>
              <w:spacing w:before="0" w:after="1"/>
              <w:ind w:left="0" w:right="0" w:hanging="0"/>
              <w:jc w:val="center"/>
              <w:rPr/>
            </w:pPr>
            <w:r>
              <w:rPr/>
              <w:t>​</w:t>
            </w:r>
          </w:p>
        </w:tc>
        <w:tc>
          <w:tcPr>
            <w:tcW w:w="117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2025</w:t>
            </w:r>
          </w:p>
        </w:tc>
      </w:tr>
      <w:tr>
        <w:trPr/>
        <w:tc>
          <w:tcPr>
            <w:tcW w:w="643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Cash Flow From Operating Activities:</w:t>
            </w:r>
          </w:p>
        </w:tc>
        <w:tc>
          <w:tcPr>
            <w:tcW w:w="109" w:type="dxa"/>
            <w:tcBorders/>
            <w:shd w:fill="CCEEFF" w:val="clear"/>
            <w:vAlign w:val="center"/>
          </w:tcPr>
          <w:p>
            <w:pPr>
              <w:pStyle w:val="TableContents"/>
              <w:bidi w:val="0"/>
              <w:spacing w:before="0" w:after="1"/>
              <w:ind w:left="0" w:right="0" w:hanging="0"/>
              <w:jc w:val="left"/>
              <w:rPr/>
            </w:pPr>
            <w:r>
              <w:rPr/>
              <w:t>​</w:t>
            </w:r>
          </w:p>
        </w:tc>
        <w:tc>
          <w:tcPr>
            <w:tcW w:w="219" w:type="dxa"/>
            <w:tcBorders/>
            <w:shd w:fill="CCEEFF" w:val="clear"/>
            <w:vAlign w:val="center"/>
          </w:tcPr>
          <w:p>
            <w:pPr>
              <w:pStyle w:val="TableContents"/>
              <w:bidi w:val="0"/>
              <w:spacing w:before="0" w:after="1"/>
              <w:ind w:left="0" w:right="0" w:hanging="0"/>
              <w:jc w:val="right"/>
              <w:rPr/>
            </w:pPr>
            <w:r>
              <w:rPr/>
              <w:t>​</w:t>
            </w:r>
          </w:p>
        </w:tc>
        <w:tc>
          <w:tcPr>
            <w:tcW w:w="90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38" w:type="dxa"/>
            <w:tcBorders/>
            <w:shd w:fill="CCEEFF" w:val="clear"/>
            <w:vAlign w:val="center"/>
          </w:tcPr>
          <w:p>
            <w:pPr>
              <w:pStyle w:val="TableContents"/>
              <w:bidi w:val="0"/>
              <w:spacing w:before="0" w:after="1"/>
              <w:ind w:left="0" w:right="0" w:hanging="0"/>
              <w:jc w:val="right"/>
              <w:rPr/>
            </w:pPr>
            <w:r>
              <w:rPr/>
              <w:t>​</w:t>
            </w:r>
          </w:p>
        </w:tc>
        <w:tc>
          <w:tcPr>
            <w:tcW w:w="932" w:type="dxa"/>
            <w:tcBorders/>
            <w:shd w:fill="CCEEFF" w:val="clear"/>
            <w:vAlign w:val="center"/>
          </w:tcPr>
          <w:p>
            <w:pPr>
              <w:pStyle w:val="TableContents"/>
              <w:bidi w:val="0"/>
              <w:spacing w:before="0" w:after="1"/>
              <w:ind w:left="0" w:right="0" w:hanging="0"/>
              <w:jc w:val="left"/>
              <w:rPr/>
            </w:pPr>
            <w:r>
              <w:rPr/>
              <w:t>​</w:t>
            </w:r>
          </w:p>
        </w:tc>
      </w:tr>
      <w:tr>
        <w:trPr/>
        <w:tc>
          <w:tcPr>
            <w:tcW w:w="643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Income (Loss)</w:t>
            </w:r>
          </w:p>
        </w:tc>
        <w:tc>
          <w:tcPr>
            <w:tcW w:w="109" w:type="dxa"/>
            <w:tcBorders/>
            <w:vAlign w:val="center"/>
          </w:tcPr>
          <w:p>
            <w:pPr>
              <w:pStyle w:val="TableContents"/>
              <w:bidi w:val="0"/>
              <w:spacing w:before="0" w:after="1"/>
              <w:ind w:left="0" w:right="0" w:hanging="0"/>
              <w:jc w:val="left"/>
              <w:rPr/>
            </w:pPr>
            <w:r>
              <w:rPr/>
              <w:t>​</w:t>
            </w:r>
          </w:p>
        </w:tc>
        <w:tc>
          <w:tcPr>
            <w:tcW w:w="219"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0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6,849</w:t>
            </w:r>
          </w:p>
        </w:tc>
        <w:tc>
          <w:tcPr>
            <w:tcW w:w="109" w:type="dxa"/>
            <w:tcBorders/>
            <w:vAlign w:val="center"/>
          </w:tcPr>
          <w:p>
            <w:pPr>
              <w:pStyle w:val="TableContents"/>
              <w:bidi w:val="0"/>
              <w:spacing w:before="0" w:after="1"/>
              <w:ind w:left="0" w:right="0" w:hanging="0"/>
              <w:jc w:val="left"/>
              <w:rPr/>
            </w:pPr>
            <w:r>
              <w:rPr/>
              <w:t>​</w:t>
            </w:r>
          </w:p>
        </w:tc>
        <w:tc>
          <w:tcPr>
            <w:tcW w:w="238"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3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(3,060)</w:t>
            </w:r>
          </w:p>
        </w:tc>
      </w:tr>
      <w:tr>
        <w:trPr/>
        <w:tc>
          <w:tcPr>
            <w:tcW w:w="643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Adjustments to Reconcile Net Income (Loss) to Net Cash Provided By Operating Activities:</w:t>
            </w:r>
          </w:p>
        </w:tc>
        <w:tc>
          <w:tcPr>
            <w:tcW w:w="109" w:type="dxa"/>
            <w:tcBorders/>
            <w:shd w:fill="CCEEFF" w:val="clear"/>
            <w:vAlign w:val="center"/>
          </w:tcPr>
          <w:p>
            <w:pPr>
              <w:pStyle w:val="TableContents"/>
              <w:bidi w:val="0"/>
              <w:spacing w:before="0" w:after="1"/>
              <w:ind w:left="0" w:right="0" w:hanging="0"/>
              <w:jc w:val="left"/>
              <w:rPr/>
            </w:pPr>
            <w:r>
              <w:rPr/>
              <w:t>​</w:t>
            </w:r>
          </w:p>
        </w:tc>
        <w:tc>
          <w:tcPr>
            <w:tcW w:w="219" w:type="dxa"/>
            <w:tcBorders/>
            <w:shd w:fill="CCEEFF" w:val="clear"/>
            <w:vAlign w:val="center"/>
          </w:tcPr>
          <w:p>
            <w:pPr>
              <w:pStyle w:val="TableContents"/>
              <w:bidi w:val="0"/>
              <w:spacing w:before="0" w:after="1"/>
              <w:ind w:left="0" w:right="0" w:hanging="0"/>
              <w:jc w:val="left"/>
              <w:rPr/>
            </w:pPr>
            <w:r>
              <w:rPr/>
              <w:t>​</w:t>
            </w:r>
          </w:p>
        </w:tc>
        <w:tc>
          <w:tcPr>
            <w:tcW w:w="90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38" w:type="dxa"/>
            <w:tcBorders/>
            <w:shd w:fill="CCEEFF" w:val="clear"/>
            <w:vAlign w:val="center"/>
          </w:tcPr>
          <w:p>
            <w:pPr>
              <w:pStyle w:val="TableContents"/>
              <w:bidi w:val="0"/>
              <w:spacing w:before="0" w:after="1"/>
              <w:ind w:left="0" w:right="0" w:hanging="0"/>
              <w:jc w:val="left"/>
              <w:rPr/>
            </w:pPr>
            <w:r>
              <w:rPr/>
              <w:t>​</w:t>
            </w:r>
          </w:p>
        </w:tc>
        <w:tc>
          <w:tcPr>
            <w:tcW w:w="932" w:type="dxa"/>
            <w:tcBorders/>
            <w:shd w:fill="CCEEFF" w:val="clear"/>
            <w:vAlign w:val="center"/>
          </w:tcPr>
          <w:p>
            <w:pPr>
              <w:pStyle w:val="TableContents"/>
              <w:bidi w:val="0"/>
              <w:spacing w:before="0" w:after="1"/>
              <w:ind w:left="0" w:right="0" w:hanging="0"/>
              <w:jc w:val="left"/>
              <w:rPr/>
            </w:pPr>
            <w:r>
              <w:rPr/>
              <w:t>​</w:t>
            </w:r>
          </w:p>
        </w:tc>
      </w:tr>
      <w:tr>
        <w:trPr/>
        <w:tc>
          <w:tcPr>
            <w:tcW w:w="643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Depreciation and Amortization</w:t>
            </w:r>
          </w:p>
        </w:tc>
        <w:tc>
          <w:tcPr>
            <w:tcW w:w="109" w:type="dxa"/>
            <w:tcBorders/>
            <w:vAlign w:val="center"/>
          </w:tcPr>
          <w:p>
            <w:pPr>
              <w:pStyle w:val="TableContents"/>
              <w:bidi w:val="0"/>
              <w:spacing w:before="0" w:after="1"/>
              <w:ind w:left="0" w:right="0" w:hanging="0"/>
              <w:jc w:val="left"/>
              <w:rPr/>
            </w:pPr>
            <w:r>
              <w:rPr/>
              <w:t>​</w:t>
            </w:r>
          </w:p>
        </w:tc>
        <w:tc>
          <w:tcPr>
            <w:tcW w:w="219" w:type="dxa"/>
            <w:tcBorders/>
            <w:vAlign w:val="center"/>
          </w:tcPr>
          <w:p>
            <w:pPr>
              <w:pStyle w:val="TableContents"/>
              <w:bidi w:val="0"/>
              <w:spacing w:before="0" w:after="1"/>
              <w:ind w:left="0" w:right="0" w:hanging="0"/>
              <w:jc w:val="left"/>
              <w:rPr/>
            </w:pPr>
            <w:r>
              <w:rPr/>
              <w:t>​</w:t>
            </w:r>
          </w:p>
        </w:tc>
        <w:tc>
          <w:tcPr>
            <w:tcW w:w="90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14,020</w:t>
            </w:r>
          </w:p>
        </w:tc>
        <w:tc>
          <w:tcPr>
            <w:tcW w:w="109" w:type="dxa"/>
            <w:tcBorders/>
            <w:vAlign w:val="center"/>
          </w:tcPr>
          <w:p>
            <w:pPr>
              <w:pStyle w:val="TableContents"/>
              <w:bidi w:val="0"/>
              <w:spacing w:before="0" w:after="1"/>
              <w:ind w:left="0" w:right="0" w:hanging="0"/>
              <w:jc w:val="left"/>
              <w:rPr/>
            </w:pPr>
            <w:r>
              <w:rPr/>
              <w:t>​</w:t>
            </w:r>
          </w:p>
        </w:tc>
        <w:tc>
          <w:tcPr>
            <w:tcW w:w="238" w:type="dxa"/>
            <w:tcBorders/>
            <w:vAlign w:val="center"/>
          </w:tcPr>
          <w:p>
            <w:pPr>
              <w:pStyle w:val="TableContents"/>
              <w:bidi w:val="0"/>
              <w:spacing w:before="0" w:after="1"/>
              <w:ind w:left="0" w:right="0" w:hanging="0"/>
              <w:jc w:val="left"/>
              <w:rPr/>
            </w:pPr>
            <w:r>
              <w:rPr/>
              <w:t>​</w:t>
            </w:r>
          </w:p>
        </w:tc>
        <w:tc>
          <w:tcPr>
            <w:tcW w:w="93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14,012</w:t>
            </w:r>
          </w:p>
        </w:tc>
      </w:tr>
      <w:tr>
        <w:trPr/>
        <w:tc>
          <w:tcPr>
            <w:tcW w:w="643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Amortization of Intangible Lease Assets and Liabilities to Lease Income</w:t>
            </w:r>
          </w:p>
        </w:tc>
        <w:tc>
          <w:tcPr>
            <w:tcW w:w="109" w:type="dxa"/>
            <w:tcBorders/>
            <w:shd w:fill="CCEEFF" w:val="clear"/>
            <w:vAlign w:val="center"/>
          </w:tcPr>
          <w:p>
            <w:pPr>
              <w:pStyle w:val="TableContents"/>
              <w:bidi w:val="0"/>
              <w:spacing w:before="0" w:after="1"/>
              <w:ind w:left="0" w:right="0" w:hanging="0"/>
              <w:jc w:val="left"/>
              <w:rPr/>
            </w:pPr>
            <w:r>
              <w:rPr/>
              <w:t>​</w:t>
            </w:r>
          </w:p>
        </w:tc>
        <w:tc>
          <w:tcPr>
            <w:tcW w:w="219" w:type="dxa"/>
            <w:tcBorders/>
            <w:shd w:fill="CCEEFF" w:val="clear"/>
            <w:vAlign w:val="center"/>
          </w:tcPr>
          <w:p>
            <w:pPr>
              <w:pStyle w:val="TableContents"/>
              <w:bidi w:val="0"/>
              <w:spacing w:before="0" w:after="1"/>
              <w:ind w:left="0" w:right="0" w:hanging="0"/>
              <w:jc w:val="left"/>
              <w:rPr/>
            </w:pPr>
            <w:r>
              <w:rPr/>
              <w:t>​</w:t>
            </w:r>
          </w:p>
        </w:tc>
        <w:tc>
          <w:tcPr>
            <w:tcW w:w="9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(477)</w:t>
            </w:r>
          </w:p>
        </w:tc>
        <w:tc>
          <w:tcPr>
            <w:tcW w:w="109" w:type="dxa"/>
            <w:tcBorders/>
            <w:shd w:fill="CCEEFF" w:val="clear"/>
            <w:vAlign w:val="center"/>
          </w:tcPr>
          <w:p>
            <w:pPr>
              <w:pStyle w:val="TableContents"/>
              <w:bidi w:val="0"/>
              <w:spacing w:before="0" w:after="1"/>
              <w:ind w:left="0" w:right="0" w:hanging="0"/>
              <w:jc w:val="left"/>
              <w:rPr/>
            </w:pPr>
            <w:r>
              <w:rPr/>
              <w:t>​</w:t>
            </w:r>
          </w:p>
        </w:tc>
        <w:tc>
          <w:tcPr>
            <w:tcW w:w="238" w:type="dxa"/>
            <w:tcBorders/>
            <w:shd w:fill="CCEEFF" w:val="clear"/>
            <w:vAlign w:val="center"/>
          </w:tcPr>
          <w:p>
            <w:pPr>
              <w:pStyle w:val="TableContents"/>
              <w:bidi w:val="0"/>
              <w:spacing w:before="0" w:after="1"/>
              <w:ind w:left="0" w:right="0" w:hanging="0"/>
              <w:jc w:val="left"/>
              <w:rPr/>
            </w:pPr>
            <w:r>
              <w:rPr/>
              <w:t>​</w:t>
            </w:r>
          </w:p>
        </w:tc>
        <w:tc>
          <w:tcPr>
            <w:tcW w:w="93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(246)</w:t>
            </w:r>
          </w:p>
        </w:tc>
      </w:tr>
      <w:tr>
        <w:trPr/>
        <w:tc>
          <w:tcPr>
            <w:tcW w:w="643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xml:space="preserve">Amortization of Deferred Financing Costs to Interest Expense </w:t>
            </w:r>
          </w:p>
        </w:tc>
        <w:tc>
          <w:tcPr>
            <w:tcW w:w="109" w:type="dxa"/>
            <w:tcBorders/>
            <w:vAlign w:val="center"/>
          </w:tcPr>
          <w:p>
            <w:pPr>
              <w:pStyle w:val="TableContents"/>
              <w:bidi w:val="0"/>
              <w:spacing w:before="0" w:after="1"/>
              <w:ind w:left="0" w:right="0" w:hanging="0"/>
              <w:jc w:val="left"/>
              <w:rPr/>
            </w:pPr>
            <w:r>
              <w:rPr/>
              <w:t>​</w:t>
            </w:r>
          </w:p>
        </w:tc>
        <w:tc>
          <w:tcPr>
            <w:tcW w:w="219" w:type="dxa"/>
            <w:tcBorders/>
            <w:vAlign w:val="center"/>
          </w:tcPr>
          <w:p>
            <w:pPr>
              <w:pStyle w:val="TableContents"/>
              <w:bidi w:val="0"/>
              <w:spacing w:before="0" w:after="1"/>
              <w:ind w:left="0" w:right="0" w:hanging="0"/>
              <w:jc w:val="left"/>
              <w:rPr/>
            </w:pPr>
            <w:r>
              <w:rPr/>
              <w:t>​</w:t>
            </w:r>
          </w:p>
        </w:tc>
        <w:tc>
          <w:tcPr>
            <w:tcW w:w="90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568</w:t>
            </w:r>
          </w:p>
        </w:tc>
        <w:tc>
          <w:tcPr>
            <w:tcW w:w="109" w:type="dxa"/>
            <w:tcBorders/>
            <w:vAlign w:val="center"/>
          </w:tcPr>
          <w:p>
            <w:pPr>
              <w:pStyle w:val="TableContents"/>
              <w:bidi w:val="0"/>
              <w:spacing w:before="0" w:after="1"/>
              <w:ind w:left="0" w:right="0" w:hanging="0"/>
              <w:jc w:val="left"/>
              <w:rPr/>
            </w:pPr>
            <w:r>
              <w:rPr/>
              <w:t>​</w:t>
            </w:r>
          </w:p>
        </w:tc>
        <w:tc>
          <w:tcPr>
            <w:tcW w:w="238" w:type="dxa"/>
            <w:tcBorders/>
            <w:vAlign w:val="center"/>
          </w:tcPr>
          <w:p>
            <w:pPr>
              <w:pStyle w:val="TableContents"/>
              <w:bidi w:val="0"/>
              <w:spacing w:before="0" w:after="1"/>
              <w:ind w:left="0" w:right="0" w:hanging="0"/>
              <w:jc w:val="left"/>
              <w:rPr/>
            </w:pPr>
            <w:r>
              <w:rPr/>
              <w:t>​</w:t>
            </w:r>
          </w:p>
        </w:tc>
        <w:tc>
          <w:tcPr>
            <w:tcW w:w="93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394</w:t>
            </w:r>
          </w:p>
        </w:tc>
      </w:tr>
      <w:tr>
        <w:trPr/>
        <w:tc>
          <w:tcPr>
            <w:tcW w:w="643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Accretion of Commercial Loans and Investments Origination Fees</w:t>
            </w:r>
          </w:p>
        </w:tc>
        <w:tc>
          <w:tcPr>
            <w:tcW w:w="109" w:type="dxa"/>
            <w:tcBorders/>
            <w:shd w:fill="CCEEFF" w:val="clear"/>
            <w:vAlign w:val="center"/>
          </w:tcPr>
          <w:p>
            <w:pPr>
              <w:pStyle w:val="TableContents"/>
              <w:bidi w:val="0"/>
              <w:spacing w:before="0" w:after="1"/>
              <w:ind w:left="0" w:right="0" w:hanging="0"/>
              <w:jc w:val="left"/>
              <w:rPr/>
            </w:pPr>
            <w:r>
              <w:rPr/>
              <w:t>​</w:t>
            </w:r>
          </w:p>
        </w:tc>
        <w:tc>
          <w:tcPr>
            <w:tcW w:w="219" w:type="dxa"/>
            <w:tcBorders/>
            <w:shd w:fill="CCEEFF" w:val="clear"/>
            <w:vAlign w:val="center"/>
          </w:tcPr>
          <w:p>
            <w:pPr>
              <w:pStyle w:val="TableContents"/>
              <w:bidi w:val="0"/>
              <w:spacing w:before="0" w:after="1"/>
              <w:ind w:left="0" w:right="0" w:hanging="0"/>
              <w:jc w:val="left"/>
              <w:rPr/>
            </w:pPr>
            <w:r>
              <w:rPr/>
              <w:t>​</w:t>
            </w:r>
          </w:p>
        </w:tc>
        <w:tc>
          <w:tcPr>
            <w:tcW w:w="9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(606)</w:t>
            </w:r>
          </w:p>
        </w:tc>
        <w:tc>
          <w:tcPr>
            <w:tcW w:w="109" w:type="dxa"/>
            <w:tcBorders/>
            <w:shd w:fill="CCEEFF" w:val="clear"/>
            <w:vAlign w:val="center"/>
          </w:tcPr>
          <w:p>
            <w:pPr>
              <w:pStyle w:val="TableContents"/>
              <w:bidi w:val="0"/>
              <w:spacing w:before="0" w:after="1"/>
              <w:ind w:left="0" w:right="0" w:hanging="0"/>
              <w:jc w:val="left"/>
              <w:rPr/>
            </w:pPr>
            <w:r>
              <w:rPr/>
              <w:t>​</w:t>
            </w:r>
          </w:p>
        </w:tc>
        <w:tc>
          <w:tcPr>
            <w:tcW w:w="238" w:type="dxa"/>
            <w:tcBorders/>
            <w:shd w:fill="CCEEFF" w:val="clear"/>
            <w:vAlign w:val="center"/>
          </w:tcPr>
          <w:p>
            <w:pPr>
              <w:pStyle w:val="TableContents"/>
              <w:bidi w:val="0"/>
              <w:spacing w:before="0" w:after="1"/>
              <w:ind w:left="0" w:right="0" w:hanging="0"/>
              <w:jc w:val="left"/>
              <w:rPr/>
            </w:pPr>
            <w:r>
              <w:rPr/>
              <w:t>​</w:t>
            </w:r>
          </w:p>
        </w:tc>
        <w:tc>
          <w:tcPr>
            <w:tcW w:w="93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(200)</w:t>
            </w:r>
          </w:p>
        </w:tc>
      </w:tr>
      <w:tr>
        <w:trPr/>
        <w:tc>
          <w:tcPr>
            <w:tcW w:w="643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Paid-In-Kind Accrued Interest</w:t>
            </w:r>
          </w:p>
        </w:tc>
        <w:tc>
          <w:tcPr>
            <w:tcW w:w="109" w:type="dxa"/>
            <w:tcBorders/>
            <w:vAlign w:val="center"/>
          </w:tcPr>
          <w:p>
            <w:pPr>
              <w:pStyle w:val="TableContents"/>
              <w:bidi w:val="0"/>
              <w:spacing w:before="0" w:after="1"/>
              <w:ind w:left="0" w:right="0" w:hanging="0"/>
              <w:jc w:val="left"/>
              <w:rPr/>
            </w:pPr>
            <w:r>
              <w:rPr/>
              <w:t>​</w:t>
            </w:r>
          </w:p>
        </w:tc>
        <w:tc>
          <w:tcPr>
            <w:tcW w:w="219" w:type="dxa"/>
            <w:tcBorders/>
            <w:vAlign w:val="center"/>
          </w:tcPr>
          <w:p>
            <w:pPr>
              <w:pStyle w:val="TableContents"/>
              <w:bidi w:val="0"/>
              <w:spacing w:before="0" w:after="1"/>
              <w:ind w:left="0" w:right="0" w:hanging="0"/>
              <w:jc w:val="left"/>
              <w:rPr/>
            </w:pPr>
            <w:r>
              <w:rPr/>
              <w:t>​</w:t>
            </w:r>
          </w:p>
        </w:tc>
        <w:tc>
          <w:tcPr>
            <w:tcW w:w="90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(1,423)</w:t>
            </w:r>
          </w:p>
        </w:tc>
        <w:tc>
          <w:tcPr>
            <w:tcW w:w="109" w:type="dxa"/>
            <w:tcBorders/>
            <w:vAlign w:val="center"/>
          </w:tcPr>
          <w:p>
            <w:pPr>
              <w:pStyle w:val="TableContents"/>
              <w:bidi w:val="0"/>
              <w:spacing w:before="0" w:after="1"/>
              <w:ind w:left="0" w:right="0" w:hanging="0"/>
              <w:jc w:val="left"/>
              <w:rPr/>
            </w:pPr>
            <w:r>
              <w:rPr/>
              <w:t>​</w:t>
            </w:r>
          </w:p>
        </w:tc>
        <w:tc>
          <w:tcPr>
            <w:tcW w:w="238" w:type="dxa"/>
            <w:tcBorders/>
            <w:vAlign w:val="center"/>
          </w:tcPr>
          <w:p>
            <w:pPr>
              <w:pStyle w:val="TableContents"/>
              <w:bidi w:val="0"/>
              <w:spacing w:before="0" w:after="1"/>
              <w:ind w:left="0" w:right="0" w:hanging="0"/>
              <w:jc w:val="left"/>
              <w:rPr/>
            </w:pPr>
            <w:r>
              <w:rPr/>
              <w:t>​</w:t>
            </w:r>
          </w:p>
        </w:tc>
        <w:tc>
          <w:tcPr>
            <w:tcW w:w="932" w:type="dxa"/>
            <w:tcBorders/>
            <w:vAlign w:val="center"/>
          </w:tcPr>
          <w:p>
            <w:pPr>
              <w:pStyle w:val="TableContents"/>
              <w:bidi w:val="0"/>
              <w:spacing w:before="0" w:after="1"/>
              <w:ind w:left="0" w:right="0" w:hanging="0"/>
              <w:jc w:val="right"/>
              <w:rPr/>
            </w:pPr>
            <w:r>
              <w:rPr/>
              <w:t>—</w:t>
            </w:r>
          </w:p>
        </w:tc>
      </w:tr>
      <w:tr>
        <w:trPr/>
        <w:tc>
          <w:tcPr>
            <w:tcW w:w="643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Gain on Disposition of Assets</w:t>
            </w:r>
          </w:p>
        </w:tc>
        <w:tc>
          <w:tcPr>
            <w:tcW w:w="109" w:type="dxa"/>
            <w:tcBorders/>
            <w:shd w:fill="CCEEFF" w:val="clear"/>
            <w:vAlign w:val="center"/>
          </w:tcPr>
          <w:p>
            <w:pPr>
              <w:pStyle w:val="TableContents"/>
              <w:bidi w:val="0"/>
              <w:spacing w:before="0" w:after="1"/>
              <w:ind w:left="0" w:right="0" w:hanging="0"/>
              <w:jc w:val="left"/>
              <w:rPr/>
            </w:pPr>
            <w:r>
              <w:rPr/>
              <w:t>​</w:t>
            </w:r>
          </w:p>
        </w:tc>
        <w:tc>
          <w:tcPr>
            <w:tcW w:w="219" w:type="dxa"/>
            <w:tcBorders/>
            <w:shd w:fill="CCEEFF" w:val="clear"/>
            <w:vAlign w:val="center"/>
          </w:tcPr>
          <w:p>
            <w:pPr>
              <w:pStyle w:val="TableContents"/>
              <w:bidi w:val="0"/>
              <w:spacing w:before="0" w:after="1"/>
              <w:ind w:left="0" w:right="0" w:hanging="0"/>
              <w:jc w:val="left"/>
              <w:rPr/>
            </w:pPr>
            <w:r>
              <w:rPr/>
              <w:t>​</w:t>
            </w:r>
          </w:p>
        </w:tc>
        <w:tc>
          <w:tcPr>
            <w:tcW w:w="9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(97)</w:t>
            </w:r>
          </w:p>
        </w:tc>
        <w:tc>
          <w:tcPr>
            <w:tcW w:w="109" w:type="dxa"/>
            <w:tcBorders/>
            <w:shd w:fill="CCEEFF" w:val="clear"/>
            <w:vAlign w:val="center"/>
          </w:tcPr>
          <w:p>
            <w:pPr>
              <w:pStyle w:val="TableContents"/>
              <w:bidi w:val="0"/>
              <w:spacing w:before="0" w:after="1"/>
              <w:ind w:left="0" w:right="0" w:hanging="0"/>
              <w:jc w:val="left"/>
              <w:rPr/>
            </w:pPr>
            <w:r>
              <w:rPr/>
              <w:t>​</w:t>
            </w:r>
          </w:p>
        </w:tc>
        <w:tc>
          <w:tcPr>
            <w:tcW w:w="238" w:type="dxa"/>
            <w:tcBorders/>
            <w:shd w:fill="CCEEFF" w:val="clear"/>
            <w:vAlign w:val="center"/>
          </w:tcPr>
          <w:p>
            <w:pPr>
              <w:pStyle w:val="TableContents"/>
              <w:bidi w:val="0"/>
              <w:spacing w:before="0" w:after="1"/>
              <w:ind w:left="0" w:right="0" w:hanging="0"/>
              <w:jc w:val="left"/>
              <w:rPr/>
            </w:pPr>
            <w:r>
              <w:rPr/>
              <w:t>​</w:t>
            </w:r>
          </w:p>
        </w:tc>
        <w:tc>
          <w:tcPr>
            <w:tcW w:w="93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(2,089)</w:t>
            </w:r>
          </w:p>
        </w:tc>
      </w:tr>
      <w:tr>
        <w:trPr/>
        <w:tc>
          <w:tcPr>
            <w:tcW w:w="643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Provision for Impairment</w:t>
            </w:r>
          </w:p>
        </w:tc>
        <w:tc>
          <w:tcPr>
            <w:tcW w:w="109" w:type="dxa"/>
            <w:tcBorders/>
            <w:vAlign w:val="center"/>
          </w:tcPr>
          <w:p>
            <w:pPr>
              <w:pStyle w:val="TableContents"/>
              <w:bidi w:val="0"/>
              <w:spacing w:before="0" w:after="1"/>
              <w:ind w:left="0" w:right="0" w:hanging="0"/>
              <w:jc w:val="left"/>
              <w:rPr/>
            </w:pPr>
            <w:r>
              <w:rPr/>
              <w:t>​</w:t>
            </w:r>
          </w:p>
        </w:tc>
        <w:tc>
          <w:tcPr>
            <w:tcW w:w="219" w:type="dxa"/>
            <w:tcBorders/>
            <w:vAlign w:val="center"/>
          </w:tcPr>
          <w:p>
            <w:pPr>
              <w:pStyle w:val="TableContents"/>
              <w:bidi w:val="0"/>
              <w:spacing w:before="0" w:after="1"/>
              <w:ind w:left="0" w:right="0" w:hanging="0"/>
              <w:jc w:val="left"/>
              <w:rPr/>
            </w:pPr>
            <w:r>
              <w:rPr/>
              <w:t>​</w:t>
            </w:r>
          </w:p>
        </w:tc>
        <w:tc>
          <w:tcPr>
            <w:tcW w:w="90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885</w:t>
            </w:r>
          </w:p>
        </w:tc>
        <w:tc>
          <w:tcPr>
            <w:tcW w:w="109" w:type="dxa"/>
            <w:tcBorders/>
            <w:vAlign w:val="center"/>
          </w:tcPr>
          <w:p>
            <w:pPr>
              <w:pStyle w:val="TableContents"/>
              <w:bidi w:val="0"/>
              <w:spacing w:before="0" w:after="1"/>
              <w:ind w:left="0" w:right="0" w:hanging="0"/>
              <w:jc w:val="left"/>
              <w:rPr/>
            </w:pPr>
            <w:r>
              <w:rPr/>
              <w:t>​</w:t>
            </w:r>
          </w:p>
        </w:tc>
        <w:tc>
          <w:tcPr>
            <w:tcW w:w="238" w:type="dxa"/>
            <w:tcBorders/>
            <w:vAlign w:val="center"/>
          </w:tcPr>
          <w:p>
            <w:pPr>
              <w:pStyle w:val="TableContents"/>
              <w:bidi w:val="0"/>
              <w:spacing w:before="0" w:after="1"/>
              <w:ind w:left="0" w:right="0" w:hanging="0"/>
              <w:jc w:val="left"/>
              <w:rPr/>
            </w:pPr>
            <w:r>
              <w:rPr/>
              <w:t>​</w:t>
            </w:r>
          </w:p>
        </w:tc>
        <w:tc>
          <w:tcPr>
            <w:tcW w:w="93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4,834</w:t>
            </w:r>
          </w:p>
        </w:tc>
      </w:tr>
      <w:tr>
        <w:trPr/>
        <w:tc>
          <w:tcPr>
            <w:tcW w:w="643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Non-Cash Compensation</w:t>
            </w:r>
          </w:p>
        </w:tc>
        <w:tc>
          <w:tcPr>
            <w:tcW w:w="109" w:type="dxa"/>
            <w:tcBorders/>
            <w:shd w:fill="CCEEFF" w:val="clear"/>
            <w:vAlign w:val="center"/>
          </w:tcPr>
          <w:p>
            <w:pPr>
              <w:pStyle w:val="TableContents"/>
              <w:bidi w:val="0"/>
              <w:spacing w:before="0" w:after="1"/>
              <w:ind w:left="0" w:right="0" w:hanging="0"/>
              <w:jc w:val="left"/>
              <w:rPr/>
            </w:pPr>
            <w:r>
              <w:rPr/>
              <w:t>​</w:t>
            </w:r>
          </w:p>
        </w:tc>
        <w:tc>
          <w:tcPr>
            <w:tcW w:w="219" w:type="dxa"/>
            <w:tcBorders/>
            <w:shd w:fill="CCEEFF" w:val="clear"/>
            <w:vAlign w:val="center"/>
          </w:tcPr>
          <w:p>
            <w:pPr>
              <w:pStyle w:val="TableContents"/>
              <w:bidi w:val="0"/>
              <w:spacing w:before="0" w:after="1"/>
              <w:ind w:left="0" w:right="0" w:hanging="0"/>
              <w:jc w:val="left"/>
              <w:rPr/>
            </w:pPr>
            <w:r>
              <w:rPr/>
              <w:t>​</w:t>
            </w:r>
          </w:p>
        </w:tc>
        <w:tc>
          <w:tcPr>
            <w:tcW w:w="9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190</w:t>
            </w:r>
          </w:p>
        </w:tc>
        <w:tc>
          <w:tcPr>
            <w:tcW w:w="109" w:type="dxa"/>
            <w:tcBorders/>
            <w:shd w:fill="CCEEFF" w:val="clear"/>
            <w:vAlign w:val="center"/>
          </w:tcPr>
          <w:p>
            <w:pPr>
              <w:pStyle w:val="TableContents"/>
              <w:bidi w:val="0"/>
              <w:spacing w:before="0" w:after="1"/>
              <w:ind w:left="0" w:right="0" w:hanging="0"/>
              <w:jc w:val="left"/>
              <w:rPr/>
            </w:pPr>
            <w:r>
              <w:rPr/>
              <w:t>​</w:t>
            </w:r>
          </w:p>
        </w:tc>
        <w:tc>
          <w:tcPr>
            <w:tcW w:w="238" w:type="dxa"/>
            <w:tcBorders/>
            <w:shd w:fill="CCEEFF" w:val="clear"/>
            <w:vAlign w:val="center"/>
          </w:tcPr>
          <w:p>
            <w:pPr>
              <w:pStyle w:val="TableContents"/>
              <w:bidi w:val="0"/>
              <w:spacing w:before="0" w:after="1"/>
              <w:ind w:left="0" w:right="0" w:hanging="0"/>
              <w:jc w:val="left"/>
              <w:rPr/>
            </w:pPr>
            <w:r>
              <w:rPr/>
              <w:t>​</w:t>
            </w:r>
          </w:p>
        </w:tc>
        <w:tc>
          <w:tcPr>
            <w:tcW w:w="93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190</w:t>
            </w:r>
          </w:p>
        </w:tc>
      </w:tr>
      <w:tr>
        <w:trPr/>
        <w:tc>
          <w:tcPr>
            <w:tcW w:w="643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Decrease (Increase) in Assets:</w:t>
            </w:r>
          </w:p>
        </w:tc>
        <w:tc>
          <w:tcPr>
            <w:tcW w:w="109" w:type="dxa"/>
            <w:tcBorders/>
            <w:vAlign w:val="center"/>
          </w:tcPr>
          <w:p>
            <w:pPr>
              <w:pStyle w:val="TableContents"/>
              <w:bidi w:val="0"/>
              <w:spacing w:before="0" w:after="1"/>
              <w:ind w:left="0" w:right="0" w:hanging="0"/>
              <w:jc w:val="left"/>
              <w:rPr/>
            </w:pPr>
            <w:r>
              <w:rPr/>
              <w:t>​</w:t>
            </w:r>
          </w:p>
        </w:tc>
        <w:tc>
          <w:tcPr>
            <w:tcW w:w="219" w:type="dxa"/>
            <w:tcBorders/>
            <w:vAlign w:val="center"/>
          </w:tcPr>
          <w:p>
            <w:pPr>
              <w:pStyle w:val="TableContents"/>
              <w:bidi w:val="0"/>
              <w:spacing w:before="0" w:after="1"/>
              <w:ind w:left="0" w:right="0" w:hanging="0"/>
              <w:jc w:val="left"/>
              <w:rPr/>
            </w:pPr>
            <w:r>
              <w:rPr/>
              <w:t>​</w:t>
            </w:r>
          </w:p>
        </w:tc>
        <w:tc>
          <w:tcPr>
            <w:tcW w:w="90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38" w:type="dxa"/>
            <w:tcBorders/>
            <w:vAlign w:val="center"/>
          </w:tcPr>
          <w:p>
            <w:pPr>
              <w:pStyle w:val="TableContents"/>
              <w:bidi w:val="0"/>
              <w:spacing w:before="0" w:after="1"/>
              <w:ind w:left="0" w:right="0" w:hanging="0"/>
              <w:jc w:val="left"/>
              <w:rPr/>
            </w:pPr>
            <w:r>
              <w:rPr/>
              <w:t>​</w:t>
            </w:r>
          </w:p>
        </w:tc>
        <w:tc>
          <w:tcPr>
            <w:tcW w:w="932" w:type="dxa"/>
            <w:tcBorders/>
            <w:vAlign w:val="center"/>
          </w:tcPr>
          <w:p>
            <w:pPr>
              <w:pStyle w:val="TableContents"/>
              <w:bidi w:val="0"/>
              <w:spacing w:before="0" w:after="1"/>
              <w:ind w:left="0" w:right="0" w:hanging="0"/>
              <w:jc w:val="left"/>
              <w:rPr/>
            </w:pPr>
            <w:r>
              <w:rPr/>
              <w:t>​</w:t>
            </w:r>
          </w:p>
        </w:tc>
      </w:tr>
      <w:tr>
        <w:trPr/>
        <w:tc>
          <w:tcPr>
            <w:tcW w:w="643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Straight-Line Rent Adjustment</w:t>
            </w:r>
          </w:p>
        </w:tc>
        <w:tc>
          <w:tcPr>
            <w:tcW w:w="109" w:type="dxa"/>
            <w:tcBorders/>
            <w:shd w:fill="CCEEFF" w:val="clear"/>
            <w:vAlign w:val="center"/>
          </w:tcPr>
          <w:p>
            <w:pPr>
              <w:pStyle w:val="TableContents"/>
              <w:bidi w:val="0"/>
              <w:spacing w:before="0" w:after="1"/>
              <w:ind w:left="0" w:right="0" w:hanging="0"/>
              <w:jc w:val="left"/>
              <w:rPr/>
            </w:pPr>
            <w:r>
              <w:rPr/>
              <w:t>​</w:t>
            </w:r>
          </w:p>
        </w:tc>
        <w:tc>
          <w:tcPr>
            <w:tcW w:w="219" w:type="dxa"/>
            <w:tcBorders/>
            <w:shd w:fill="CCEEFF" w:val="clear"/>
            <w:vAlign w:val="center"/>
          </w:tcPr>
          <w:p>
            <w:pPr>
              <w:pStyle w:val="TableContents"/>
              <w:bidi w:val="0"/>
              <w:spacing w:before="0" w:after="1"/>
              <w:ind w:left="0" w:right="0" w:hanging="0"/>
              <w:jc w:val="left"/>
              <w:rPr/>
            </w:pPr>
            <w:r>
              <w:rPr/>
              <w:t>​</w:t>
            </w:r>
          </w:p>
        </w:tc>
        <w:tc>
          <w:tcPr>
            <w:tcW w:w="9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(317)</w:t>
            </w:r>
          </w:p>
        </w:tc>
        <w:tc>
          <w:tcPr>
            <w:tcW w:w="109" w:type="dxa"/>
            <w:tcBorders/>
            <w:shd w:fill="CCEEFF" w:val="clear"/>
            <w:vAlign w:val="center"/>
          </w:tcPr>
          <w:p>
            <w:pPr>
              <w:pStyle w:val="TableContents"/>
              <w:bidi w:val="0"/>
              <w:spacing w:before="0" w:after="1"/>
              <w:ind w:left="0" w:right="0" w:hanging="0"/>
              <w:jc w:val="left"/>
              <w:rPr/>
            </w:pPr>
            <w:r>
              <w:rPr/>
              <w:t>​</w:t>
            </w:r>
          </w:p>
        </w:tc>
        <w:tc>
          <w:tcPr>
            <w:tcW w:w="238" w:type="dxa"/>
            <w:tcBorders/>
            <w:shd w:fill="CCEEFF" w:val="clear"/>
            <w:vAlign w:val="center"/>
          </w:tcPr>
          <w:p>
            <w:pPr>
              <w:pStyle w:val="TableContents"/>
              <w:bidi w:val="0"/>
              <w:spacing w:before="0" w:after="1"/>
              <w:ind w:left="0" w:right="0" w:hanging="0"/>
              <w:jc w:val="left"/>
              <w:rPr/>
            </w:pPr>
            <w:r>
              <w:rPr/>
              <w:t>​</w:t>
            </w:r>
          </w:p>
        </w:tc>
        <w:tc>
          <w:tcPr>
            <w:tcW w:w="93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(362)</w:t>
            </w:r>
          </w:p>
        </w:tc>
      </w:tr>
      <w:tr>
        <w:trPr/>
        <w:tc>
          <w:tcPr>
            <w:tcW w:w="643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Other Assets</w:t>
            </w:r>
          </w:p>
        </w:tc>
        <w:tc>
          <w:tcPr>
            <w:tcW w:w="109" w:type="dxa"/>
            <w:tcBorders/>
            <w:vAlign w:val="center"/>
          </w:tcPr>
          <w:p>
            <w:pPr>
              <w:pStyle w:val="TableContents"/>
              <w:bidi w:val="0"/>
              <w:spacing w:before="0" w:after="1"/>
              <w:ind w:left="0" w:right="0" w:hanging="0"/>
              <w:jc w:val="left"/>
              <w:rPr/>
            </w:pPr>
            <w:r>
              <w:rPr/>
              <w:t>​</w:t>
            </w:r>
          </w:p>
        </w:tc>
        <w:tc>
          <w:tcPr>
            <w:tcW w:w="219" w:type="dxa"/>
            <w:tcBorders/>
            <w:vAlign w:val="center"/>
          </w:tcPr>
          <w:p>
            <w:pPr>
              <w:pStyle w:val="TableContents"/>
              <w:bidi w:val="0"/>
              <w:spacing w:before="0" w:after="1"/>
              <w:ind w:left="0" w:right="0" w:hanging="0"/>
              <w:jc w:val="left"/>
              <w:rPr/>
            </w:pPr>
            <w:r>
              <w:rPr/>
              <w:t>​</w:t>
            </w:r>
          </w:p>
        </w:tc>
        <w:tc>
          <w:tcPr>
            <w:tcW w:w="90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(2,079)</w:t>
            </w:r>
          </w:p>
        </w:tc>
        <w:tc>
          <w:tcPr>
            <w:tcW w:w="109" w:type="dxa"/>
            <w:tcBorders/>
            <w:vAlign w:val="center"/>
          </w:tcPr>
          <w:p>
            <w:pPr>
              <w:pStyle w:val="TableContents"/>
              <w:bidi w:val="0"/>
              <w:spacing w:before="0" w:after="1"/>
              <w:ind w:left="0" w:right="0" w:hanging="0"/>
              <w:jc w:val="left"/>
              <w:rPr/>
            </w:pPr>
            <w:r>
              <w:rPr/>
              <w:t>​</w:t>
            </w:r>
          </w:p>
        </w:tc>
        <w:tc>
          <w:tcPr>
            <w:tcW w:w="238" w:type="dxa"/>
            <w:tcBorders/>
            <w:vAlign w:val="center"/>
          </w:tcPr>
          <w:p>
            <w:pPr>
              <w:pStyle w:val="TableContents"/>
              <w:bidi w:val="0"/>
              <w:spacing w:before="0" w:after="1"/>
              <w:ind w:left="0" w:right="0" w:hanging="0"/>
              <w:jc w:val="left"/>
              <w:rPr/>
            </w:pPr>
            <w:r>
              <w:rPr/>
              <w:t>​</w:t>
            </w:r>
          </w:p>
        </w:tc>
        <w:tc>
          <w:tcPr>
            <w:tcW w:w="93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192</w:t>
            </w:r>
          </w:p>
        </w:tc>
      </w:tr>
      <w:tr>
        <w:trPr/>
        <w:tc>
          <w:tcPr>
            <w:tcW w:w="643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Increase (Decrease) in Liabilities:</w:t>
            </w:r>
          </w:p>
        </w:tc>
        <w:tc>
          <w:tcPr>
            <w:tcW w:w="109" w:type="dxa"/>
            <w:tcBorders/>
            <w:shd w:fill="CCEEFF" w:val="clear"/>
            <w:vAlign w:val="center"/>
          </w:tcPr>
          <w:p>
            <w:pPr>
              <w:pStyle w:val="TableContents"/>
              <w:bidi w:val="0"/>
              <w:spacing w:before="0" w:after="1"/>
              <w:ind w:left="0" w:right="0" w:hanging="0"/>
              <w:jc w:val="left"/>
              <w:rPr/>
            </w:pPr>
            <w:r>
              <w:rPr/>
              <w:t>​</w:t>
            </w:r>
          </w:p>
        </w:tc>
        <w:tc>
          <w:tcPr>
            <w:tcW w:w="219" w:type="dxa"/>
            <w:tcBorders/>
            <w:shd w:fill="CCEEFF" w:val="clear"/>
            <w:vAlign w:val="center"/>
          </w:tcPr>
          <w:p>
            <w:pPr>
              <w:pStyle w:val="TableContents"/>
              <w:bidi w:val="0"/>
              <w:spacing w:before="0" w:after="1"/>
              <w:ind w:left="0" w:right="0" w:hanging="0"/>
              <w:jc w:val="left"/>
              <w:rPr/>
            </w:pPr>
            <w:r>
              <w:rPr/>
              <w:t>​</w:t>
            </w:r>
          </w:p>
        </w:tc>
        <w:tc>
          <w:tcPr>
            <w:tcW w:w="90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38" w:type="dxa"/>
            <w:tcBorders/>
            <w:shd w:fill="CCEEFF" w:val="clear"/>
            <w:vAlign w:val="center"/>
          </w:tcPr>
          <w:p>
            <w:pPr>
              <w:pStyle w:val="TableContents"/>
              <w:bidi w:val="0"/>
              <w:spacing w:before="0" w:after="1"/>
              <w:ind w:left="0" w:right="0" w:hanging="0"/>
              <w:jc w:val="left"/>
              <w:rPr/>
            </w:pPr>
            <w:r>
              <w:rPr/>
              <w:t>​</w:t>
            </w:r>
          </w:p>
        </w:tc>
        <w:tc>
          <w:tcPr>
            <w:tcW w:w="932" w:type="dxa"/>
            <w:tcBorders/>
            <w:shd w:fill="CCEEFF" w:val="clear"/>
            <w:vAlign w:val="center"/>
          </w:tcPr>
          <w:p>
            <w:pPr>
              <w:pStyle w:val="TableContents"/>
              <w:bidi w:val="0"/>
              <w:spacing w:before="0" w:after="1"/>
              <w:ind w:left="0" w:right="0" w:hanging="0"/>
              <w:jc w:val="left"/>
              <w:rPr/>
            </w:pPr>
            <w:r>
              <w:rPr/>
              <w:t>​</w:t>
            </w:r>
          </w:p>
        </w:tc>
      </w:tr>
      <w:tr>
        <w:trPr/>
        <w:tc>
          <w:tcPr>
            <w:tcW w:w="643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Accounts Payable, Accrued Expenses, and Other Liabilities</w:t>
            </w:r>
          </w:p>
        </w:tc>
        <w:tc>
          <w:tcPr>
            <w:tcW w:w="109" w:type="dxa"/>
            <w:tcBorders/>
            <w:vAlign w:val="center"/>
          </w:tcPr>
          <w:p>
            <w:pPr>
              <w:pStyle w:val="TableContents"/>
              <w:bidi w:val="0"/>
              <w:spacing w:before="0" w:after="1"/>
              <w:ind w:left="0" w:right="0" w:hanging="0"/>
              <w:jc w:val="left"/>
              <w:rPr/>
            </w:pPr>
            <w:r>
              <w:rPr/>
              <w:t>​</w:t>
            </w:r>
          </w:p>
        </w:tc>
        <w:tc>
          <w:tcPr>
            <w:tcW w:w="219" w:type="dxa"/>
            <w:tcBorders/>
            <w:vAlign w:val="center"/>
          </w:tcPr>
          <w:p>
            <w:pPr>
              <w:pStyle w:val="TableContents"/>
              <w:bidi w:val="0"/>
              <w:spacing w:before="0" w:after="1"/>
              <w:ind w:left="0" w:right="0" w:hanging="0"/>
              <w:jc w:val="left"/>
              <w:rPr/>
            </w:pPr>
            <w:r>
              <w:rPr/>
              <w:t>​</w:t>
            </w:r>
          </w:p>
        </w:tc>
        <w:tc>
          <w:tcPr>
            <w:tcW w:w="90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74</w:t>
            </w:r>
          </w:p>
        </w:tc>
        <w:tc>
          <w:tcPr>
            <w:tcW w:w="109" w:type="dxa"/>
            <w:tcBorders/>
            <w:vAlign w:val="center"/>
          </w:tcPr>
          <w:p>
            <w:pPr>
              <w:pStyle w:val="TableContents"/>
              <w:bidi w:val="0"/>
              <w:spacing w:before="0" w:after="1"/>
              <w:ind w:left="0" w:right="0" w:hanging="0"/>
              <w:jc w:val="left"/>
              <w:rPr/>
            </w:pPr>
            <w:r>
              <w:rPr/>
              <w:t>​</w:t>
            </w:r>
          </w:p>
        </w:tc>
        <w:tc>
          <w:tcPr>
            <w:tcW w:w="238" w:type="dxa"/>
            <w:tcBorders/>
            <w:vAlign w:val="center"/>
          </w:tcPr>
          <w:p>
            <w:pPr>
              <w:pStyle w:val="TableContents"/>
              <w:bidi w:val="0"/>
              <w:spacing w:before="0" w:after="1"/>
              <w:ind w:left="0" w:right="0" w:hanging="0"/>
              <w:jc w:val="left"/>
              <w:rPr/>
            </w:pPr>
            <w:r>
              <w:rPr/>
              <w:t>​</w:t>
            </w:r>
          </w:p>
        </w:tc>
        <w:tc>
          <w:tcPr>
            <w:tcW w:w="93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588</w:t>
            </w:r>
          </w:p>
        </w:tc>
      </w:tr>
      <w:tr>
        <w:trPr/>
        <w:tc>
          <w:tcPr>
            <w:tcW w:w="643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Prepaid Rent and Deferred Revenue</w:t>
            </w:r>
          </w:p>
        </w:tc>
        <w:tc>
          <w:tcPr>
            <w:tcW w:w="109" w:type="dxa"/>
            <w:tcBorders/>
            <w:shd w:fill="CCEEFF" w:val="clear"/>
            <w:vAlign w:val="center"/>
          </w:tcPr>
          <w:p>
            <w:pPr>
              <w:pStyle w:val="TableContents"/>
              <w:bidi w:val="0"/>
              <w:spacing w:before="0" w:after="1"/>
              <w:ind w:left="0" w:right="0" w:hanging="0"/>
              <w:jc w:val="left"/>
              <w:rPr/>
            </w:pPr>
            <w:r>
              <w:rPr/>
              <w:t>​</w:t>
            </w:r>
          </w:p>
        </w:tc>
        <w:tc>
          <w:tcPr>
            <w:tcW w:w="21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(6,992)</w:t>
            </w:r>
          </w:p>
        </w:tc>
        <w:tc>
          <w:tcPr>
            <w:tcW w:w="109" w:type="dxa"/>
            <w:tcBorders/>
            <w:shd w:fill="CCEEFF" w:val="clear"/>
            <w:vAlign w:val="center"/>
          </w:tcPr>
          <w:p>
            <w:pPr>
              <w:pStyle w:val="TableContents"/>
              <w:bidi w:val="0"/>
              <w:spacing w:before="0" w:after="1"/>
              <w:ind w:left="0" w:right="0" w:hanging="0"/>
              <w:jc w:val="left"/>
              <w:rPr/>
            </w:pPr>
            <w:r>
              <w:rPr/>
              <w:t>​</w:t>
            </w:r>
          </w:p>
        </w:tc>
        <w:tc>
          <w:tcPr>
            <w:tcW w:w="23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3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(31)</w:t>
            </w:r>
          </w:p>
        </w:tc>
      </w:tr>
      <w:tr>
        <w:trPr/>
        <w:tc>
          <w:tcPr>
            <w:tcW w:w="643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Cash Provided By Operating Activities</w:t>
            </w:r>
          </w:p>
        </w:tc>
        <w:tc>
          <w:tcPr>
            <w:tcW w:w="109" w:type="dxa"/>
            <w:tcBorders/>
            <w:vAlign w:val="center"/>
          </w:tcPr>
          <w:p>
            <w:pPr>
              <w:pStyle w:val="TableContents"/>
              <w:bidi w:val="0"/>
              <w:spacing w:before="0" w:after="1"/>
              <w:ind w:left="0" w:right="0" w:hanging="0"/>
              <w:jc w:val="left"/>
              <w:rPr/>
            </w:pPr>
            <w:r>
              <w:rPr/>
              <w:t>​</w:t>
            </w:r>
          </w:p>
        </w:tc>
        <w:tc>
          <w:tcPr>
            <w:tcW w:w="21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0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10,595</w:t>
            </w:r>
          </w:p>
        </w:tc>
        <w:tc>
          <w:tcPr>
            <w:tcW w:w="109" w:type="dxa"/>
            <w:tcBorders/>
            <w:vAlign w:val="center"/>
          </w:tcPr>
          <w:p>
            <w:pPr>
              <w:pStyle w:val="TableContents"/>
              <w:bidi w:val="0"/>
              <w:spacing w:before="0" w:after="1"/>
              <w:ind w:left="0" w:right="0" w:hanging="0"/>
              <w:jc w:val="left"/>
              <w:rPr/>
            </w:pPr>
            <w:r>
              <w:rPr/>
              <w:t>​</w:t>
            </w:r>
          </w:p>
        </w:tc>
        <w:tc>
          <w:tcPr>
            <w:tcW w:w="23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3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14,222</w:t>
            </w:r>
          </w:p>
        </w:tc>
      </w:tr>
      <w:tr>
        <w:trPr/>
        <w:tc>
          <w:tcPr>
            <w:tcW w:w="643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Cash Flow From Investing Activities:</w:t>
            </w:r>
          </w:p>
        </w:tc>
        <w:tc>
          <w:tcPr>
            <w:tcW w:w="109" w:type="dxa"/>
            <w:tcBorders/>
            <w:shd w:fill="CCEEFF" w:val="clear"/>
            <w:vAlign w:val="center"/>
          </w:tcPr>
          <w:p>
            <w:pPr>
              <w:pStyle w:val="TableContents"/>
              <w:bidi w:val="0"/>
              <w:spacing w:before="0" w:after="1"/>
              <w:ind w:left="0" w:right="0" w:hanging="0"/>
              <w:jc w:val="left"/>
              <w:rPr/>
            </w:pPr>
            <w:r>
              <w:rPr/>
              <w:t>​</w:t>
            </w:r>
          </w:p>
        </w:tc>
        <w:tc>
          <w:tcPr>
            <w:tcW w:w="219" w:type="dxa"/>
            <w:tcBorders/>
            <w:shd w:fill="CCEEFF" w:val="clear"/>
            <w:vAlign w:val="center"/>
          </w:tcPr>
          <w:p>
            <w:pPr>
              <w:pStyle w:val="TableContents"/>
              <w:bidi w:val="0"/>
              <w:spacing w:before="0" w:after="1"/>
              <w:ind w:left="0" w:right="0" w:hanging="0"/>
              <w:jc w:val="left"/>
              <w:rPr/>
            </w:pPr>
            <w:r>
              <w:rPr/>
              <w:t>​</w:t>
            </w:r>
          </w:p>
        </w:tc>
        <w:tc>
          <w:tcPr>
            <w:tcW w:w="90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38" w:type="dxa"/>
            <w:tcBorders/>
            <w:shd w:fill="CCEEFF" w:val="clear"/>
            <w:vAlign w:val="center"/>
          </w:tcPr>
          <w:p>
            <w:pPr>
              <w:pStyle w:val="TableContents"/>
              <w:bidi w:val="0"/>
              <w:spacing w:before="0" w:after="1"/>
              <w:ind w:left="0" w:right="0" w:hanging="0"/>
              <w:jc w:val="left"/>
              <w:rPr/>
            </w:pPr>
            <w:r>
              <w:rPr/>
              <w:t>​</w:t>
            </w:r>
          </w:p>
        </w:tc>
        <w:tc>
          <w:tcPr>
            <w:tcW w:w="932" w:type="dxa"/>
            <w:tcBorders/>
            <w:shd w:fill="CCEEFF" w:val="clear"/>
            <w:vAlign w:val="center"/>
          </w:tcPr>
          <w:p>
            <w:pPr>
              <w:pStyle w:val="TableContents"/>
              <w:bidi w:val="0"/>
              <w:spacing w:before="0" w:after="1"/>
              <w:ind w:left="0" w:right="0" w:hanging="0"/>
              <w:jc w:val="left"/>
              <w:rPr/>
            </w:pPr>
            <w:r>
              <w:rPr/>
              <w:t>​</w:t>
            </w:r>
          </w:p>
        </w:tc>
      </w:tr>
      <w:tr>
        <w:trPr/>
        <w:tc>
          <w:tcPr>
            <w:tcW w:w="643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Acquisition of Real Estate Including Intangible Lease Assets and Liabilities</w:t>
            </w:r>
          </w:p>
        </w:tc>
        <w:tc>
          <w:tcPr>
            <w:tcW w:w="109" w:type="dxa"/>
            <w:tcBorders/>
            <w:vAlign w:val="center"/>
          </w:tcPr>
          <w:p>
            <w:pPr>
              <w:pStyle w:val="TableContents"/>
              <w:bidi w:val="0"/>
              <w:spacing w:before="0" w:after="1"/>
              <w:ind w:left="0" w:right="0" w:hanging="0"/>
              <w:jc w:val="left"/>
              <w:rPr/>
            </w:pPr>
            <w:r>
              <w:rPr/>
              <w:t>​</w:t>
            </w:r>
          </w:p>
        </w:tc>
        <w:tc>
          <w:tcPr>
            <w:tcW w:w="219" w:type="dxa"/>
            <w:tcBorders/>
            <w:vAlign w:val="center"/>
          </w:tcPr>
          <w:p>
            <w:pPr>
              <w:pStyle w:val="TableContents"/>
              <w:bidi w:val="0"/>
              <w:spacing w:before="0" w:after="1"/>
              <w:ind w:left="0" w:right="0" w:hanging="0"/>
              <w:jc w:val="left"/>
              <w:rPr/>
            </w:pPr>
            <w:r>
              <w:rPr/>
              <w:t>​</w:t>
            </w:r>
          </w:p>
        </w:tc>
        <w:tc>
          <w:tcPr>
            <w:tcW w:w="90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(20,505)</w:t>
            </w:r>
          </w:p>
        </w:tc>
        <w:tc>
          <w:tcPr>
            <w:tcW w:w="109" w:type="dxa"/>
            <w:tcBorders/>
            <w:vAlign w:val="center"/>
          </w:tcPr>
          <w:p>
            <w:pPr>
              <w:pStyle w:val="TableContents"/>
              <w:bidi w:val="0"/>
              <w:spacing w:before="0" w:after="1"/>
              <w:ind w:left="0" w:right="0" w:hanging="0"/>
              <w:jc w:val="left"/>
              <w:rPr/>
            </w:pPr>
            <w:r>
              <w:rPr/>
              <w:t>​</w:t>
            </w:r>
          </w:p>
        </w:tc>
        <w:tc>
          <w:tcPr>
            <w:tcW w:w="238" w:type="dxa"/>
            <w:tcBorders/>
            <w:vAlign w:val="center"/>
          </w:tcPr>
          <w:p>
            <w:pPr>
              <w:pStyle w:val="TableContents"/>
              <w:bidi w:val="0"/>
              <w:spacing w:before="0" w:after="1"/>
              <w:ind w:left="0" w:right="0" w:hanging="0"/>
              <w:jc w:val="left"/>
              <w:rPr/>
            </w:pPr>
            <w:r>
              <w:rPr/>
              <w:t>​</w:t>
            </w:r>
          </w:p>
        </w:tc>
        <w:tc>
          <w:tcPr>
            <w:tcW w:w="93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(35,208)</w:t>
            </w:r>
          </w:p>
        </w:tc>
      </w:tr>
      <w:tr>
        <w:trPr/>
        <w:tc>
          <w:tcPr>
            <w:tcW w:w="643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Investments in and Improvements to Real Estate</w:t>
            </w:r>
          </w:p>
        </w:tc>
        <w:tc>
          <w:tcPr>
            <w:tcW w:w="109" w:type="dxa"/>
            <w:tcBorders/>
            <w:shd w:fill="CCEEFF" w:val="clear"/>
            <w:vAlign w:val="center"/>
          </w:tcPr>
          <w:p>
            <w:pPr>
              <w:pStyle w:val="TableContents"/>
              <w:bidi w:val="0"/>
              <w:spacing w:before="0" w:after="1"/>
              <w:ind w:left="0" w:right="0" w:hanging="0"/>
              <w:jc w:val="left"/>
              <w:rPr/>
            </w:pPr>
            <w:r>
              <w:rPr/>
              <w:t>​</w:t>
            </w:r>
          </w:p>
        </w:tc>
        <w:tc>
          <w:tcPr>
            <w:tcW w:w="219" w:type="dxa"/>
            <w:tcBorders/>
            <w:shd w:fill="CCEEFF" w:val="clear"/>
            <w:vAlign w:val="center"/>
          </w:tcPr>
          <w:p>
            <w:pPr>
              <w:pStyle w:val="TableContents"/>
              <w:bidi w:val="0"/>
              <w:spacing w:before="0" w:after="1"/>
              <w:ind w:left="0" w:right="0" w:hanging="0"/>
              <w:jc w:val="left"/>
              <w:rPr/>
            </w:pPr>
            <w:r>
              <w:rPr/>
              <w:t>​</w:t>
            </w:r>
          </w:p>
        </w:tc>
        <w:tc>
          <w:tcPr>
            <w:tcW w:w="9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(346)</w:t>
            </w:r>
          </w:p>
        </w:tc>
        <w:tc>
          <w:tcPr>
            <w:tcW w:w="109" w:type="dxa"/>
            <w:tcBorders/>
            <w:shd w:fill="CCEEFF" w:val="clear"/>
            <w:vAlign w:val="center"/>
          </w:tcPr>
          <w:p>
            <w:pPr>
              <w:pStyle w:val="TableContents"/>
              <w:bidi w:val="0"/>
              <w:spacing w:before="0" w:after="1"/>
              <w:ind w:left="0" w:right="0" w:hanging="0"/>
              <w:jc w:val="left"/>
              <w:rPr/>
            </w:pPr>
            <w:r>
              <w:rPr/>
              <w:t>​</w:t>
            </w:r>
          </w:p>
        </w:tc>
        <w:tc>
          <w:tcPr>
            <w:tcW w:w="238" w:type="dxa"/>
            <w:tcBorders/>
            <w:shd w:fill="CCEEFF" w:val="clear"/>
            <w:vAlign w:val="center"/>
          </w:tcPr>
          <w:p>
            <w:pPr>
              <w:pStyle w:val="TableContents"/>
              <w:bidi w:val="0"/>
              <w:spacing w:before="0" w:after="1"/>
              <w:ind w:left="0" w:right="0" w:hanging="0"/>
              <w:jc w:val="left"/>
              <w:rPr/>
            </w:pPr>
            <w:r>
              <w:rPr/>
              <w:t>​</w:t>
            </w:r>
          </w:p>
        </w:tc>
        <w:tc>
          <w:tcPr>
            <w:tcW w:w="93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(5,131)</w:t>
            </w:r>
          </w:p>
        </w:tc>
      </w:tr>
      <w:tr>
        <w:trPr/>
        <w:tc>
          <w:tcPr>
            <w:tcW w:w="643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Proceeds from Disposition of Assets</w:t>
            </w:r>
          </w:p>
        </w:tc>
        <w:tc>
          <w:tcPr>
            <w:tcW w:w="109" w:type="dxa"/>
            <w:tcBorders/>
            <w:vAlign w:val="center"/>
          </w:tcPr>
          <w:p>
            <w:pPr>
              <w:pStyle w:val="TableContents"/>
              <w:bidi w:val="0"/>
              <w:spacing w:before="0" w:after="1"/>
              <w:ind w:left="0" w:right="0" w:hanging="0"/>
              <w:jc w:val="left"/>
              <w:rPr/>
            </w:pPr>
            <w:r>
              <w:rPr/>
              <w:t>​</w:t>
            </w:r>
          </w:p>
        </w:tc>
        <w:tc>
          <w:tcPr>
            <w:tcW w:w="219" w:type="dxa"/>
            <w:tcBorders/>
            <w:vAlign w:val="center"/>
          </w:tcPr>
          <w:p>
            <w:pPr>
              <w:pStyle w:val="TableContents"/>
              <w:bidi w:val="0"/>
              <w:spacing w:before="0" w:after="1"/>
              <w:ind w:left="0" w:right="0" w:hanging="0"/>
              <w:jc w:val="left"/>
              <w:rPr/>
            </w:pPr>
            <w:r>
              <w:rPr/>
              <w:t>​</w:t>
            </w:r>
          </w:p>
        </w:tc>
        <w:tc>
          <w:tcPr>
            <w:tcW w:w="90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5,531</w:t>
            </w:r>
          </w:p>
        </w:tc>
        <w:tc>
          <w:tcPr>
            <w:tcW w:w="109" w:type="dxa"/>
            <w:tcBorders/>
            <w:vAlign w:val="center"/>
          </w:tcPr>
          <w:p>
            <w:pPr>
              <w:pStyle w:val="TableContents"/>
              <w:bidi w:val="0"/>
              <w:spacing w:before="0" w:after="1"/>
              <w:ind w:left="0" w:right="0" w:hanging="0"/>
              <w:jc w:val="left"/>
              <w:rPr/>
            </w:pPr>
            <w:r>
              <w:rPr/>
              <w:t>​</w:t>
            </w:r>
          </w:p>
        </w:tc>
        <w:tc>
          <w:tcPr>
            <w:tcW w:w="238" w:type="dxa"/>
            <w:tcBorders/>
            <w:vAlign w:val="center"/>
          </w:tcPr>
          <w:p>
            <w:pPr>
              <w:pStyle w:val="TableContents"/>
              <w:bidi w:val="0"/>
              <w:spacing w:before="0" w:after="1"/>
              <w:ind w:left="0" w:right="0" w:hanging="0"/>
              <w:jc w:val="left"/>
              <w:rPr/>
            </w:pPr>
            <w:r>
              <w:rPr/>
              <w:t>​</w:t>
            </w:r>
          </w:p>
        </w:tc>
        <w:tc>
          <w:tcPr>
            <w:tcW w:w="93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26,820</w:t>
            </w:r>
          </w:p>
        </w:tc>
      </w:tr>
      <w:tr>
        <w:trPr/>
        <w:tc>
          <w:tcPr>
            <w:tcW w:w="643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Acquisition of Commercial Loans and Investments</w:t>
            </w:r>
          </w:p>
        </w:tc>
        <w:tc>
          <w:tcPr>
            <w:tcW w:w="109" w:type="dxa"/>
            <w:tcBorders/>
            <w:shd w:fill="CCEEFF" w:val="clear"/>
            <w:vAlign w:val="center"/>
          </w:tcPr>
          <w:p>
            <w:pPr>
              <w:pStyle w:val="TableContents"/>
              <w:bidi w:val="0"/>
              <w:spacing w:before="0" w:after="1"/>
              <w:ind w:left="0" w:right="0" w:hanging="0"/>
              <w:jc w:val="left"/>
              <w:rPr/>
            </w:pPr>
            <w:r>
              <w:rPr/>
              <w:t>​</w:t>
            </w:r>
          </w:p>
        </w:tc>
        <w:tc>
          <w:tcPr>
            <w:tcW w:w="219" w:type="dxa"/>
            <w:tcBorders/>
            <w:shd w:fill="CCEEFF" w:val="clear"/>
            <w:vAlign w:val="center"/>
          </w:tcPr>
          <w:p>
            <w:pPr>
              <w:pStyle w:val="TableContents"/>
              <w:bidi w:val="0"/>
              <w:spacing w:before="0" w:after="1"/>
              <w:ind w:left="0" w:right="0" w:hanging="0"/>
              <w:jc w:val="left"/>
              <w:rPr/>
            </w:pPr>
            <w:r>
              <w:rPr/>
              <w:t>​</w:t>
            </w:r>
          </w:p>
        </w:tc>
        <w:tc>
          <w:tcPr>
            <w:tcW w:w="9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(87,242)</w:t>
            </w:r>
          </w:p>
        </w:tc>
        <w:tc>
          <w:tcPr>
            <w:tcW w:w="109" w:type="dxa"/>
            <w:tcBorders/>
            <w:shd w:fill="CCEEFF" w:val="clear"/>
            <w:vAlign w:val="center"/>
          </w:tcPr>
          <w:p>
            <w:pPr>
              <w:pStyle w:val="TableContents"/>
              <w:bidi w:val="0"/>
              <w:spacing w:before="0" w:after="1"/>
              <w:ind w:left="0" w:right="0" w:hanging="0"/>
              <w:jc w:val="left"/>
              <w:rPr/>
            </w:pPr>
            <w:r>
              <w:rPr/>
              <w:t>​</w:t>
            </w:r>
          </w:p>
        </w:tc>
        <w:tc>
          <w:tcPr>
            <w:tcW w:w="238" w:type="dxa"/>
            <w:tcBorders/>
            <w:shd w:fill="CCEEFF" w:val="clear"/>
            <w:vAlign w:val="center"/>
          </w:tcPr>
          <w:p>
            <w:pPr>
              <w:pStyle w:val="TableContents"/>
              <w:bidi w:val="0"/>
              <w:spacing w:before="0" w:after="1"/>
              <w:ind w:left="0" w:right="0" w:hanging="0"/>
              <w:jc w:val="left"/>
              <w:rPr/>
            </w:pPr>
            <w:r>
              <w:rPr/>
              <w:t>​</w:t>
            </w:r>
          </w:p>
        </w:tc>
        <w:tc>
          <w:tcPr>
            <w:tcW w:w="93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(33,098)</w:t>
            </w:r>
          </w:p>
        </w:tc>
      </w:tr>
      <w:tr>
        <w:trPr/>
        <w:tc>
          <w:tcPr>
            <w:tcW w:w="643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Principal Payments Received on Commercial Loans and Investments</w:t>
            </w:r>
          </w:p>
        </w:tc>
        <w:tc>
          <w:tcPr>
            <w:tcW w:w="109" w:type="dxa"/>
            <w:tcBorders/>
            <w:vAlign w:val="center"/>
          </w:tcPr>
          <w:p>
            <w:pPr>
              <w:pStyle w:val="TableContents"/>
              <w:bidi w:val="0"/>
              <w:spacing w:before="0" w:after="1"/>
              <w:ind w:left="0" w:right="0" w:hanging="0"/>
              <w:jc w:val="left"/>
              <w:rPr/>
            </w:pPr>
            <w:r>
              <w:rPr/>
              <w:t>​</w:t>
            </w:r>
          </w:p>
        </w:tc>
        <w:tc>
          <w:tcPr>
            <w:tcW w:w="219" w:type="dxa"/>
            <w:tcBorders/>
            <w:vAlign w:val="center"/>
          </w:tcPr>
          <w:p>
            <w:pPr>
              <w:pStyle w:val="TableContents"/>
              <w:bidi w:val="0"/>
              <w:spacing w:before="0" w:after="1"/>
              <w:ind w:left="0" w:right="0" w:hanging="0"/>
              <w:jc w:val="left"/>
              <w:rPr/>
            </w:pPr>
            <w:r>
              <w:rPr/>
              <w:t>​</w:t>
            </w:r>
          </w:p>
        </w:tc>
        <w:tc>
          <w:tcPr>
            <w:tcW w:w="90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17,526</w:t>
            </w:r>
          </w:p>
        </w:tc>
        <w:tc>
          <w:tcPr>
            <w:tcW w:w="109" w:type="dxa"/>
            <w:tcBorders/>
            <w:vAlign w:val="center"/>
          </w:tcPr>
          <w:p>
            <w:pPr>
              <w:pStyle w:val="TableContents"/>
              <w:bidi w:val="0"/>
              <w:spacing w:before="0" w:after="1"/>
              <w:ind w:left="0" w:right="0" w:hanging="0"/>
              <w:jc w:val="left"/>
              <w:rPr/>
            </w:pPr>
            <w:r>
              <w:rPr/>
              <w:t>​</w:t>
            </w:r>
          </w:p>
        </w:tc>
        <w:tc>
          <w:tcPr>
            <w:tcW w:w="238" w:type="dxa"/>
            <w:tcBorders/>
            <w:vAlign w:val="center"/>
          </w:tcPr>
          <w:p>
            <w:pPr>
              <w:pStyle w:val="TableContents"/>
              <w:bidi w:val="0"/>
              <w:spacing w:before="0" w:after="1"/>
              <w:ind w:left="0" w:right="0" w:hanging="0"/>
              <w:jc w:val="left"/>
              <w:rPr/>
            </w:pPr>
            <w:r>
              <w:rPr/>
              <w:t>​</w:t>
            </w:r>
          </w:p>
        </w:tc>
        <w:tc>
          <w:tcPr>
            <w:tcW w:w="93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11,856</w:t>
            </w:r>
          </w:p>
        </w:tc>
      </w:tr>
      <w:tr>
        <w:trPr/>
        <w:tc>
          <w:tcPr>
            <w:tcW w:w="643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Proceeds from Sale of Participation Interest</w:t>
            </w:r>
          </w:p>
        </w:tc>
        <w:tc>
          <w:tcPr>
            <w:tcW w:w="109" w:type="dxa"/>
            <w:tcBorders/>
            <w:shd w:fill="CCEEFF" w:val="clear"/>
            <w:vAlign w:val="center"/>
          </w:tcPr>
          <w:p>
            <w:pPr>
              <w:pStyle w:val="TableContents"/>
              <w:bidi w:val="0"/>
              <w:spacing w:before="0" w:after="1"/>
              <w:ind w:left="0" w:right="0" w:hanging="0"/>
              <w:jc w:val="left"/>
              <w:rPr/>
            </w:pPr>
            <w:r>
              <w:rPr/>
              <w:t>​</w:t>
            </w:r>
          </w:p>
        </w:tc>
        <w:tc>
          <w:tcPr>
            <w:tcW w:w="219" w:type="dxa"/>
            <w:tcBorders/>
            <w:shd w:fill="CCEEFF" w:val="clear"/>
            <w:vAlign w:val="center"/>
          </w:tcPr>
          <w:p>
            <w:pPr>
              <w:pStyle w:val="TableContents"/>
              <w:bidi w:val="0"/>
              <w:spacing w:before="0" w:after="1"/>
              <w:ind w:left="0" w:right="0" w:hanging="0"/>
              <w:jc w:val="left"/>
              <w:rPr/>
            </w:pPr>
            <w:r>
              <w:rPr/>
              <w:t>​</w:t>
            </w:r>
          </w:p>
        </w:tc>
        <w:tc>
          <w:tcPr>
            <w:tcW w:w="9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10,763</w:t>
            </w:r>
          </w:p>
        </w:tc>
        <w:tc>
          <w:tcPr>
            <w:tcW w:w="109" w:type="dxa"/>
            <w:tcBorders/>
            <w:shd w:fill="CCEEFF" w:val="clear"/>
            <w:vAlign w:val="center"/>
          </w:tcPr>
          <w:p>
            <w:pPr>
              <w:pStyle w:val="TableContents"/>
              <w:bidi w:val="0"/>
              <w:spacing w:before="0" w:after="1"/>
              <w:ind w:left="0" w:right="0" w:hanging="0"/>
              <w:jc w:val="left"/>
              <w:rPr/>
            </w:pPr>
            <w:r>
              <w:rPr/>
              <w:t>​</w:t>
            </w:r>
          </w:p>
        </w:tc>
        <w:tc>
          <w:tcPr>
            <w:tcW w:w="238" w:type="dxa"/>
            <w:tcBorders/>
            <w:shd w:fill="CCEEFF" w:val="clear"/>
            <w:vAlign w:val="center"/>
          </w:tcPr>
          <w:p>
            <w:pPr>
              <w:pStyle w:val="TableContents"/>
              <w:bidi w:val="0"/>
              <w:spacing w:before="0" w:after="1"/>
              <w:ind w:left="0" w:right="0" w:hanging="0"/>
              <w:jc w:val="left"/>
              <w:rPr/>
            </w:pPr>
            <w:r>
              <w:rPr/>
              <w:t>​</w:t>
            </w:r>
          </w:p>
        </w:tc>
        <w:tc>
          <w:tcPr>
            <w:tcW w:w="932" w:type="dxa"/>
            <w:tcBorders/>
            <w:shd w:fill="CCEEFF" w:val="clear"/>
            <w:vAlign w:val="center"/>
          </w:tcPr>
          <w:p>
            <w:pPr>
              <w:pStyle w:val="TableContents"/>
              <w:bidi w:val="0"/>
              <w:spacing w:before="0" w:after="1"/>
              <w:ind w:left="0" w:right="0" w:hanging="0"/>
              <w:jc w:val="right"/>
              <w:rPr/>
            </w:pPr>
            <w:r>
              <w:rPr/>
              <w:t>—</w:t>
            </w:r>
          </w:p>
        </w:tc>
      </w:tr>
      <w:tr>
        <w:trPr/>
        <w:tc>
          <w:tcPr>
            <w:tcW w:w="643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Payments on Participation Obligation</w:t>
            </w:r>
          </w:p>
        </w:tc>
        <w:tc>
          <w:tcPr>
            <w:tcW w:w="109" w:type="dxa"/>
            <w:tcBorders/>
            <w:vAlign w:val="center"/>
          </w:tcPr>
          <w:p>
            <w:pPr>
              <w:pStyle w:val="TableContents"/>
              <w:bidi w:val="0"/>
              <w:spacing w:before="0" w:after="1"/>
              <w:ind w:left="0" w:right="0" w:hanging="0"/>
              <w:jc w:val="left"/>
              <w:rPr/>
            </w:pPr>
            <w:r>
              <w:rPr/>
              <w:t>​</w:t>
            </w:r>
          </w:p>
        </w:tc>
        <w:tc>
          <w:tcPr>
            <w:tcW w:w="219" w:type="dxa"/>
            <w:tcBorders/>
            <w:vAlign w:val="center"/>
          </w:tcPr>
          <w:p>
            <w:pPr>
              <w:pStyle w:val="TableContents"/>
              <w:bidi w:val="0"/>
              <w:spacing w:before="0" w:after="1"/>
              <w:ind w:left="0" w:right="0" w:hanging="0"/>
              <w:jc w:val="left"/>
              <w:rPr/>
            </w:pPr>
            <w:r>
              <w:rPr/>
              <w:t>​</w:t>
            </w:r>
          </w:p>
        </w:tc>
        <w:tc>
          <w:tcPr>
            <w:tcW w:w="90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(1,701)</w:t>
            </w:r>
          </w:p>
        </w:tc>
        <w:tc>
          <w:tcPr>
            <w:tcW w:w="109" w:type="dxa"/>
            <w:tcBorders/>
            <w:vAlign w:val="center"/>
          </w:tcPr>
          <w:p>
            <w:pPr>
              <w:pStyle w:val="TableContents"/>
              <w:bidi w:val="0"/>
              <w:spacing w:before="0" w:after="1"/>
              <w:ind w:left="0" w:right="0" w:hanging="0"/>
              <w:jc w:val="left"/>
              <w:rPr/>
            </w:pPr>
            <w:r>
              <w:rPr/>
              <w:t>​</w:t>
            </w:r>
          </w:p>
        </w:tc>
        <w:tc>
          <w:tcPr>
            <w:tcW w:w="238" w:type="dxa"/>
            <w:tcBorders/>
            <w:vAlign w:val="center"/>
          </w:tcPr>
          <w:p>
            <w:pPr>
              <w:pStyle w:val="TableContents"/>
              <w:bidi w:val="0"/>
              <w:spacing w:before="0" w:after="1"/>
              <w:ind w:left="0" w:right="0" w:hanging="0"/>
              <w:jc w:val="left"/>
              <w:rPr/>
            </w:pPr>
            <w:r>
              <w:rPr/>
              <w:t>​</w:t>
            </w:r>
          </w:p>
        </w:tc>
        <w:tc>
          <w:tcPr>
            <w:tcW w:w="93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(9,131)</w:t>
            </w:r>
          </w:p>
        </w:tc>
      </w:tr>
      <w:tr>
        <w:trPr/>
        <w:tc>
          <w:tcPr>
            <w:tcW w:w="643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Cash Received for Commercial Loan Reserves</w:t>
            </w:r>
          </w:p>
        </w:tc>
        <w:tc>
          <w:tcPr>
            <w:tcW w:w="109" w:type="dxa"/>
            <w:tcBorders/>
            <w:shd w:fill="CCEEFF" w:val="clear"/>
            <w:vAlign w:val="center"/>
          </w:tcPr>
          <w:p>
            <w:pPr>
              <w:pStyle w:val="TableContents"/>
              <w:bidi w:val="0"/>
              <w:spacing w:before="0" w:after="1"/>
              <w:ind w:left="0" w:right="0" w:hanging="0"/>
              <w:jc w:val="left"/>
              <w:rPr/>
            </w:pPr>
            <w:r>
              <w:rPr/>
              <w:t>​</w:t>
            </w:r>
          </w:p>
        </w:tc>
        <w:tc>
          <w:tcPr>
            <w:tcW w:w="21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16,935</w:t>
            </w:r>
          </w:p>
        </w:tc>
        <w:tc>
          <w:tcPr>
            <w:tcW w:w="109" w:type="dxa"/>
            <w:tcBorders/>
            <w:shd w:fill="CCEEFF" w:val="clear"/>
            <w:vAlign w:val="center"/>
          </w:tcPr>
          <w:p>
            <w:pPr>
              <w:pStyle w:val="TableContents"/>
              <w:bidi w:val="0"/>
              <w:spacing w:before="0" w:after="1"/>
              <w:ind w:left="0" w:right="0" w:hanging="0"/>
              <w:jc w:val="left"/>
              <w:rPr/>
            </w:pPr>
            <w:r>
              <w:rPr/>
              <w:t>​</w:t>
            </w:r>
          </w:p>
        </w:tc>
        <w:tc>
          <w:tcPr>
            <w:tcW w:w="23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3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702</w:t>
            </w:r>
          </w:p>
        </w:tc>
      </w:tr>
      <w:tr>
        <w:trPr/>
        <w:tc>
          <w:tcPr>
            <w:tcW w:w="643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Cash Used In Investing Activities</w:t>
            </w:r>
          </w:p>
        </w:tc>
        <w:tc>
          <w:tcPr>
            <w:tcW w:w="109" w:type="dxa"/>
            <w:tcBorders/>
            <w:vAlign w:val="center"/>
          </w:tcPr>
          <w:p>
            <w:pPr>
              <w:pStyle w:val="TableContents"/>
              <w:bidi w:val="0"/>
              <w:spacing w:before="0" w:after="1"/>
              <w:ind w:left="0" w:right="0" w:hanging="0"/>
              <w:jc w:val="left"/>
              <w:rPr/>
            </w:pPr>
            <w:r>
              <w:rPr/>
              <w:t>​</w:t>
            </w:r>
          </w:p>
        </w:tc>
        <w:tc>
          <w:tcPr>
            <w:tcW w:w="21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0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(59,039)</w:t>
            </w:r>
          </w:p>
        </w:tc>
        <w:tc>
          <w:tcPr>
            <w:tcW w:w="109" w:type="dxa"/>
            <w:tcBorders/>
            <w:vAlign w:val="center"/>
          </w:tcPr>
          <w:p>
            <w:pPr>
              <w:pStyle w:val="TableContents"/>
              <w:bidi w:val="0"/>
              <w:spacing w:before="0" w:after="1"/>
              <w:ind w:left="0" w:right="0" w:hanging="0"/>
              <w:jc w:val="left"/>
              <w:rPr/>
            </w:pPr>
            <w:r>
              <w:rPr/>
              <w:t>​</w:t>
            </w:r>
          </w:p>
        </w:tc>
        <w:tc>
          <w:tcPr>
            <w:tcW w:w="23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3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(43,190)</w:t>
            </w:r>
          </w:p>
        </w:tc>
      </w:tr>
      <w:tr>
        <w:trPr/>
        <w:tc>
          <w:tcPr>
            <w:tcW w:w="643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Cash Flow from Financing Activities:</w:t>
            </w:r>
          </w:p>
        </w:tc>
        <w:tc>
          <w:tcPr>
            <w:tcW w:w="109" w:type="dxa"/>
            <w:tcBorders/>
            <w:shd w:fill="CCEEFF" w:val="clear"/>
            <w:vAlign w:val="center"/>
          </w:tcPr>
          <w:p>
            <w:pPr>
              <w:pStyle w:val="TableContents"/>
              <w:bidi w:val="0"/>
              <w:spacing w:before="0" w:after="1"/>
              <w:ind w:left="0" w:right="0" w:hanging="0"/>
              <w:jc w:val="left"/>
              <w:rPr/>
            </w:pPr>
            <w:r>
              <w:rPr/>
              <w:t>​</w:t>
            </w:r>
          </w:p>
        </w:tc>
        <w:tc>
          <w:tcPr>
            <w:tcW w:w="219" w:type="dxa"/>
            <w:tcBorders/>
            <w:shd w:fill="CCEEFF" w:val="clear"/>
            <w:vAlign w:val="center"/>
          </w:tcPr>
          <w:p>
            <w:pPr>
              <w:pStyle w:val="TableContents"/>
              <w:bidi w:val="0"/>
              <w:spacing w:before="0" w:after="1"/>
              <w:ind w:left="0" w:right="0" w:hanging="0"/>
              <w:jc w:val="left"/>
              <w:rPr/>
            </w:pPr>
            <w:r>
              <w:rPr/>
              <w:t>​</w:t>
            </w:r>
          </w:p>
        </w:tc>
        <w:tc>
          <w:tcPr>
            <w:tcW w:w="90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38" w:type="dxa"/>
            <w:tcBorders/>
            <w:shd w:fill="CCEEFF" w:val="clear"/>
            <w:vAlign w:val="center"/>
          </w:tcPr>
          <w:p>
            <w:pPr>
              <w:pStyle w:val="TableContents"/>
              <w:bidi w:val="0"/>
              <w:spacing w:before="0" w:after="1"/>
              <w:ind w:left="0" w:right="0" w:hanging="0"/>
              <w:jc w:val="left"/>
              <w:rPr/>
            </w:pPr>
            <w:r>
              <w:rPr/>
              <w:t>​</w:t>
            </w:r>
          </w:p>
        </w:tc>
        <w:tc>
          <w:tcPr>
            <w:tcW w:w="932" w:type="dxa"/>
            <w:tcBorders/>
            <w:shd w:fill="CCEEFF" w:val="clear"/>
            <w:vAlign w:val="center"/>
          </w:tcPr>
          <w:p>
            <w:pPr>
              <w:pStyle w:val="TableContents"/>
              <w:bidi w:val="0"/>
              <w:spacing w:before="0" w:after="1"/>
              <w:ind w:left="0" w:right="0" w:hanging="0"/>
              <w:jc w:val="left"/>
              <w:rPr/>
            </w:pPr>
            <w:r>
              <w:rPr/>
              <w:t>​</w:t>
            </w:r>
          </w:p>
        </w:tc>
      </w:tr>
      <w:tr>
        <w:trPr/>
        <w:tc>
          <w:tcPr>
            <w:tcW w:w="643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Proceeds from Long-Term Debt</w:t>
            </w:r>
          </w:p>
        </w:tc>
        <w:tc>
          <w:tcPr>
            <w:tcW w:w="109" w:type="dxa"/>
            <w:tcBorders/>
            <w:vAlign w:val="center"/>
          </w:tcPr>
          <w:p>
            <w:pPr>
              <w:pStyle w:val="TableContents"/>
              <w:bidi w:val="0"/>
              <w:spacing w:before="0" w:after="1"/>
              <w:ind w:left="0" w:right="0" w:hanging="0"/>
              <w:jc w:val="left"/>
              <w:rPr/>
            </w:pPr>
            <w:r>
              <w:rPr/>
              <w:t>​</w:t>
            </w:r>
          </w:p>
        </w:tc>
        <w:tc>
          <w:tcPr>
            <w:tcW w:w="219" w:type="dxa"/>
            <w:tcBorders/>
            <w:vAlign w:val="center"/>
          </w:tcPr>
          <w:p>
            <w:pPr>
              <w:pStyle w:val="TableContents"/>
              <w:bidi w:val="0"/>
              <w:spacing w:before="0" w:after="1"/>
              <w:ind w:left="0" w:right="0" w:hanging="0"/>
              <w:jc w:val="left"/>
              <w:rPr/>
            </w:pPr>
            <w:r>
              <w:rPr/>
              <w:t>​</w:t>
            </w:r>
          </w:p>
        </w:tc>
        <w:tc>
          <w:tcPr>
            <w:tcW w:w="90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289,588</w:t>
            </w:r>
          </w:p>
        </w:tc>
        <w:tc>
          <w:tcPr>
            <w:tcW w:w="109" w:type="dxa"/>
            <w:tcBorders/>
            <w:vAlign w:val="center"/>
          </w:tcPr>
          <w:p>
            <w:pPr>
              <w:pStyle w:val="TableContents"/>
              <w:bidi w:val="0"/>
              <w:spacing w:before="0" w:after="1"/>
              <w:ind w:left="0" w:right="0" w:hanging="0"/>
              <w:jc w:val="left"/>
              <w:rPr/>
            </w:pPr>
            <w:r>
              <w:rPr/>
              <w:t>​</w:t>
            </w:r>
          </w:p>
        </w:tc>
        <w:tc>
          <w:tcPr>
            <w:tcW w:w="238" w:type="dxa"/>
            <w:tcBorders/>
            <w:vAlign w:val="center"/>
          </w:tcPr>
          <w:p>
            <w:pPr>
              <w:pStyle w:val="TableContents"/>
              <w:bidi w:val="0"/>
              <w:spacing w:before="0" w:after="1"/>
              <w:ind w:left="0" w:right="0" w:hanging="0"/>
              <w:jc w:val="left"/>
              <w:rPr/>
            </w:pPr>
            <w:r>
              <w:rPr/>
              <w:t>​</w:t>
            </w:r>
          </w:p>
        </w:tc>
        <w:tc>
          <w:tcPr>
            <w:tcW w:w="93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65,500</w:t>
            </w:r>
          </w:p>
        </w:tc>
      </w:tr>
      <w:tr>
        <w:trPr/>
        <w:tc>
          <w:tcPr>
            <w:tcW w:w="643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Payments on Long-Term Debt</w:t>
            </w:r>
          </w:p>
        </w:tc>
        <w:tc>
          <w:tcPr>
            <w:tcW w:w="109" w:type="dxa"/>
            <w:tcBorders/>
            <w:shd w:fill="CCEEFF" w:val="clear"/>
            <w:vAlign w:val="center"/>
          </w:tcPr>
          <w:p>
            <w:pPr>
              <w:pStyle w:val="TableContents"/>
              <w:bidi w:val="0"/>
              <w:spacing w:before="0" w:after="1"/>
              <w:ind w:left="0" w:right="0" w:hanging="0"/>
              <w:jc w:val="left"/>
              <w:rPr/>
            </w:pPr>
            <w:r>
              <w:rPr/>
              <w:t>​</w:t>
            </w:r>
          </w:p>
        </w:tc>
        <w:tc>
          <w:tcPr>
            <w:tcW w:w="219" w:type="dxa"/>
            <w:tcBorders/>
            <w:shd w:fill="CCEEFF" w:val="clear"/>
            <w:vAlign w:val="center"/>
          </w:tcPr>
          <w:p>
            <w:pPr>
              <w:pStyle w:val="TableContents"/>
              <w:bidi w:val="0"/>
              <w:spacing w:before="0" w:after="1"/>
              <w:ind w:left="0" w:right="0" w:hanging="0"/>
              <w:jc w:val="left"/>
              <w:rPr/>
            </w:pPr>
            <w:r>
              <w:rPr/>
              <w:t>​</w:t>
            </w:r>
          </w:p>
        </w:tc>
        <w:tc>
          <w:tcPr>
            <w:tcW w:w="9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(298,088)</w:t>
            </w:r>
          </w:p>
        </w:tc>
        <w:tc>
          <w:tcPr>
            <w:tcW w:w="109" w:type="dxa"/>
            <w:tcBorders/>
            <w:shd w:fill="CCEEFF" w:val="clear"/>
            <w:vAlign w:val="center"/>
          </w:tcPr>
          <w:p>
            <w:pPr>
              <w:pStyle w:val="TableContents"/>
              <w:bidi w:val="0"/>
              <w:spacing w:before="0" w:after="1"/>
              <w:ind w:left="0" w:right="0" w:hanging="0"/>
              <w:jc w:val="left"/>
              <w:rPr/>
            </w:pPr>
            <w:r>
              <w:rPr/>
              <w:t>​</w:t>
            </w:r>
          </w:p>
        </w:tc>
        <w:tc>
          <w:tcPr>
            <w:tcW w:w="238" w:type="dxa"/>
            <w:tcBorders/>
            <w:shd w:fill="CCEEFF" w:val="clear"/>
            <w:vAlign w:val="center"/>
          </w:tcPr>
          <w:p>
            <w:pPr>
              <w:pStyle w:val="TableContents"/>
              <w:bidi w:val="0"/>
              <w:spacing w:before="0" w:after="1"/>
              <w:ind w:left="0" w:right="0" w:hanging="0"/>
              <w:jc w:val="left"/>
              <w:rPr/>
            </w:pPr>
            <w:r>
              <w:rPr/>
              <w:t>​</w:t>
            </w:r>
          </w:p>
        </w:tc>
        <w:tc>
          <w:tcPr>
            <w:tcW w:w="93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(14,500)</w:t>
            </w:r>
          </w:p>
        </w:tc>
      </w:tr>
      <w:tr>
        <w:trPr/>
        <w:tc>
          <w:tcPr>
            <w:tcW w:w="643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Cash Paid for Loan Fees</w:t>
            </w:r>
          </w:p>
        </w:tc>
        <w:tc>
          <w:tcPr>
            <w:tcW w:w="109" w:type="dxa"/>
            <w:tcBorders/>
            <w:vAlign w:val="center"/>
          </w:tcPr>
          <w:p>
            <w:pPr>
              <w:pStyle w:val="TableContents"/>
              <w:bidi w:val="0"/>
              <w:spacing w:before="0" w:after="1"/>
              <w:ind w:left="0" w:right="0" w:hanging="0"/>
              <w:jc w:val="left"/>
              <w:rPr/>
            </w:pPr>
            <w:r>
              <w:rPr/>
              <w:t>​</w:t>
            </w:r>
          </w:p>
        </w:tc>
        <w:tc>
          <w:tcPr>
            <w:tcW w:w="219" w:type="dxa"/>
            <w:tcBorders/>
            <w:vAlign w:val="center"/>
          </w:tcPr>
          <w:p>
            <w:pPr>
              <w:pStyle w:val="TableContents"/>
              <w:bidi w:val="0"/>
              <w:spacing w:before="0" w:after="1"/>
              <w:ind w:left="0" w:right="0" w:hanging="0"/>
              <w:jc w:val="left"/>
              <w:rPr/>
            </w:pPr>
            <w:r>
              <w:rPr/>
              <w:t>​</w:t>
            </w:r>
          </w:p>
        </w:tc>
        <w:tc>
          <w:tcPr>
            <w:tcW w:w="90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(4,239)</w:t>
            </w:r>
          </w:p>
        </w:tc>
        <w:tc>
          <w:tcPr>
            <w:tcW w:w="109" w:type="dxa"/>
            <w:tcBorders/>
            <w:vAlign w:val="center"/>
          </w:tcPr>
          <w:p>
            <w:pPr>
              <w:pStyle w:val="TableContents"/>
              <w:bidi w:val="0"/>
              <w:spacing w:before="0" w:after="1"/>
              <w:ind w:left="0" w:right="0" w:hanging="0"/>
              <w:jc w:val="left"/>
              <w:rPr/>
            </w:pPr>
            <w:r>
              <w:rPr/>
              <w:t>​</w:t>
            </w:r>
          </w:p>
        </w:tc>
        <w:tc>
          <w:tcPr>
            <w:tcW w:w="238" w:type="dxa"/>
            <w:tcBorders/>
            <w:vAlign w:val="center"/>
          </w:tcPr>
          <w:p>
            <w:pPr>
              <w:pStyle w:val="TableContents"/>
              <w:bidi w:val="0"/>
              <w:spacing w:before="0" w:after="1"/>
              <w:ind w:left="0" w:right="0" w:hanging="0"/>
              <w:jc w:val="left"/>
              <w:rPr/>
            </w:pPr>
            <w:r>
              <w:rPr/>
              <w:t>​</w:t>
            </w:r>
          </w:p>
        </w:tc>
        <w:tc>
          <w:tcPr>
            <w:tcW w:w="93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(111)</w:t>
            </w:r>
          </w:p>
        </w:tc>
      </w:tr>
      <w:tr>
        <w:trPr/>
        <w:tc>
          <w:tcPr>
            <w:tcW w:w="643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Repurchases of Common Stock</w:t>
            </w:r>
          </w:p>
        </w:tc>
        <w:tc>
          <w:tcPr>
            <w:tcW w:w="109" w:type="dxa"/>
            <w:tcBorders/>
            <w:shd w:fill="CCEEFF" w:val="clear"/>
            <w:vAlign w:val="center"/>
          </w:tcPr>
          <w:p>
            <w:pPr>
              <w:pStyle w:val="TableContents"/>
              <w:bidi w:val="0"/>
              <w:spacing w:before="0" w:after="1"/>
              <w:ind w:left="0" w:right="0" w:hanging="0"/>
              <w:jc w:val="left"/>
              <w:rPr/>
            </w:pPr>
            <w:r>
              <w:rPr/>
              <w:t>​</w:t>
            </w:r>
          </w:p>
        </w:tc>
        <w:tc>
          <w:tcPr>
            <w:tcW w:w="219" w:type="dxa"/>
            <w:tcBorders/>
            <w:shd w:fill="CCEEFF" w:val="clear"/>
            <w:vAlign w:val="center"/>
          </w:tcPr>
          <w:p>
            <w:pPr>
              <w:pStyle w:val="TableContents"/>
              <w:bidi w:val="0"/>
              <w:spacing w:before="0" w:after="1"/>
              <w:ind w:left="0" w:right="0" w:hanging="0"/>
              <w:jc w:val="left"/>
              <w:rPr/>
            </w:pPr>
            <w:r>
              <w:rPr/>
              <w:t>​</w:t>
            </w:r>
          </w:p>
        </w:tc>
        <w:tc>
          <w:tcPr>
            <w:tcW w:w="90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38" w:type="dxa"/>
            <w:tcBorders/>
            <w:shd w:fill="CCEEFF" w:val="clear"/>
            <w:vAlign w:val="center"/>
          </w:tcPr>
          <w:p>
            <w:pPr>
              <w:pStyle w:val="TableContents"/>
              <w:bidi w:val="0"/>
              <w:spacing w:before="0" w:after="1"/>
              <w:ind w:left="0" w:right="0" w:hanging="0"/>
              <w:jc w:val="left"/>
              <w:rPr/>
            </w:pPr>
            <w:r>
              <w:rPr/>
              <w:t>​</w:t>
            </w:r>
          </w:p>
        </w:tc>
        <w:tc>
          <w:tcPr>
            <w:tcW w:w="93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(8,798)</w:t>
            </w:r>
          </w:p>
        </w:tc>
      </w:tr>
      <w:tr>
        <w:trPr/>
        <w:tc>
          <w:tcPr>
            <w:tcW w:w="643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Proceeds From Stock Issuances, Net</w:t>
            </w:r>
          </w:p>
        </w:tc>
        <w:tc>
          <w:tcPr>
            <w:tcW w:w="109" w:type="dxa"/>
            <w:tcBorders/>
            <w:vAlign w:val="center"/>
          </w:tcPr>
          <w:p>
            <w:pPr>
              <w:pStyle w:val="TableContents"/>
              <w:bidi w:val="0"/>
              <w:spacing w:before="0" w:after="1"/>
              <w:ind w:left="0" w:right="0" w:hanging="0"/>
              <w:jc w:val="left"/>
              <w:rPr/>
            </w:pPr>
            <w:r>
              <w:rPr/>
              <w:t>​</w:t>
            </w:r>
          </w:p>
        </w:tc>
        <w:tc>
          <w:tcPr>
            <w:tcW w:w="219" w:type="dxa"/>
            <w:tcBorders/>
            <w:vAlign w:val="center"/>
          </w:tcPr>
          <w:p>
            <w:pPr>
              <w:pStyle w:val="TableContents"/>
              <w:bidi w:val="0"/>
              <w:spacing w:before="0" w:after="1"/>
              <w:ind w:left="0" w:right="0" w:hanging="0"/>
              <w:jc w:val="left"/>
              <w:rPr/>
            </w:pPr>
            <w:r>
              <w:rPr/>
              <w:t>​</w:t>
            </w:r>
          </w:p>
        </w:tc>
        <w:tc>
          <w:tcPr>
            <w:tcW w:w="90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61,488</w:t>
            </w:r>
          </w:p>
        </w:tc>
        <w:tc>
          <w:tcPr>
            <w:tcW w:w="109" w:type="dxa"/>
            <w:tcBorders/>
            <w:vAlign w:val="center"/>
          </w:tcPr>
          <w:p>
            <w:pPr>
              <w:pStyle w:val="TableContents"/>
              <w:bidi w:val="0"/>
              <w:spacing w:before="0" w:after="1"/>
              <w:ind w:left="0" w:right="0" w:hanging="0"/>
              <w:jc w:val="left"/>
              <w:rPr/>
            </w:pPr>
            <w:r>
              <w:rPr/>
              <w:t>​</w:t>
            </w:r>
          </w:p>
        </w:tc>
        <w:tc>
          <w:tcPr>
            <w:tcW w:w="238" w:type="dxa"/>
            <w:tcBorders/>
            <w:vAlign w:val="center"/>
          </w:tcPr>
          <w:p>
            <w:pPr>
              <w:pStyle w:val="TableContents"/>
              <w:bidi w:val="0"/>
              <w:spacing w:before="0" w:after="1"/>
              <w:ind w:left="0" w:right="0" w:hanging="0"/>
              <w:jc w:val="left"/>
              <w:rPr/>
            </w:pPr>
            <w:r>
              <w:rPr/>
              <w:t>​</w:t>
            </w:r>
          </w:p>
        </w:tc>
        <w:tc>
          <w:tcPr>
            <w:tcW w:w="93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(71)</w:t>
            </w:r>
          </w:p>
        </w:tc>
      </w:tr>
      <w:tr>
        <w:trPr/>
        <w:tc>
          <w:tcPr>
            <w:tcW w:w="643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Dividends Paid - Preferred Stock</w:t>
            </w:r>
          </w:p>
        </w:tc>
        <w:tc>
          <w:tcPr>
            <w:tcW w:w="109" w:type="dxa"/>
            <w:tcBorders/>
            <w:shd w:fill="CCEEFF" w:val="clear"/>
            <w:vAlign w:val="center"/>
          </w:tcPr>
          <w:p>
            <w:pPr>
              <w:pStyle w:val="TableContents"/>
              <w:bidi w:val="0"/>
              <w:spacing w:before="0" w:after="1"/>
              <w:ind w:left="0" w:right="0" w:hanging="0"/>
              <w:jc w:val="left"/>
              <w:rPr/>
            </w:pPr>
            <w:r>
              <w:rPr/>
              <w:t>​</w:t>
            </w:r>
          </w:p>
        </w:tc>
        <w:tc>
          <w:tcPr>
            <w:tcW w:w="219" w:type="dxa"/>
            <w:tcBorders/>
            <w:shd w:fill="CCEEFF" w:val="clear"/>
            <w:vAlign w:val="center"/>
          </w:tcPr>
          <w:p>
            <w:pPr>
              <w:pStyle w:val="TableContents"/>
              <w:bidi w:val="0"/>
              <w:spacing w:before="0" w:after="1"/>
              <w:ind w:left="0" w:right="0" w:hanging="0"/>
              <w:jc w:val="left"/>
              <w:rPr/>
            </w:pPr>
            <w:r>
              <w:rPr/>
              <w:t>​</w:t>
            </w:r>
          </w:p>
        </w:tc>
        <w:tc>
          <w:tcPr>
            <w:tcW w:w="9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(2,309)</w:t>
            </w:r>
          </w:p>
        </w:tc>
        <w:tc>
          <w:tcPr>
            <w:tcW w:w="109" w:type="dxa"/>
            <w:tcBorders/>
            <w:shd w:fill="CCEEFF" w:val="clear"/>
            <w:vAlign w:val="center"/>
          </w:tcPr>
          <w:p>
            <w:pPr>
              <w:pStyle w:val="TableContents"/>
              <w:bidi w:val="0"/>
              <w:spacing w:before="0" w:after="1"/>
              <w:ind w:left="0" w:right="0" w:hanging="0"/>
              <w:jc w:val="left"/>
              <w:rPr/>
            </w:pPr>
            <w:r>
              <w:rPr/>
              <w:t>​</w:t>
            </w:r>
          </w:p>
        </w:tc>
        <w:tc>
          <w:tcPr>
            <w:tcW w:w="238" w:type="dxa"/>
            <w:tcBorders/>
            <w:shd w:fill="CCEEFF" w:val="clear"/>
            <w:vAlign w:val="center"/>
          </w:tcPr>
          <w:p>
            <w:pPr>
              <w:pStyle w:val="TableContents"/>
              <w:bidi w:val="0"/>
              <w:spacing w:before="0" w:after="1"/>
              <w:ind w:left="0" w:right="0" w:hanging="0"/>
              <w:jc w:val="left"/>
              <w:rPr/>
            </w:pPr>
            <w:r>
              <w:rPr/>
              <w:t>​</w:t>
            </w:r>
          </w:p>
        </w:tc>
        <w:tc>
          <w:tcPr>
            <w:tcW w:w="932" w:type="dxa"/>
            <w:tcBorders/>
            <w:shd w:fill="CCEEFF" w:val="clear"/>
            <w:vAlign w:val="center"/>
          </w:tcPr>
          <w:p>
            <w:pPr>
              <w:pStyle w:val="TableContents"/>
              <w:bidi w:val="0"/>
              <w:spacing w:before="0" w:after="1"/>
              <w:ind w:left="0" w:right="0" w:hanging="0"/>
              <w:jc w:val="right"/>
              <w:rPr/>
            </w:pPr>
            <w:r>
              <w:rPr/>
              <w:t>—</w:t>
            </w:r>
          </w:p>
        </w:tc>
      </w:tr>
      <w:tr>
        <w:trPr/>
        <w:tc>
          <w:tcPr>
            <w:tcW w:w="643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Dividends Paid - Common Stock</w:t>
            </w:r>
          </w:p>
        </w:tc>
        <w:tc>
          <w:tcPr>
            <w:tcW w:w="109" w:type="dxa"/>
            <w:tcBorders/>
            <w:vAlign w:val="center"/>
          </w:tcPr>
          <w:p>
            <w:pPr>
              <w:pStyle w:val="TableContents"/>
              <w:bidi w:val="0"/>
              <w:spacing w:before="0" w:after="1"/>
              <w:ind w:left="0" w:right="0" w:hanging="0"/>
              <w:jc w:val="left"/>
              <w:rPr/>
            </w:pPr>
            <w:r>
              <w:rPr/>
              <w:t>​</w:t>
            </w:r>
          </w:p>
        </w:tc>
        <w:tc>
          <w:tcPr>
            <w:tcW w:w="21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0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(10,921)</w:t>
            </w:r>
          </w:p>
        </w:tc>
        <w:tc>
          <w:tcPr>
            <w:tcW w:w="109" w:type="dxa"/>
            <w:tcBorders/>
            <w:vAlign w:val="center"/>
          </w:tcPr>
          <w:p>
            <w:pPr>
              <w:pStyle w:val="TableContents"/>
              <w:bidi w:val="0"/>
              <w:spacing w:before="0" w:after="1"/>
              <w:ind w:left="0" w:right="0" w:hanging="0"/>
              <w:jc w:val="left"/>
              <w:rPr/>
            </w:pPr>
            <w:r>
              <w:rPr/>
              <w:t>​</w:t>
            </w:r>
          </w:p>
        </w:tc>
        <w:tc>
          <w:tcPr>
            <w:tcW w:w="23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3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(8,876)</w:t>
            </w:r>
          </w:p>
        </w:tc>
      </w:tr>
      <w:tr>
        <w:trPr/>
        <w:tc>
          <w:tcPr>
            <w:tcW w:w="643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Cash Provided By Financing Activities</w:t>
            </w:r>
          </w:p>
        </w:tc>
        <w:tc>
          <w:tcPr>
            <w:tcW w:w="109" w:type="dxa"/>
            <w:tcBorders/>
            <w:shd w:fill="CCEEFF" w:val="clear"/>
            <w:vAlign w:val="center"/>
          </w:tcPr>
          <w:p>
            <w:pPr>
              <w:pStyle w:val="TableContents"/>
              <w:bidi w:val="0"/>
              <w:spacing w:before="0" w:after="1"/>
              <w:ind w:left="0" w:right="0" w:hanging="0"/>
              <w:jc w:val="left"/>
              <w:rPr/>
            </w:pPr>
            <w:r>
              <w:rPr/>
              <w:t>​</w:t>
            </w:r>
          </w:p>
        </w:tc>
        <w:tc>
          <w:tcPr>
            <w:tcW w:w="21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35,519</w:t>
            </w:r>
          </w:p>
        </w:tc>
        <w:tc>
          <w:tcPr>
            <w:tcW w:w="109" w:type="dxa"/>
            <w:tcBorders/>
            <w:shd w:fill="CCEEFF" w:val="clear"/>
            <w:vAlign w:val="center"/>
          </w:tcPr>
          <w:p>
            <w:pPr>
              <w:pStyle w:val="TableContents"/>
              <w:bidi w:val="0"/>
              <w:spacing w:before="0" w:after="1"/>
              <w:ind w:left="0" w:right="0" w:hanging="0"/>
              <w:jc w:val="left"/>
              <w:rPr/>
            </w:pPr>
            <w:r>
              <w:rPr/>
              <w:t>​</w:t>
            </w:r>
          </w:p>
        </w:tc>
        <w:tc>
          <w:tcPr>
            <w:tcW w:w="23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3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33,144</w:t>
            </w:r>
          </w:p>
        </w:tc>
      </w:tr>
      <w:tr>
        <w:trPr/>
        <w:tc>
          <w:tcPr>
            <w:tcW w:w="643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Increase (Decrease) in Cash and Cash Equivalents and Restricted Cash</w:t>
            </w:r>
          </w:p>
        </w:tc>
        <w:tc>
          <w:tcPr>
            <w:tcW w:w="109" w:type="dxa"/>
            <w:tcBorders/>
            <w:vAlign w:val="center"/>
          </w:tcPr>
          <w:p>
            <w:pPr>
              <w:pStyle w:val="TableContents"/>
              <w:bidi w:val="0"/>
              <w:spacing w:before="0" w:after="1"/>
              <w:ind w:left="0" w:right="0" w:hanging="0"/>
              <w:jc w:val="left"/>
              <w:rPr/>
            </w:pPr>
            <w:r>
              <w:rPr/>
              <w:t>​</w:t>
            </w:r>
          </w:p>
        </w:tc>
        <w:tc>
          <w:tcPr>
            <w:tcW w:w="219" w:type="dxa"/>
            <w:tcBorders/>
            <w:vAlign w:val="center"/>
          </w:tcPr>
          <w:p>
            <w:pPr>
              <w:pStyle w:val="TableContents"/>
              <w:bidi w:val="0"/>
              <w:spacing w:before="0" w:after="1"/>
              <w:ind w:left="0" w:right="0" w:hanging="0"/>
              <w:jc w:val="left"/>
              <w:rPr/>
            </w:pPr>
            <w:r>
              <w:rPr/>
              <w:t>​</w:t>
            </w:r>
          </w:p>
        </w:tc>
        <w:tc>
          <w:tcPr>
            <w:tcW w:w="90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(12,925)</w:t>
            </w:r>
          </w:p>
        </w:tc>
        <w:tc>
          <w:tcPr>
            <w:tcW w:w="109" w:type="dxa"/>
            <w:tcBorders/>
            <w:vAlign w:val="center"/>
          </w:tcPr>
          <w:p>
            <w:pPr>
              <w:pStyle w:val="TableContents"/>
              <w:bidi w:val="0"/>
              <w:spacing w:before="0" w:after="1"/>
              <w:ind w:left="0" w:right="0" w:hanging="0"/>
              <w:jc w:val="left"/>
              <w:rPr/>
            </w:pPr>
            <w:r>
              <w:rPr/>
              <w:t>​</w:t>
            </w:r>
          </w:p>
        </w:tc>
        <w:tc>
          <w:tcPr>
            <w:tcW w:w="238" w:type="dxa"/>
            <w:tcBorders/>
            <w:vAlign w:val="center"/>
          </w:tcPr>
          <w:p>
            <w:pPr>
              <w:pStyle w:val="TableContents"/>
              <w:bidi w:val="0"/>
              <w:spacing w:before="0" w:after="1"/>
              <w:ind w:left="0" w:right="0" w:hanging="0"/>
              <w:jc w:val="left"/>
              <w:rPr/>
            </w:pPr>
            <w:r>
              <w:rPr/>
              <w:t>​</w:t>
            </w:r>
          </w:p>
        </w:tc>
        <w:tc>
          <w:tcPr>
            <w:tcW w:w="93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4,176</w:t>
            </w:r>
          </w:p>
        </w:tc>
      </w:tr>
      <w:tr>
        <w:trPr/>
        <w:tc>
          <w:tcPr>
            <w:tcW w:w="643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Cash and Cash Equivalents and Restricted Cash, Beginning of Period</w:t>
            </w:r>
          </w:p>
        </w:tc>
        <w:tc>
          <w:tcPr>
            <w:tcW w:w="109" w:type="dxa"/>
            <w:tcBorders/>
            <w:shd w:fill="CCEEFF" w:val="clear"/>
            <w:vAlign w:val="center"/>
          </w:tcPr>
          <w:p>
            <w:pPr>
              <w:pStyle w:val="TableContents"/>
              <w:bidi w:val="0"/>
              <w:spacing w:before="0" w:after="1"/>
              <w:ind w:left="0" w:right="0" w:hanging="0"/>
              <w:jc w:val="left"/>
              <w:rPr/>
            </w:pPr>
            <w:r>
              <w:rPr/>
              <w:t>​</w:t>
            </w:r>
          </w:p>
        </w:tc>
        <w:tc>
          <w:tcPr>
            <w:tcW w:w="21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38,999</w:t>
            </w:r>
          </w:p>
        </w:tc>
        <w:tc>
          <w:tcPr>
            <w:tcW w:w="109" w:type="dxa"/>
            <w:tcBorders/>
            <w:shd w:fill="CCEEFF" w:val="clear"/>
            <w:vAlign w:val="center"/>
          </w:tcPr>
          <w:p>
            <w:pPr>
              <w:pStyle w:val="TableContents"/>
              <w:bidi w:val="0"/>
              <w:spacing w:before="0" w:after="1"/>
              <w:ind w:left="0" w:right="0" w:hanging="0"/>
              <w:jc w:val="left"/>
              <w:rPr/>
            </w:pPr>
            <w:r>
              <w:rPr/>
              <w:t>​</w:t>
            </w:r>
          </w:p>
        </w:tc>
        <w:tc>
          <w:tcPr>
            <w:tcW w:w="23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3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7,951</w:t>
            </w:r>
          </w:p>
        </w:tc>
      </w:tr>
      <w:tr>
        <w:trPr/>
        <w:tc>
          <w:tcPr>
            <w:tcW w:w="643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Cash and Cash Equivalents and Restricted Cash, End of Period</w:t>
            </w:r>
          </w:p>
        </w:tc>
        <w:tc>
          <w:tcPr>
            <w:tcW w:w="109" w:type="dxa"/>
            <w:tcBorders/>
            <w:vAlign w:val="center"/>
          </w:tcPr>
          <w:p>
            <w:pPr>
              <w:pStyle w:val="TableContents"/>
              <w:bidi w:val="0"/>
              <w:spacing w:before="0" w:after="1"/>
              <w:ind w:left="0" w:right="0" w:hanging="0"/>
              <w:jc w:val="left"/>
              <w:rPr/>
            </w:pPr>
            <w:r>
              <w:rPr/>
              <w:t>​</w:t>
            </w:r>
          </w:p>
        </w:tc>
        <w:tc>
          <w:tcPr>
            <w:tcW w:w="21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0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26,074</w:t>
            </w:r>
          </w:p>
        </w:tc>
        <w:tc>
          <w:tcPr>
            <w:tcW w:w="109" w:type="dxa"/>
            <w:tcBorders/>
            <w:vAlign w:val="center"/>
          </w:tcPr>
          <w:p>
            <w:pPr>
              <w:pStyle w:val="TableContents"/>
              <w:bidi w:val="0"/>
              <w:spacing w:before="0" w:after="1"/>
              <w:ind w:left="0" w:right="0" w:hanging="0"/>
              <w:jc w:val="left"/>
              <w:rPr/>
            </w:pPr>
            <w:r>
              <w:rPr/>
              <w:t>​</w:t>
            </w:r>
          </w:p>
        </w:tc>
        <w:tc>
          <w:tcPr>
            <w:tcW w:w="238"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3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12,127</w:t>
            </w:r>
          </w:p>
        </w:tc>
      </w:tr>
      <w:tr>
        <w:trPr/>
        <w:tc>
          <w:tcPr>
            <w:tcW w:w="643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9" w:type="dxa"/>
            <w:tcBorders/>
            <w:shd w:fill="CCEEFF" w:val="clear"/>
            <w:vAlign w:val="center"/>
          </w:tcPr>
          <w:p>
            <w:pPr>
              <w:pStyle w:val="TableContents"/>
              <w:bidi w:val="0"/>
              <w:spacing w:before="0" w:after="1"/>
              <w:ind w:left="0" w:right="0" w:hanging="0"/>
              <w:jc w:val="left"/>
              <w:rPr/>
            </w:pPr>
            <w:r>
              <w:rPr/>
              <w:t>​</w:t>
            </w:r>
          </w:p>
        </w:tc>
        <w:tc>
          <w:tcPr>
            <w:tcW w:w="90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38" w:type="dxa"/>
            <w:tcBorders/>
            <w:shd w:fill="CCEEFF" w:val="clear"/>
            <w:vAlign w:val="center"/>
          </w:tcPr>
          <w:p>
            <w:pPr>
              <w:pStyle w:val="TableContents"/>
              <w:bidi w:val="0"/>
              <w:spacing w:before="0" w:after="1"/>
              <w:ind w:left="0" w:right="0" w:hanging="0"/>
              <w:jc w:val="left"/>
              <w:rPr/>
            </w:pPr>
            <w:r>
              <w:rPr/>
              <w:t>​</w:t>
            </w:r>
          </w:p>
        </w:tc>
        <w:tc>
          <w:tcPr>
            <w:tcW w:w="932" w:type="dxa"/>
            <w:tcBorders/>
            <w:shd w:fill="CCEEFF" w:val="clear"/>
            <w:vAlign w:val="center"/>
          </w:tcPr>
          <w:p>
            <w:pPr>
              <w:pStyle w:val="TableContents"/>
              <w:bidi w:val="0"/>
              <w:spacing w:before="0" w:after="1"/>
              <w:ind w:left="0" w:right="0" w:hanging="0"/>
              <w:jc w:val="left"/>
              <w:rPr/>
            </w:pPr>
            <w:r>
              <w:rPr/>
              <w:t>​</w:t>
            </w:r>
          </w:p>
        </w:tc>
      </w:tr>
      <w:tr>
        <w:trPr/>
        <w:tc>
          <w:tcPr>
            <w:tcW w:w="643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xml:space="preserve">Reconciliation of Cash to the Consolidated Balance Sheets: </w:t>
            </w:r>
          </w:p>
        </w:tc>
        <w:tc>
          <w:tcPr>
            <w:tcW w:w="109" w:type="dxa"/>
            <w:tcBorders/>
            <w:vAlign w:val="center"/>
          </w:tcPr>
          <w:p>
            <w:pPr>
              <w:pStyle w:val="TableContents"/>
              <w:bidi w:val="0"/>
              <w:spacing w:before="0" w:after="1"/>
              <w:ind w:left="0" w:right="0" w:hanging="0"/>
              <w:jc w:val="left"/>
              <w:rPr/>
            </w:pPr>
            <w:r>
              <w:rPr/>
              <w:t>​</w:t>
            </w:r>
          </w:p>
        </w:tc>
        <w:tc>
          <w:tcPr>
            <w:tcW w:w="219" w:type="dxa"/>
            <w:tcBorders/>
            <w:vAlign w:val="center"/>
          </w:tcPr>
          <w:p>
            <w:pPr>
              <w:pStyle w:val="TableContents"/>
              <w:bidi w:val="0"/>
              <w:spacing w:before="0" w:after="1"/>
              <w:ind w:left="0" w:right="0" w:hanging="0"/>
              <w:jc w:val="left"/>
              <w:rPr/>
            </w:pPr>
            <w:r>
              <w:rPr/>
              <w:t>​</w:t>
            </w:r>
          </w:p>
        </w:tc>
        <w:tc>
          <w:tcPr>
            <w:tcW w:w="90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38" w:type="dxa"/>
            <w:tcBorders/>
            <w:vAlign w:val="center"/>
          </w:tcPr>
          <w:p>
            <w:pPr>
              <w:pStyle w:val="TableContents"/>
              <w:bidi w:val="0"/>
              <w:spacing w:before="0" w:after="1"/>
              <w:ind w:left="0" w:right="0" w:hanging="0"/>
              <w:jc w:val="left"/>
              <w:rPr/>
            </w:pPr>
            <w:r>
              <w:rPr/>
              <w:t>​</w:t>
            </w:r>
          </w:p>
        </w:tc>
        <w:tc>
          <w:tcPr>
            <w:tcW w:w="932" w:type="dxa"/>
            <w:tcBorders/>
            <w:vAlign w:val="center"/>
          </w:tcPr>
          <w:p>
            <w:pPr>
              <w:pStyle w:val="TableContents"/>
              <w:bidi w:val="0"/>
              <w:spacing w:before="0" w:after="1"/>
              <w:ind w:left="0" w:right="0" w:hanging="0"/>
              <w:jc w:val="left"/>
              <w:rPr/>
            </w:pPr>
            <w:r>
              <w:rPr/>
              <w:t>​</w:t>
            </w:r>
          </w:p>
        </w:tc>
      </w:tr>
      <w:tr>
        <w:trPr/>
        <w:tc>
          <w:tcPr>
            <w:tcW w:w="643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Cash and Cash Equivalents</w:t>
            </w:r>
          </w:p>
        </w:tc>
        <w:tc>
          <w:tcPr>
            <w:tcW w:w="109" w:type="dxa"/>
            <w:tcBorders/>
            <w:shd w:fill="CCEEFF" w:val="clear"/>
            <w:vAlign w:val="center"/>
          </w:tcPr>
          <w:p>
            <w:pPr>
              <w:pStyle w:val="TableContents"/>
              <w:bidi w:val="0"/>
              <w:spacing w:before="0" w:after="1"/>
              <w:ind w:left="0" w:right="0" w:hanging="0"/>
              <w:jc w:val="left"/>
              <w:rPr/>
            </w:pPr>
            <w:r>
              <w:rPr/>
              <w:t>​</w:t>
            </w:r>
          </w:p>
        </w:tc>
        <w:tc>
          <w:tcPr>
            <w:tcW w:w="21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2,778</w:t>
            </w:r>
          </w:p>
        </w:tc>
        <w:tc>
          <w:tcPr>
            <w:tcW w:w="109" w:type="dxa"/>
            <w:tcBorders/>
            <w:shd w:fill="CCEEFF" w:val="clear"/>
            <w:vAlign w:val="center"/>
          </w:tcPr>
          <w:p>
            <w:pPr>
              <w:pStyle w:val="TableContents"/>
              <w:bidi w:val="0"/>
              <w:spacing w:before="0" w:after="1"/>
              <w:ind w:left="0" w:right="0" w:hanging="0"/>
              <w:jc w:val="left"/>
              <w:rPr/>
            </w:pPr>
            <w:r>
              <w:rPr/>
              <w:t>​</w:t>
            </w:r>
          </w:p>
        </w:tc>
        <w:tc>
          <w:tcPr>
            <w:tcW w:w="238"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3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5,000</w:t>
            </w:r>
          </w:p>
        </w:tc>
      </w:tr>
      <w:tr>
        <w:trPr/>
        <w:tc>
          <w:tcPr>
            <w:tcW w:w="643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Restricted Cash</w:t>
            </w:r>
          </w:p>
        </w:tc>
        <w:tc>
          <w:tcPr>
            <w:tcW w:w="109" w:type="dxa"/>
            <w:tcBorders/>
            <w:vAlign w:val="center"/>
          </w:tcPr>
          <w:p>
            <w:pPr>
              <w:pStyle w:val="TableContents"/>
              <w:bidi w:val="0"/>
              <w:spacing w:before="0" w:after="1"/>
              <w:ind w:left="0" w:right="0" w:hanging="0"/>
              <w:jc w:val="left"/>
              <w:rPr/>
            </w:pPr>
            <w:r>
              <w:rPr/>
              <w:t>​</w:t>
            </w:r>
          </w:p>
        </w:tc>
        <w:tc>
          <w:tcPr>
            <w:tcW w:w="21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0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23,296</w:t>
            </w:r>
          </w:p>
        </w:tc>
        <w:tc>
          <w:tcPr>
            <w:tcW w:w="109" w:type="dxa"/>
            <w:tcBorders/>
            <w:vAlign w:val="center"/>
          </w:tcPr>
          <w:p>
            <w:pPr>
              <w:pStyle w:val="TableContents"/>
              <w:bidi w:val="0"/>
              <w:spacing w:before="0" w:after="1"/>
              <w:ind w:left="0" w:right="0" w:hanging="0"/>
              <w:jc w:val="left"/>
              <w:rPr/>
            </w:pPr>
            <w:r>
              <w:rPr/>
              <w:t>​</w:t>
            </w:r>
          </w:p>
        </w:tc>
        <w:tc>
          <w:tcPr>
            <w:tcW w:w="23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3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7,127</w:t>
            </w:r>
          </w:p>
        </w:tc>
      </w:tr>
      <w:tr>
        <w:trPr/>
        <w:tc>
          <w:tcPr>
            <w:tcW w:w="643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Cash</w:t>
            </w:r>
          </w:p>
        </w:tc>
        <w:tc>
          <w:tcPr>
            <w:tcW w:w="109" w:type="dxa"/>
            <w:tcBorders/>
            <w:shd w:fill="CCEEFF" w:val="clear"/>
            <w:vAlign w:val="center"/>
          </w:tcPr>
          <w:p>
            <w:pPr>
              <w:pStyle w:val="TableContents"/>
              <w:bidi w:val="0"/>
              <w:spacing w:before="0" w:after="1"/>
              <w:ind w:left="0" w:right="0" w:hanging="0"/>
              <w:jc w:val="left"/>
              <w:rPr/>
            </w:pPr>
            <w:r>
              <w:rPr/>
              <w:t>​</w:t>
            </w:r>
          </w:p>
        </w:tc>
        <w:tc>
          <w:tcPr>
            <w:tcW w:w="21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0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26,074</w:t>
            </w:r>
          </w:p>
        </w:tc>
        <w:tc>
          <w:tcPr>
            <w:tcW w:w="109" w:type="dxa"/>
            <w:tcBorders/>
            <w:shd w:fill="CCEEFF" w:val="clear"/>
            <w:vAlign w:val="center"/>
          </w:tcPr>
          <w:p>
            <w:pPr>
              <w:pStyle w:val="TableContents"/>
              <w:bidi w:val="0"/>
              <w:spacing w:before="0" w:after="1"/>
              <w:ind w:left="0" w:right="0" w:hanging="0"/>
              <w:jc w:val="left"/>
              <w:rPr/>
            </w:pPr>
            <w:r>
              <w:rPr/>
              <w:t>​</w:t>
            </w:r>
          </w:p>
        </w:tc>
        <w:tc>
          <w:tcPr>
            <w:tcW w:w="23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32" w:type="dxa"/>
            <w:tcBorders>
              <w:bottom w:val="double" w:sz="6" w:space="0" w:color="000000"/>
            </w:tcBorders>
            <w:shd w:fill="CCEEFF" w:val="clear"/>
            <w:tcMar>
              <w:bottom w:w="28" w:type="dxa"/>
            </w:tcMar>
            <w:vAlign w:val="center"/>
          </w:tcPr>
          <w:p>
            <w:pPr>
              <w:pStyle w:val="TableContents"/>
              <w:bidi w:val="0"/>
              <w:spacing w:before="0" w:after="1"/>
              <w:ind w:left="0" w:right="48" w:hanging="0"/>
              <w:jc w:val="right"/>
              <w:rPr>
                <w:rFonts w:ascii="Times New Roman;Times;serif" w:hAnsi="Times New Roman;Times;serif"/>
                <w:sz w:val="16"/>
              </w:rPr>
            </w:pPr>
            <w:r>
              <w:rPr>
                <w:rFonts w:ascii="Times New Roman;Times;serif" w:hAnsi="Times New Roman;Times;serif"/>
                <w:sz w:val="16"/>
              </w:rPr>
              <w:t>12,127</w:t>
            </w:r>
          </w:p>
        </w:tc>
      </w:tr>
    </w:tbl>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accompanying notes are an integral part of these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ALPINE INCOME PROPERTY TRUST, INC.</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CONSOLIDATED STATEMENTS OF CASH FLOWS (Continued)</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(Unaudited, in thousands)</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900" w:name="Tc_VNY46KkRoEqJEU5RajJH1g_8_3"/>
      <w:bookmarkStart w:id="901" w:name="Tc_kOWPE2sW2U-W1xo9JVlNTg_8_0"/>
      <w:bookmarkStart w:id="902" w:name="Tc_PUWeLF1DM0unY-xRgBVlPA_7_5"/>
      <w:bookmarkStart w:id="903" w:name="Tc_Md_PhZxsDk2XGF4kbEHWoA_7_2"/>
      <w:bookmarkStart w:id="904" w:name="Tc_AIPWrbASpEueuNwVqDLdCg_6_0"/>
      <w:bookmarkStart w:id="905" w:name="Tc_qW6caYFruE6tmcOi2uZvNQ_4_5"/>
      <w:bookmarkStart w:id="906" w:name="Tc_THr7eJ89fEWGnpwiZ3f9ow_4_2"/>
      <w:bookmarkStart w:id="907" w:name="Tc_-f0QJy8DsE2DDO0mkXXkzg_4_0"/>
      <w:bookmarkStart w:id="908" w:name="Tc_5IXM_f_mQk-VsQTpDFXZYQ_3_0"/>
      <w:bookmarkStart w:id="909" w:name="Tc_MaPF92TVPU2QJC7ArHBuxg_2_5"/>
      <w:bookmarkStart w:id="910" w:name="Tc_s3pB8fwiR0KoLg-yeSmHrQ_2_2"/>
      <w:bookmarkStart w:id="911" w:name="Tc_W_aHYM7tGUGry7cvRFQAaA_1_2"/>
      <w:bookmarkStart w:id="912" w:name="_4d046adb_13d4_4bcd_9aec_34a9f4e37be9"/>
      <w:bookmarkStart w:id="913" w:name="Tc_VNY46KkRoEqJEU5RajJH1g_8_3"/>
      <w:bookmarkStart w:id="914" w:name="Tc_kOWPE2sW2U-W1xo9JVlNTg_8_0"/>
      <w:bookmarkStart w:id="915" w:name="Tc_PUWeLF1DM0unY-xRgBVlPA_7_5"/>
      <w:bookmarkStart w:id="916" w:name="Tc_Md_PhZxsDk2XGF4kbEHWoA_7_2"/>
      <w:bookmarkStart w:id="917" w:name="Tc_AIPWrbASpEueuNwVqDLdCg_6_0"/>
      <w:bookmarkStart w:id="918" w:name="Tc_qW6caYFruE6tmcOi2uZvNQ_4_5"/>
      <w:bookmarkStart w:id="919" w:name="Tc_THr7eJ89fEWGnpwiZ3f9ow_4_2"/>
      <w:bookmarkStart w:id="920" w:name="Tc_-f0QJy8DsE2DDO0mkXXkzg_4_0"/>
      <w:bookmarkStart w:id="921" w:name="Tc_5IXM_f_mQk-VsQTpDFXZYQ_3_0"/>
      <w:bookmarkStart w:id="922" w:name="Tc_MaPF92TVPU2QJC7ArHBuxg_2_5"/>
      <w:bookmarkStart w:id="923" w:name="Tc_s3pB8fwiR0KoLg-yeSmHrQ_2_2"/>
      <w:bookmarkStart w:id="924" w:name="Tc_W_aHYM7tGUGry7cvRFQAaA_1_2"/>
      <w:bookmarkStart w:id="925" w:name="_4d046adb_13d4_4bcd_9aec_34a9f4e37be9"/>
      <w:bookmarkEnd w:id="913"/>
      <w:bookmarkEnd w:id="914"/>
      <w:bookmarkEnd w:id="915"/>
      <w:bookmarkEnd w:id="916"/>
      <w:bookmarkEnd w:id="917"/>
      <w:bookmarkEnd w:id="918"/>
      <w:bookmarkEnd w:id="919"/>
      <w:bookmarkEnd w:id="920"/>
      <w:bookmarkEnd w:id="921"/>
      <w:bookmarkEnd w:id="922"/>
      <w:bookmarkEnd w:id="923"/>
      <w:bookmarkEnd w:id="924"/>
      <w:bookmarkEnd w:id="925"/>
    </w:p>
    <w:tbl>
      <w:tblPr>
        <w:tblW w:w="7779" w:type="dxa"/>
        <w:jc w:val="left"/>
        <w:tblInd w:w="0" w:type="dxa"/>
        <w:tblLayout w:type="fixed"/>
        <w:tblCellMar>
          <w:top w:w="0" w:type="dxa"/>
          <w:left w:w="0" w:type="dxa"/>
          <w:bottom w:w="0" w:type="dxa"/>
          <w:right w:w="0" w:type="dxa"/>
        </w:tblCellMar>
      </w:tblPr>
      <w:tblGrid>
        <w:gridCol w:w="5266"/>
        <w:gridCol w:w="109"/>
        <w:gridCol w:w="310"/>
        <w:gridCol w:w="815"/>
        <w:gridCol w:w="109"/>
        <w:gridCol w:w="263"/>
        <w:gridCol w:w="907"/>
      </w:tblGrid>
      <w:tr>
        <w:trPr/>
        <w:tc>
          <w:tcPr>
            <w:tcW w:w="5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3343910" cy="175260"/>
                      <wp:effectExtent l="0" t="0" r="0" b="0"/>
                      <wp:wrapNone/>
                      <wp:docPr id="136" name="Frame136"/>
                      <a:graphic xmlns:a="http://schemas.openxmlformats.org/drawingml/2006/main">
                        <a:graphicData uri="http://schemas.microsoft.com/office/word/2010/wordprocessingShape">
                          <wps:wsp>
                            <wps:cNvSpPr txBox="1"/>
                            <wps:spPr>
                              <a:xfrm>
                                <a:off x="0" y="0"/>
                                <a:ext cx="3343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9215" cy="175260"/>
                      <wp:effectExtent l="0" t="0" r="0" b="0"/>
                      <wp:wrapNone/>
                      <wp:docPr id="137" name="Frame13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196850" cy="175260"/>
                      <wp:effectExtent l="0" t="0" r="0" b="0"/>
                      <wp:wrapNone/>
                      <wp:docPr id="138" name="Frame138"/>
                      <a:graphic xmlns:a="http://schemas.openxmlformats.org/drawingml/2006/main">
                        <a:graphicData uri="http://schemas.microsoft.com/office/word/2010/wordprocessingShape">
                          <wps:wsp>
                            <wps:cNvSpPr txBox="1"/>
                            <wps:spPr>
                              <a:xfrm>
                                <a:off x="0" y="0"/>
                                <a:ext cx="1968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517525" cy="175260"/>
                      <wp:effectExtent l="0" t="0" r="0" b="0"/>
                      <wp:wrapNone/>
                      <wp:docPr id="139" name="Frame139"/>
                      <a:graphic xmlns:a="http://schemas.openxmlformats.org/drawingml/2006/main">
                        <a:graphicData uri="http://schemas.microsoft.com/office/word/2010/wordprocessingShape">
                          <wps:wsp>
                            <wps:cNvSpPr txBox="1"/>
                            <wps:spPr>
                              <a:xfrm>
                                <a:off x="0" y="0"/>
                                <a:ext cx="5175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9215" cy="175260"/>
                      <wp:effectExtent l="0" t="0" r="0" b="0"/>
                      <wp:wrapNone/>
                      <wp:docPr id="140" name="Frame14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167005" cy="175260"/>
                      <wp:effectExtent l="0" t="0" r="0" b="0"/>
                      <wp:wrapNone/>
                      <wp:docPr id="141" name="Frame141"/>
                      <a:graphic xmlns:a="http://schemas.openxmlformats.org/drawingml/2006/main">
                        <a:graphicData uri="http://schemas.microsoft.com/office/word/2010/wordprocessingShape">
                          <wps:wsp>
                            <wps:cNvSpPr txBox="1"/>
                            <wps:spPr>
                              <a:xfrm>
                                <a:off x="0" y="0"/>
                                <a:ext cx="1670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575945" cy="175260"/>
                      <wp:effectExtent l="0" t="0" r="0" b="0"/>
                      <wp:wrapNone/>
                      <wp:docPr id="142" name="Frame142"/>
                      <a:graphic xmlns:a="http://schemas.openxmlformats.org/drawingml/2006/main">
                        <a:graphicData uri="http://schemas.microsoft.com/office/word/2010/wordprocessingShape">
                          <wps:wsp>
                            <wps:cNvSpPr txBox="1"/>
                            <wps:spPr>
                              <a:xfrm>
                                <a:off x="0" y="0"/>
                                <a:ext cx="5759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26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40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w:t>
            </w:r>
          </w:p>
        </w:tc>
      </w:tr>
      <w:tr>
        <w:trPr/>
        <w:tc>
          <w:tcPr>
            <w:tcW w:w="526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1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2026</w:t>
            </w:r>
          </w:p>
        </w:tc>
        <w:tc>
          <w:tcPr>
            <w:tcW w:w="109" w:type="dxa"/>
            <w:tcBorders/>
            <w:vAlign w:val="center"/>
          </w:tcPr>
          <w:p>
            <w:pPr>
              <w:pStyle w:val="TableContents"/>
              <w:bidi w:val="0"/>
              <w:spacing w:before="0" w:after="0"/>
              <w:ind w:left="0" w:right="0" w:hanging="0"/>
              <w:jc w:val="left"/>
              <w:rPr/>
            </w:pPr>
            <w:r>
              <w:rPr/>
              <w:t>​</w:t>
            </w:r>
          </w:p>
        </w:tc>
        <w:tc>
          <w:tcPr>
            <w:tcW w:w="11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2025</w:t>
            </w:r>
          </w:p>
        </w:tc>
      </w:tr>
      <w:tr>
        <w:trPr/>
        <w:tc>
          <w:tcPr>
            <w:tcW w:w="526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Supplemental Disclosure of Cash Flow Information: </w:t>
            </w:r>
          </w:p>
        </w:tc>
        <w:tc>
          <w:tcPr>
            <w:tcW w:w="109"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right"/>
              <w:rPr/>
            </w:pPr>
            <w:r>
              <w:rPr/>
              <w:t>​</w:t>
            </w:r>
          </w:p>
        </w:tc>
        <w:tc>
          <w:tcPr>
            <w:tcW w:w="815"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63" w:type="dxa"/>
            <w:tcBorders/>
            <w:shd w:fill="CCEEFF" w:val="clear"/>
            <w:vAlign w:val="center"/>
          </w:tcPr>
          <w:p>
            <w:pPr>
              <w:pStyle w:val="TableContents"/>
              <w:bidi w:val="0"/>
              <w:spacing w:before="0" w:after="0"/>
              <w:ind w:left="0" w:right="0" w:hanging="0"/>
              <w:jc w:val="right"/>
              <w:rPr/>
            </w:pPr>
            <w:r>
              <w:rPr/>
              <w:t>​</w:t>
            </w:r>
          </w:p>
        </w:tc>
        <w:tc>
          <w:tcPr>
            <w:tcW w:w="907" w:type="dxa"/>
            <w:tcBorders/>
            <w:shd w:fill="CCEEFF" w:val="clear"/>
            <w:vAlign w:val="center"/>
          </w:tcPr>
          <w:p>
            <w:pPr>
              <w:pStyle w:val="TableContents"/>
              <w:bidi w:val="0"/>
              <w:spacing w:before="0" w:after="0"/>
              <w:ind w:left="0" w:right="0" w:hanging="0"/>
              <w:jc w:val="right"/>
              <w:rPr/>
            </w:pPr>
            <w:r>
              <w:rPr/>
              <w:t>​</w:t>
            </w:r>
          </w:p>
        </w:tc>
      </w:tr>
      <w:tr>
        <w:trPr/>
        <w:tc>
          <w:tcPr>
            <w:tcW w:w="526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Paid for Interest</w:t>
            </w:r>
          </w:p>
        </w:tc>
        <w:tc>
          <w:tcPr>
            <w:tcW w:w="109"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81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9,057</w:t>
            </w:r>
          </w:p>
        </w:tc>
        <w:tc>
          <w:tcPr>
            <w:tcW w:w="109" w:type="dxa"/>
            <w:tcBorders/>
            <w:vAlign w:val="center"/>
          </w:tcPr>
          <w:p>
            <w:pPr>
              <w:pStyle w:val="TableContents"/>
              <w:bidi w:val="0"/>
              <w:spacing w:before="0" w:after="0"/>
              <w:ind w:left="0" w:right="0" w:hanging="0"/>
              <w:jc w:val="left"/>
              <w:rPr/>
            </w:pPr>
            <w:r>
              <w:rPr/>
              <w:t>​</w:t>
            </w:r>
          </w:p>
        </w:tc>
        <w:tc>
          <w:tcPr>
            <w:tcW w:w="26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90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6,683</w:t>
            </w:r>
          </w:p>
        </w:tc>
      </w:tr>
      <w:tr>
        <w:trPr/>
        <w:tc>
          <w:tcPr>
            <w:tcW w:w="526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right"/>
              <w:rPr/>
            </w:pPr>
            <w:r>
              <w:rPr/>
              <w:t>​</w:t>
            </w:r>
          </w:p>
        </w:tc>
        <w:tc>
          <w:tcPr>
            <w:tcW w:w="815"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63" w:type="dxa"/>
            <w:tcBorders/>
            <w:shd w:fill="CCEEFF" w:val="clear"/>
            <w:vAlign w:val="center"/>
          </w:tcPr>
          <w:p>
            <w:pPr>
              <w:pStyle w:val="TableContents"/>
              <w:bidi w:val="0"/>
              <w:spacing w:before="0" w:after="0"/>
              <w:ind w:left="0" w:right="0" w:hanging="0"/>
              <w:jc w:val="right"/>
              <w:rPr/>
            </w:pPr>
            <w:r>
              <w:rPr/>
              <w:t>​</w:t>
            </w:r>
          </w:p>
        </w:tc>
        <w:tc>
          <w:tcPr>
            <w:tcW w:w="907" w:type="dxa"/>
            <w:tcBorders/>
            <w:shd w:fill="CCEEFF" w:val="clear"/>
            <w:vAlign w:val="center"/>
          </w:tcPr>
          <w:p>
            <w:pPr>
              <w:pStyle w:val="TableContents"/>
              <w:bidi w:val="0"/>
              <w:spacing w:before="0" w:after="0"/>
              <w:ind w:left="0" w:right="0" w:hanging="0"/>
              <w:jc w:val="right"/>
              <w:rPr/>
            </w:pPr>
            <w:r>
              <w:rPr/>
              <w:t>​</w:t>
            </w:r>
          </w:p>
        </w:tc>
      </w:tr>
      <w:tr>
        <w:trPr/>
        <w:tc>
          <w:tcPr>
            <w:tcW w:w="526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Supplemental Disclosure of Non-Cash Investing and Financing Activities: </w:t>
            </w:r>
          </w:p>
        </w:tc>
        <w:tc>
          <w:tcPr>
            <w:tcW w:w="109"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right"/>
              <w:rPr/>
            </w:pPr>
            <w:r>
              <w:rPr/>
              <w:t>​</w:t>
            </w:r>
          </w:p>
        </w:tc>
        <w:tc>
          <w:tcPr>
            <w:tcW w:w="81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63" w:type="dxa"/>
            <w:tcBorders/>
            <w:vAlign w:val="center"/>
          </w:tcPr>
          <w:p>
            <w:pPr>
              <w:pStyle w:val="TableContents"/>
              <w:bidi w:val="0"/>
              <w:spacing w:before="0" w:after="0"/>
              <w:ind w:left="0" w:right="0" w:hanging="0"/>
              <w:jc w:val="right"/>
              <w:rPr/>
            </w:pPr>
            <w:r>
              <w:rPr/>
              <w:t>​</w:t>
            </w:r>
          </w:p>
        </w:tc>
        <w:tc>
          <w:tcPr>
            <w:tcW w:w="907" w:type="dxa"/>
            <w:tcBorders/>
            <w:vAlign w:val="center"/>
          </w:tcPr>
          <w:p>
            <w:pPr>
              <w:pStyle w:val="TableContents"/>
              <w:bidi w:val="0"/>
              <w:spacing w:before="0" w:after="0"/>
              <w:ind w:left="0" w:right="0" w:hanging="0"/>
              <w:jc w:val="right"/>
              <w:rPr/>
            </w:pPr>
            <w:r>
              <w:rPr/>
              <w:t>​</w:t>
            </w:r>
          </w:p>
        </w:tc>
      </w:tr>
      <w:tr>
        <w:trPr/>
        <w:tc>
          <w:tcPr>
            <w:tcW w:w="526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Unrealized Gain (Loss) on Cash Flow Hedge</w:t>
            </w:r>
          </w:p>
        </w:tc>
        <w:tc>
          <w:tcPr>
            <w:tcW w:w="109"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81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1,990</w:t>
            </w:r>
          </w:p>
        </w:tc>
        <w:tc>
          <w:tcPr>
            <w:tcW w:w="109" w:type="dxa"/>
            <w:tcBorders/>
            <w:shd w:fill="CCEEFF" w:val="clear"/>
            <w:vAlign w:val="center"/>
          </w:tcPr>
          <w:p>
            <w:pPr>
              <w:pStyle w:val="TableContents"/>
              <w:bidi w:val="0"/>
              <w:spacing w:before="0" w:after="0"/>
              <w:ind w:left="0" w:right="0" w:hanging="0"/>
              <w:jc w:val="left"/>
              <w:rPr/>
            </w:pPr>
            <w:r>
              <w:rPr/>
              <w:t>​</w:t>
            </w:r>
          </w:p>
        </w:tc>
        <w:tc>
          <w:tcPr>
            <w:tcW w:w="26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90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(3,703)</w:t>
            </w:r>
          </w:p>
        </w:tc>
      </w:tr>
      <w:tr>
        <w:trPr/>
        <w:tc>
          <w:tcPr>
            <w:tcW w:w="526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Accrued Tenant Improvements</w:t>
            </w:r>
          </w:p>
        </w:tc>
        <w:tc>
          <w:tcPr>
            <w:tcW w:w="109"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right"/>
              <w:rPr/>
            </w:pPr>
            <w:r>
              <w:rPr/>
              <w:t>​</w:t>
            </w:r>
          </w:p>
        </w:tc>
        <w:tc>
          <w:tcPr>
            <w:tcW w:w="81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63" w:type="dxa"/>
            <w:tcBorders/>
            <w:vAlign w:val="center"/>
          </w:tcPr>
          <w:p>
            <w:pPr>
              <w:pStyle w:val="TableContents"/>
              <w:bidi w:val="0"/>
              <w:spacing w:before="0" w:after="0"/>
              <w:ind w:left="0" w:right="0" w:hanging="0"/>
              <w:jc w:val="right"/>
              <w:rPr/>
            </w:pPr>
            <w:r>
              <w:rPr/>
              <w:t>​</w:t>
            </w:r>
          </w:p>
        </w:tc>
        <w:tc>
          <w:tcPr>
            <w:tcW w:w="907" w:type="dxa"/>
            <w:tcBorders/>
            <w:vAlign w:val="center"/>
          </w:tcPr>
          <w:p>
            <w:pPr>
              <w:pStyle w:val="TableContents"/>
              <w:bidi w:val="0"/>
              <w:spacing w:before="0" w:after="0"/>
              <w:ind w:left="0" w:right="48" w:hanging="0"/>
              <w:jc w:val="right"/>
              <w:rPr>
                <w:rFonts w:ascii="Times New Roman;Times;serif" w:hAnsi="Times New Roman;Times;serif"/>
                <w:sz w:val="16"/>
              </w:rPr>
            </w:pPr>
            <w:r>
              <w:rPr>
                <w:rFonts w:ascii="Times New Roman;Times;serif" w:hAnsi="Times New Roman;Times;serif"/>
                <w:sz w:val="16"/>
              </w:rPr>
              <w:t>5,000</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accompanying notes are an integral part of these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926" w:name="NOTESTOCONSOLIDATEDFINANCIALSTATEMENTSUN"/>
      <w:bookmarkStart w:id="927" w:name="_3a6568cb_f68d_4cd9_8ffd_2a65e94ce94e"/>
      <w:bookmarkEnd w:id="926"/>
      <w:bookmarkEnd w:id="927"/>
      <w:r>
        <w:rPr>
          <w:rFonts w:ascii="Times New Roman;Times;serif" w:hAnsi="Times New Roman;Times;serif"/>
          <w:b/>
          <w:sz w:val="20"/>
        </w:rPr>
        <w:t>NOTES TO CONSOLIDATED FINANCIAL STATEMENTS (UNAUDITED)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1. BUSINESS AND ORGANIZATION</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BUSINESS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Alpine Income Property Trust, Inc. (the “Company” or “PINE”) is a real estate investment trust (“REIT”) that owns and operates a high-quality portfolio of commercial net lease properties complemented by a portfolio of commercial loan investments. The terms “us,” “we,” “our,” and “the Company” as used in this report refer to Alpine Income Property Trust, Inc. together with our consolidated subsidiaries.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income property portfolio consists of 128 net leased properties located in 31 states. The properties in our portfolio are primarily subject to long-term, net leases, which generally require the tenant to pay directly or reimburse us for property operating expenses such as real estate taxes, insurance, assessments and other governmental fees, utilities, repairs and maintenance and certain capital expenditures. The Company also originates and acquires commercial loans and investments. Our investments in commercial loans are generally secured by real estate or the borrower’s pledge of its ownership interest in an entity that owns real estate. As more fully described in Note 4, “Commercial Loans and Investments,” the four Sale-Leaseback Properties and the 2026 Sales-Type Lease (defined in Note 4 below), are accounted for as financing arrangements. However, because the Sale-Leaseback Properties and the 2026 Sales-Type Lease constitute real estate assets for both legal and tax purposes, we include the Sale-Leaseback Properties and the 2026 Sales-Type Lease in the property portfolio when describing our property portfolio and for purposes of providing statistics related thereto.</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operates in two primary business segments: income properties and commercial loans and investments.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has no employees and is externally managed by Alpine Income Property Manager, LLC, a Delaware limited liability company and a wholly owned subsidiary of CTO Realty Growth, Inc. (our “Manager”). CTO Realty Growth, Inc. (NYSE: CTO) is a Maryland corporation that is a publicly traded REIT and the sole member of our Manager (“CTO”). All of our executive officers also serve as executive officers of CTO, and one of our executive officers and directors, John P. Albright, also serves as an executive officer and director of CTO.</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ORGANIZATION</w:t>
      </w:r>
    </w:p>
    <w:p>
      <w:pPr>
        <w:pStyle w:val="TextBody"/>
        <w:bidi w:val="0"/>
        <w:spacing w:before="0" w:after="240"/>
        <w:ind w:left="0" w:right="0" w:firstLine="360"/>
        <w:jc w:val="both"/>
        <w:rPr>
          <w:rFonts w:ascii="Times New Roman;Times;serif" w:hAnsi="Times New Roman;Times;serif"/>
          <w:sz w:val="20"/>
          <w:shd w:fill="FFFFFF" w:val="clear"/>
        </w:rPr>
      </w:pPr>
      <w:r>
        <w:rPr>
          <w:rFonts w:ascii="Times New Roman;Times;serif" w:hAnsi="Times New Roman;Times;serif"/>
          <w:sz w:val="20"/>
          <w:shd w:fill="FFFFFF" w:val="clear"/>
        </w:rPr>
        <w:t>The Company is a Maryland corporation that was formed on August 19, 2019. On November 26, 2019, the Company closed its initial public offering (“IPO”). We are externally managed by our Manager and conduct the substantial majority of our operations through Alpine Income Property OP, LP (the “Operating Partnership”). Our wholly owned subsidiary, Alpine Income Property GP, LLC (“PINE GP”), is the sole general partner of the Operating Partnership. Substantially all of our assets are held by, and our operations are conducted through, the Operating Partnership. As of June 30, 2026, we have a total common ownership interest in the Operating Partnership of 93.5%, with CTO holding, directly and indirectly, a 6.5% common ownership interest in the Operating Partnership. We also own 100% of the Series A Preferred Units of the Operating Partnership underlying the Series A Preferred Stock (hereinafter defined). Our interest in the Operating Partnership generally entitles us to share in cash distributions from, and in the profits and losses of, the Operating Partnership in proportion to our percentage ownership. We, through PINE GP, generally have the exclusive power under the partnership agreement to manage and conduct the business and affairs of the Operating Partnership, subject to certain approval and voting rights of the limited partners. Our Board of Directors (the “Board”) oversees our business and affairs.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 has elected to be taxed as a REIT for U.S. federal income tax purposes under the Internal Revenue Code of 1986, as amended (the “Code”). To qualify as a REIT, the Company must meet certain organizational and operational requirements, including a requirement to distribute at least 90% of the Company’s annual REIT taxable income, determined without regard to the dividends paid deduction and excluding net capital gain, to its stockholders (which does not necessarily equal net income as calculated in accordance with generally accepted accounting principles). As a REIT, the Company is generally not subject to U.S. federal corporate income tax to the extent of its distributions to stockholders. If the Company fails to qualify as a REIT in any taxable year, the Company will be subject to U.S. federal income tax on its taxable income at regular corporate rates and generally will not be permitted to qualify for treatment as a REIT for the four taxable years following the year during which qualification is lost unless the Internal Revenue Service grants the Company relief under certain statutory provisions. Such an event could materially adversely affect the Company’s net income and net cash available for distribution to stockholders. Even if the Company qualifies for taxation as a REIT, the Company may be subject to state and local taxes on its income and property and federal income and excise taxes on its undistributed income.</w:t>
      </w:r>
    </w:p>
    <w:p>
      <w:pPr>
        <w:pStyle w:val="TextBody"/>
        <w:bidi w:val="0"/>
        <w:spacing w:before="0" w:after="240"/>
        <w:ind w:left="0" w:right="0" w:hanging="0"/>
        <w:jc w:val="both"/>
        <w:rPr/>
      </w:pPr>
      <w:r>
        <w:rPr/>
        <w:t> </w:t>
      </w:r>
    </w:p>
    <w:p>
      <w:pPr>
        <w:pStyle w:val="TextBody"/>
        <w:bidi w:val="0"/>
        <w:spacing w:before="0" w:after="240"/>
        <w:ind w:left="0" w:right="0" w:hanging="0"/>
        <w:jc w:val="left"/>
        <w:rPr>
          <w:rFonts w:ascii="Times New Roman;Times;serif" w:hAnsi="Times New Roman;Times;serif"/>
          <w:b/>
          <w:sz w:val="20"/>
        </w:rPr>
      </w:pPr>
      <w:bookmarkStart w:id="928" w:name="_6300cac1_0ad8_4fa1_874c_4a396f594d17_5"/>
      <w:bookmarkStart w:id="929" w:name="_6300cac1_0ad8_4fa1_874c_4a396f594d17_4"/>
      <w:bookmarkStart w:id="930" w:name="_6300cac1_0ad8_4fa1_874c_4a396f594d17_3"/>
      <w:bookmarkStart w:id="931" w:name="_6300cac1_0ad8_4fa1_874c_4a396f594d17_2"/>
      <w:bookmarkStart w:id="932" w:name="_6300cac1_0ad8_4fa1_874c_4a396f594d17"/>
      <w:bookmarkEnd w:id="928"/>
      <w:bookmarkEnd w:id="929"/>
      <w:bookmarkEnd w:id="930"/>
      <w:bookmarkEnd w:id="931"/>
      <w:bookmarkEnd w:id="932"/>
      <w:r>
        <w:rPr>
          <w:rFonts w:ascii="Times New Roman;Times;serif" w:hAnsi="Times New Roman;Times;serif"/>
          <w:b/>
          <w:sz w:val="20"/>
        </w:rPr>
        <w:t>NOTE 2. SUMMARY OF SIGNIFICANT ACCOUNTING POLICIES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PRINCIPLES OF CONSOLIDATION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consolidated financial statements include the accounts of the Company, its wholly owned subsidiaries, and other entities in which we have a controlling interest. All inter-company balances and transactions have been eliminated in the consolidated financial statements.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SEGMENT REPORTING</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Financial Accounting Standards Board </w:t>
      </w:r>
      <w:r>
        <w:rPr>
          <w:rFonts w:ascii="Times New Roman;Times;serif" w:hAnsi="Times New Roman;Times;serif"/>
          <w:i/>
          <w:sz w:val="20"/>
        </w:rPr>
        <w:t>Accounting Standards Codification</w:t>
      </w:r>
      <w:r>
        <w:rPr>
          <w:rFonts w:ascii="Times New Roman;Times;serif" w:hAnsi="Times New Roman;Times;serif"/>
          <w:sz w:val="20"/>
        </w:rPr>
        <w:t xml:space="preserve"> (“FASB ASC”) Topic 280, </w:t>
      </w:r>
      <w:r>
        <w:rPr>
          <w:rFonts w:ascii="Times New Roman;Times;serif" w:hAnsi="Times New Roman;Times;serif"/>
          <w:i/>
          <w:sz w:val="20"/>
        </w:rPr>
        <w:t>Segment Reporting</w:t>
      </w:r>
      <w:r>
        <w:rPr>
          <w:rFonts w:ascii="Times New Roman;Times;serif" w:hAnsi="Times New Roman;Times;serif"/>
          <w:sz w:val="20"/>
        </w:rPr>
        <w:t>, establishes standards related to the manner in which enterprises report operating segment information. The Company operates in two primary business segments including income properties and commercial loans and investments, as further discussed within Note 21, “Business Segment Data”. The Company has no other reportable segments. The Company’s chief executive officer, who is the Company’s chief operating decision maker (“CODM”), reviews financial information on a disaggregated basis for purposes of allocating and evaluating financial performance.</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USE OF ESTIMATES IN THE PREPARATION OF FINANCIAL STATEMENTS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presented. Actual results could differ from those estimates.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Among other factors, fluctuating market conditions that can exist in the national real estate markets and the volatility and uncertainty in the financial and credit markets make it possible that the estimates and assumptions, most notably those related to PINE’s investment in properties, could change materially.</w:t>
      </w:r>
    </w:p>
    <w:p>
      <w:pPr>
        <w:pStyle w:val="TextBody"/>
        <w:bidi w:val="0"/>
        <w:spacing w:before="0" w:after="240"/>
        <w:ind w:left="0" w:right="0" w:hanging="0"/>
        <w:jc w:val="both"/>
        <w:rPr>
          <w:rFonts w:ascii="Times New Roman;Times;serif" w:hAnsi="Times New Roman;Times;serif"/>
          <w:b w:val="false"/>
          <w:i/>
          <w:sz w:val="20"/>
        </w:rPr>
      </w:pPr>
      <w:r>
        <w:rPr>
          <w:rFonts w:ascii="Times New Roman;Times;serif" w:hAnsi="Times New Roman;Times;serif"/>
          <w:b w:val="false"/>
          <w:i/>
          <w:sz w:val="20"/>
        </w:rPr>
        <w:t>REAL ESTATE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Company’s real estate assets are comprised of the properties in its portfolio, and are carried at cost, less accumulated depreciation, amortization, and impairment losses, if any. Such properties are depreciated on a straight-line basis over their estimated useful lives. Renewals and betterments are capitalized to the applicable property accounts. The cost of maintenance and repairs is expensed as incurred. The cost of property retired or otherwise disposed of, and the related accumulated depreciation or amortization, are removed from the accounts, and any resulting gain or loss is recorded in the statement of operations. The amount of depreciation of real estate, exclusive of amortization related to intangible assets, recognized for the three months ended June 30, 2026 and 2025, was $4.3 million and $4.6 million, respectively. The amount of depreciation of real estate, exclusive of amortization related to intangible assets, recognized for the six months ended June 30, 2026 and 2025, was $8.9 million and $9.4 million, respectively.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val="false"/>
          <w:i/>
          <w:sz w:val="20"/>
        </w:rPr>
      </w:pPr>
      <w:r>
        <w:rPr>
          <w:rFonts w:ascii="Times New Roman;Times;serif" w:hAnsi="Times New Roman;Times;serif"/>
          <w:b w:val="false"/>
          <w:i/>
          <w:sz w:val="20"/>
        </w:rPr>
        <w:t>LONG-LIVED ASSETS</w:t>
      </w:r>
    </w:p>
    <w:p>
      <w:pPr>
        <w:pStyle w:val="TextBody"/>
        <w:bidi w:val="0"/>
        <w:spacing w:before="0" w:after="240"/>
        <w:ind w:left="0" w:right="0" w:firstLine="360"/>
        <w:jc w:val="both"/>
        <w:rPr/>
      </w:pPr>
      <w:r>
        <w:rPr/>
        <w:t> </w:t>
      </w:r>
      <w:r>
        <w:rPr>
          <w:rFonts w:ascii="Times New Roman;Times;serif" w:hAnsi="Times New Roman;Times;serif"/>
          <w:sz w:val="20"/>
        </w:rPr>
        <w:t xml:space="preserve">The Company follows FASB ASC Topic 360-10, </w:t>
      </w:r>
      <w:r>
        <w:rPr>
          <w:rFonts w:ascii="Times New Roman;Times;serif" w:hAnsi="Times New Roman;Times;serif"/>
          <w:i/>
          <w:sz w:val="20"/>
        </w:rPr>
        <w:t>Property, Plant, and Equipment,</w:t>
      </w:r>
      <w:r>
        <w:rPr>
          <w:rFonts w:ascii="Times New Roman;Times;serif" w:hAnsi="Times New Roman;Times;serif"/>
          <w:sz w:val="20"/>
        </w:rPr>
        <w:t xml:space="preserve"> in conducting its impairment analyses. The Company reviews the recoverability of long-lived assets, primarily real estate, and real estate held for sale, for impairment whenever events or changes in circumstances indicate that the carrying amount of an asset may not be recoverable. Examples of situations considered to be triggering events include: a substantial decline in operating cash flows during the period, a current or projected loss from operations, a property not fully leased or leased at rates that are less than current market rates, and any other quantitative or qualitative events deemed significant by management. Long-lived assets are evaluated for impairment by using an undiscounted cash flow approach, which considers future estimated capital expenditures. Impairment of long-lived assets is measured at the difference of carrying value and fair value less cost to sell.</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PURCHASE ACCOUNTING FOR ACQUISITIONS OF REAL ESTATE SUBJECT TO A LEASE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Investments in real estate are carried at cost less accumulated depreciation, amortization, and impairment losses, if any. The cost of investments in real estate reflects their purchase price or development cost. We evaluate each acquisition transaction to determine whether the acquired asset meets the definition of a business. Under Accounting Standards Update (“ASU”) 2017-01, Business Combinations (Topic 805): Clarifying the Definition of a Business, an acquisition does not qualify as a business when there is no substantive process acquired or substantially all of the fair value is concentrated in a single identifiable asset or group of similar identifiable assets or the acquisition does not include a substantive process in the form of an acquired workforce or an acquired contract that cannot be replaced without significant cost, effort or delay. Transaction costs related to acquisitions that are asset acquisitions are capitalized as part of the cost basis of the acquired assets, while transaction costs for acquisitions that are deemed to be acquisitions of a business are expensed as incurred. Improvements and replacements are capitalized when they extend the useful life or improve the productive capacity of the asset. Costs of repairs and maintenance are expensed as incurred.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accordance with FASB guidance, the fair value of the real estate acquired with in-place leases is allocated to the acquired tangible assets, consisting of land, building and tenant improvements, and identified intangible assets and liabilities, consisting of the value of above-market and below-market leases, the value of in-place leases, and the value of leasing costs, based in each case on their relative fair values. In allocating the fair value of the identified intangible assets and liabilities of an acquired property, above-market and below-market in-place lease values are recorded as other assets or liabilities based on the present value. The capitalized above-market lease values are amortized as a reduction of rental income over the remaining terms of the respective leases. The capitalized below-market lease values are amortized as an increase to rental income over the initial term unless management believes the lease includes bargain renewal options that are likely to be exercised, in which case the Company includes such renewal periods in the amortization period utilized. The Company considers both qualitative and quantitative factors in considering if a lease contains a bargain renewal option and the likelihood of a tenant exercising such option. The value of in-place leases and leasing costs are amortized to expense over the remaining non-cancelable periods of the respective leases. If a lease were to be terminated prior to its stated expiration, all unamortized amounts relating to that lease would be written off.</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ASSETS HELD FOR SALE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Investments in real estate which are determined to be “held for sale” pursuant to FASB Topic 360-10, </w:t>
      </w:r>
      <w:r>
        <w:rPr>
          <w:rFonts w:ascii="Times New Roman;Times;serif" w:hAnsi="Times New Roman;Times;serif"/>
          <w:i/>
          <w:sz w:val="20"/>
        </w:rPr>
        <w:t>Property, Plant, and Equipment</w:t>
      </w:r>
      <w:r>
        <w:rPr>
          <w:rFonts w:ascii="Times New Roman;Times;serif" w:hAnsi="Times New Roman;Times;serif"/>
          <w:sz w:val="20"/>
        </w:rPr>
        <w:t xml:space="preserve"> are reported separately on the consolidated balance sheets at the lesser of carrying value or fair value, less costs to sell. Real estate investments classified as held for sale are not depreciated.</w:t>
      </w:r>
    </w:p>
    <w:p>
      <w:pPr>
        <w:pStyle w:val="TextBody"/>
        <w:bidi w:val="0"/>
        <w:spacing w:before="0" w:after="240"/>
        <w:ind w:left="0" w:right="0" w:hanging="0"/>
        <w:jc w:val="both"/>
        <w:rPr>
          <w:rFonts w:ascii="Times New Roman;Times;serif" w:hAnsi="Times New Roman;Times;serif"/>
          <w:b w:val="false"/>
          <w:i/>
          <w:sz w:val="20"/>
        </w:rPr>
      </w:pPr>
      <w:r>
        <w:rPr>
          <w:rFonts w:ascii="Times New Roman;Times;serif" w:hAnsi="Times New Roman;Times;serif"/>
          <w:b w:val="false"/>
          <w:i/>
          <w:sz w:val="20"/>
        </w:rPr>
        <w:t>SALES OF REAL ESTATE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When properties are disposed of, the related cost basis of the real estate, intangible lease assets, and intangible lease liabilities, net of accumulated depreciation and/or amortization, and any accrued straight-line rental income balance for the underlying operating leases are removed, and gains or losses from the dispositions are reflected in net income within gains on dispositions of assets. In accordance with the FASB guidance, gains or losses on sales of real estate are generally recognized using the full accrual method.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PROPERTY LEASE REVENUE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rental arrangements associated with the Company’s property portfolio are generally classified as operating leases. The Company recognizes lease income on these properties on a straight-line basis over the term of the lease. Accordingly, contractual lease payment increases are recognized evenly over the term of the lease. The periodic difference between lease income recognized under this method and contractual lease payment terms (i.e., straight-line rent) is recorded as a deferred operating lease receivable and is included in straight-line rent adjustment on the accompanying consolidated balance sheets. The Company’s leases provide for reimbursement from tenants for variable lease payments including common area maintenance, insurance, real estate taxes and other operating expenses. A portion of our variable lease payment revenue is estimated each period and is recognized as rental income in the period the recoverable costs are incurred and accrued.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collectability of tenant receivables and straight-line rent adjustments is determined based on, among other things, the aging of the tenant receivable, management’s evaluation of credit risk associated with the tenant and industry of the tenant, and a review of specifically identified accounts using judgment. As of June 30, 2026 and December 31, 2025, the Company’s allowance for doubtful accounts totaled $0.3 million and $0.2 million, respectively.</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SALES-TYPE LEASES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Certain rental arrangements associated with the Company’s property portfolio qualify as sales-type leases. The net investment in sales-type leases is initially measured at the present value of the fixed and determinable lease payments, including any guaranteed or unguaranteed residual value of the asset at the end of the lease, discounted at the rate implicit in the lease. Costs associated with such acquisitions are capitalized and recorded within Commercial Loans and Investments on the Company’s consolidated balance sheets. The associated interest income from sales-type leases is recorded within Interest Income from Commercial Loans and Investments on the Company’s consolidated statements of operations.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COMMERCIAL LOANS AND INVESTMENTS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Investments in commercial loans and investments held for investment are recorded at historical cost, net of unaccreted origination costs and current expected credit losses (“CECL”) reserve.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Pursuant to ASC 326, </w:t>
      </w:r>
      <w:r>
        <w:rPr>
          <w:rFonts w:ascii="Times New Roman;Times;serif" w:hAnsi="Times New Roman;Times;serif"/>
          <w:i/>
          <w:sz w:val="20"/>
        </w:rPr>
        <w:t>Financial Instruments - Credit Losses</w:t>
      </w:r>
      <w:r>
        <w:rPr>
          <w:rFonts w:ascii="Times New Roman;Times;serif" w:hAnsi="Times New Roman;Times;serif"/>
          <w:sz w:val="20"/>
        </w:rPr>
        <w:t>, the Company measures and records a provision for CECL each time a new investment, including sales-type lease investments, is made, or a loan is repaid, as well as if changes to estimates occur during a quarterly measurement period. We are unable to use historical data to estimate expected credit losses as we have incurred no losses to date. Management utilizes a loss-rate method and considers macroeconomic factors to estimate its CECL allowance, which is calculated based on the amortized cost basis of the commercial loans.</w:t>
      </w:r>
    </w:p>
    <w:p>
      <w:pPr>
        <w:pStyle w:val="TextBody"/>
        <w:pBdr/>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Sales of participations in commercial loans and investments are evaluated for achievement of the characteristics of participating interest pursuant to ASC 860, </w:t>
      </w:r>
      <w:r>
        <w:rPr>
          <w:rFonts w:ascii="Times New Roman;Times;serif" w:hAnsi="Times New Roman;Times;serif"/>
          <w:i/>
          <w:sz w:val="20"/>
        </w:rPr>
        <w:t>Transfers and Servicing</w:t>
      </w:r>
      <w:r>
        <w:rPr>
          <w:rFonts w:ascii="Times New Roman;Times;serif" w:hAnsi="Times New Roman;Times;serif"/>
          <w:sz w:val="20"/>
        </w:rPr>
        <w:t xml:space="preserve">. If the sale of a participation has all of the characteristics of a participating interest, it achieves sale accounting, and the commercial loan or investment is presented net of the participating interest. If the sale of a participation does not have all of the characteristics of a participating interest, it does not achieve sale accounting and is treated as a secured borrowing. As of June 30, 2026, the Company’s participation in commercial loans and investments purchased by a third-party did not achieve sale accounting and has been presented as an Obligation under Participation Agreement within the liabilities portion of the Company’s consolidated balance sheets. </w:t>
      </w:r>
    </w:p>
    <w:p>
      <w:pPr>
        <w:pStyle w:val="TextBody"/>
        <w:pBdr/>
        <w:shd w:fill="FFFFFF" w:val="clear"/>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RECOGNITION OF INTEREST INCOME FROM COMMERCIAL LOANS AND INVESTMENTS</w:t>
      </w:r>
    </w:p>
    <w:p>
      <w:pPr>
        <w:pStyle w:val="TextBody"/>
        <w:pBdr/>
        <w:shd w:fill="FFFFFF" w:val="clear"/>
        <w:bidi w:val="0"/>
        <w:spacing w:before="0" w:after="0"/>
        <w:ind w:left="0" w:right="0" w:firstLine="432"/>
        <w:jc w:val="both"/>
        <w:rPr>
          <w:rFonts w:ascii="Times New Roman;Times;serif" w:hAnsi="Times New Roman;Times;serif"/>
          <w:sz w:val="20"/>
        </w:rPr>
      </w:pPr>
      <w:r>
        <w:rPr>
          <w:rFonts w:ascii="Times New Roman;Times;serif" w:hAnsi="Times New Roman;Times;serif"/>
          <w:sz w:val="20"/>
        </w:rPr>
        <w:t>Interest income on commercial loans and investments includes interest payments made by the borrower and the accretion of loan origination fees, offset by the amortization of loan costs, if any. Interest payments are accrued based on the actual coupon rate and the outstanding principal balance and purchase discounts and loan origination fees are accreted into income using the effective yield method, adjusted for prepayments.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OPERATING LAND LEASE EXPENSE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 Company is the lessee under operating land leases for certain of its properties, which leases are classified as operating leases pursuant to FASB ASC Topic 842, </w:t>
      </w:r>
      <w:r>
        <w:rPr>
          <w:rFonts w:ascii="Times New Roman;Times;serif" w:hAnsi="Times New Roman;Times;serif"/>
          <w:i/>
          <w:sz w:val="20"/>
        </w:rPr>
        <w:t>Leases</w:t>
      </w:r>
      <w:r>
        <w:rPr>
          <w:rFonts w:ascii="Times New Roman;Times;serif" w:hAnsi="Times New Roman;Times;serif"/>
          <w:sz w:val="20"/>
        </w:rPr>
        <w:t>. The corresponding lease expense is recognized on a straight-line basis over the term of the lease and is included in real estate expenses in the accompanying consolidated statements of operations.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CASH AND CASH EQUIVALENTS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Cash and cash equivalents include cash on hand, bank demand accounts, and money market accounts having original maturities of 90 days or less. The Company’s bank balances as of June 30, 2026 and December 31, 2025 include certain amounts over the Federal Deposit Insurance Corporation limits. The carrying value of cash and cash equivalents is reported at Level 1 in the fair value hierarchy, which represents valuation based upon quoted prices in active markets for identical assets or liabilities.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RESTRICTED CASH</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Restricted cash totaled $23.3 million as of June 30, 2026, all of which is being held in interest, real estate tax, insurance, and/or capital expenditure reserve accounts related to the Company’s portfolio of commercial loans and investments.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DERIVATIVE FINANCIAL INSTRUMENTS AND HEDGING ACTIVITY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 Company accounts for its cash flow hedging derivatives in accordance with FASB ASC Topic 815-20, </w:t>
      </w:r>
      <w:r>
        <w:rPr>
          <w:rFonts w:ascii="Times New Roman;Times;serif" w:hAnsi="Times New Roman;Times;serif"/>
          <w:i/>
          <w:sz w:val="20"/>
        </w:rPr>
        <w:t>Derivatives and Hedging</w:t>
      </w:r>
      <w:r>
        <w:rPr>
          <w:rFonts w:ascii="Times New Roman;Times;serif" w:hAnsi="Times New Roman;Times;serif"/>
          <w:sz w:val="20"/>
        </w:rPr>
        <w:t>. Depending upon the hedge’s value at each balance sheet date, the derivatives are included in either other assets or accounts payable, accrued expenses, and other liabilities on the accompanying consolidated balance sheet at its fair value. On the date each interest rate swap was entered into, the Company designated the derivatives as a hedge of the variability of cash flows to be paid related to the recognized long-term debt liabilities.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documented the relationship between the hedging instruments and the hedged item, as well as its risk-management objective and strategy for undertaking the hedge transactions. At the hedges’ inception, the Company assessed whether the derivatives that are used in hedging the transactions are highly effective in offsetting changes in cash flows of the hedged items and will continue to do so on a quarterly basis.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Changes in fair value of the hedging instruments that are highly effective and designated and qualified as cash-flow hedges are recorded in other comprehensive income and loss, until earnings are affected by the variability in cash flows of the designated hedged items (see Note 14, “Interest Rate Swaps”).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FAIR VALUE OF FINANCIAL INSTRUMENTS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carrying amounts of the Company’s financial assets and liabilities including cash and cash equivalents, restricted cash, accounts receivable included in other assets, accounts payable, and accrued expenses and other liabilities as of June 30, 2026 and December 31, 2025, approximate fair value because of the short maturity of these instruments. The carrying value of the Revolving Facility, hereinafter defined, approximates current market rates for revolving credit arrangements with similar risks and maturities. The Company estimates the fair value of its commercial loans and investments and term loans based on incremental borrowing rates for similar types of borrowing arrangements with the same remaining maturity and on the discounted estimated future cash payments to be made for other debt. The discount rate used to calculate the fair value of debt approximates current lending rates for loans and assumes the debt is outstanding through maturity. Since such amounts are estimates that are based on limited available market information for similar transactions, which is a Level 2 non-recurring measurement, there can be no assurance that the disclosed value of any financial instrument could be realized by immediate settlement of the instrument.</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FAIR VALUE MEASUREMENTS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Company’s estimates of fair value of financial and non-financial assets and liabilities are based on the framework established by GAAP. The framework specifies a hierarchy of valuation inputs which was established to increase consistency, clarity and comparability in fair value measurements and related disclosures. GAAP describes a fair value hierarchy based upon three levels of inputs that may be used to measure fair value, two of which are considered observable and one that is considered unobservable. The following describes the three levels:</w:t>
      </w:r>
    </w:p>
    <w:tbl>
      <w:tblPr>
        <w:tblW w:w="8496" w:type="dxa"/>
        <w:jc w:val="left"/>
        <w:tblInd w:w="0" w:type="dxa"/>
        <w:tblLayout w:type="fixed"/>
        <w:tblCellMar>
          <w:top w:w="28" w:type="dxa"/>
          <w:left w:w="28" w:type="dxa"/>
          <w:bottom w:w="28" w:type="dxa"/>
          <w:right w:w="28" w:type="dxa"/>
        </w:tblCellMar>
      </w:tblPr>
      <w:tblGrid>
        <w:gridCol w:w="124"/>
        <w:gridCol w:w="256"/>
        <w:gridCol w:w="81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 – Valuation is based upon quoted prices in active markets for identical assets or liabilities.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 – Valuation is based upon 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 – Valuation is generated from model-based techniques that use at least one significant assumption not observable in the market. These unobservable assumptions reflect estimates of assumptions that market participants would use in pricing the asset or liability. Valuation techniques include option pricing models, discounted cash flow models and similar techniques.</w:t>
            </w:r>
          </w:p>
        </w:tc>
      </w:tr>
    </w:tbl>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EARNINGS PER COMMON SHARE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Basic earnings per common share is computed by dividing net income (loss) attributable to the Company for the period by the weighted average number of shares of common stock outstanding for the period. Diluted earnings per common share is determined based on the assumption that the OP Units issued are redeemed for shares of our common stock on a one-for-one basis.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INCOME TAXES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has elected to be taxed as a REIT for U.S. federal income tax purposes under the Code. We believe the Company has been organized and has operated in such a manner as to qualify for taxation as a REIT under the U.S. federal income tax laws. The Company intends to continue to operate in such a manner. As a REIT, the Company will be subject to U.S. federal and state income taxation at corporate rates on its net taxable income; the Company, however, may claim a deduction for the amount of dividends paid to its stockholders. Amounts distributed as dividends by the Company will be subject to taxation at the stockholder level only. While the Company must distribute at least 90% of its REIT taxable income, determined without regard to the dividends paid deduction and excluding any net capital gain, to qualify as a REIT, the Company intends to distribute all of its net taxable income. The Company is allowed certain other non-cash deductions or adjustments, such as depreciation expense, when computing its REIT taxable income and distribution requirement. These deductions permit the Company to reduce its dividend payout requirement under U.S. federal income tax laws. Certain states may impose minimum franchise taxes. The Company may form one or more taxable REIT subsidiaries (“TRSs”), which will be subject to applicable U.S. federal, state and local corporate income tax on their taxable income. For the periods presented, the Company did not have any TRSs that would be subject to taxation.</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CONCENTRATION OF CREDIT RISK</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Certain individual tenants in the Company’s portfolio of properties accounted for more than 10% of lease income from the Company’s income properties during the six months ended June 30, 2026 and 2025.</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During the six months ended June 30, 2026, Lowe’s and </w:t>
      </w:r>
      <w:r>
        <w:rPr>
          <w:rFonts w:ascii="Times New Roman;Times;serif" w:hAnsi="Times New Roman;Times;serif"/>
          <w:b w:val="false"/>
          <w:i w:val="false"/>
          <w:caps w:val="false"/>
          <w:smallCaps w:val="false"/>
          <w:sz w:val="20"/>
        </w:rPr>
        <w:t>Dick’s</w:t>
      </w:r>
      <w:r>
        <w:rPr>
          <w:rFonts w:ascii="Times New Roman;Times;serif" w:hAnsi="Times New Roman;Times;serif"/>
          <w:sz w:val="20"/>
        </w:rPr>
        <w:t xml:space="preserve"> Sporting Goods each accounted for 12% of lease income revenue. During the six months ended June 30, 2025, Dick’s Sporting Goods accounted for 12% of lease income revenue.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As of June 30, 2026 and December 31, 2025, 13% and 14% of the Company’s income property portfolio, based on square footage, was located in the state of Texas, respectively.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71" w:before="0" w:after="240"/>
        <w:ind w:left="0" w:right="0" w:hanging="0"/>
        <w:jc w:val="both"/>
        <w:rPr>
          <w:rFonts w:ascii="Times New Roman;Times;serif" w:hAnsi="Times New Roman;Times;serif"/>
          <w:i/>
          <w:sz w:val="20"/>
        </w:rPr>
      </w:pPr>
      <w:r>
        <w:rPr>
          <w:rFonts w:ascii="Times New Roman;Times;serif" w:hAnsi="Times New Roman;Times;serif"/>
          <w:i/>
          <w:sz w:val="20"/>
        </w:rPr>
        <w:t>RECLASSIFICATIONS</w:t>
      </w:r>
    </w:p>
    <w:p>
      <w:pPr>
        <w:pStyle w:val="TextBody"/>
        <w:bidi w:val="0"/>
        <w:spacing w:lineRule="auto" w:line="271" w:before="0" w:after="240"/>
        <w:ind w:left="0" w:right="0" w:firstLine="360"/>
        <w:jc w:val="both"/>
        <w:rPr>
          <w:rFonts w:ascii="Times New Roman;Times;serif" w:hAnsi="Times New Roman;Times;serif"/>
          <w:sz w:val="20"/>
        </w:rPr>
      </w:pPr>
      <w:r>
        <w:rPr>
          <w:rFonts w:ascii="Times New Roman;Times;serif" w:hAnsi="Times New Roman;Times;serif"/>
          <w:sz w:val="20"/>
        </w:rPr>
        <w:t>Certain items in the prior period’s consolidated statements of cash flows have been reclassified to conform to the presentation for the three and six months ended June 30, 2026. Specifically, (i) cash received for commercial loan reserves was reclassified from cash flow from operating activities to cash flow from investing activities and (ii) cash used for investments in and improvements to real estate was reclassified from cash used for the acquisition of real estate on the accompanying consolidated statements of cash flows. There was no impact to retained earnings as a result of the reclassifications.</w:t>
      </w:r>
    </w:p>
    <w:p>
      <w:pPr>
        <w:pStyle w:val="TextBody"/>
        <w:bidi w:val="0"/>
        <w:spacing w:lineRule="auto" w:line="271" w:before="0" w:after="240"/>
        <w:ind w:left="0" w:right="0" w:hanging="0"/>
        <w:jc w:val="both"/>
        <w:rPr>
          <w:rFonts w:ascii="Times New Roman;Times;serif" w:hAnsi="Times New Roman;Times;serif"/>
          <w:i/>
          <w:sz w:val="20"/>
        </w:rPr>
      </w:pPr>
      <w:r>
        <w:rPr>
          <w:rFonts w:ascii="Times New Roman;Times;serif" w:hAnsi="Times New Roman;Times;serif"/>
          <w:i/>
          <w:sz w:val="20"/>
        </w:rPr>
        <w:t>RECENT ACCOUNTING DEVELOPMENTS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In November 2024, the FASB issued ASU 2024-03, </w:t>
      </w:r>
      <w:r>
        <w:rPr>
          <w:rFonts w:ascii="Times New Roman;Times;serif" w:hAnsi="Times New Roman;Times;serif"/>
          <w:i/>
          <w:sz w:val="20"/>
        </w:rPr>
        <w:t>Income Statement - Reporting Comprehensive Income - Expense Disaggregation Disclosures (Subtopic 220-40)</w:t>
      </w:r>
      <w:r>
        <w:rPr>
          <w:rFonts w:ascii="Times New Roman;Times;serif" w:hAnsi="Times New Roman;Times;serif"/>
          <w:sz w:val="20"/>
        </w:rPr>
        <w:t xml:space="preserve"> which requires additional disclosures regarding public company’s expenses and addresses requests from investors for more detailed information about the types of expenses (e.g., purchases of inventory, employee compensation, depreciation, amortization, and depletion) in commonly presented expense captions (e.g., cost of sales; selling, general, and administrative (SG&amp;A); and research and development (R&amp;D)). ASU 2024-03 is effective for annual periods beginning after December 15, 2026 and interim reporting periods beginning after December 15, 2027. The Company is currently evaluating the impact of this guidance on its consolidated financial statements and related disclosures.</w:t>
      </w:r>
    </w:p>
    <w:p>
      <w:pPr>
        <w:pStyle w:val="TextBody"/>
        <w:bidi w:val="0"/>
        <w:spacing w:lineRule="auto" w:line="271" w:before="0" w:after="240"/>
        <w:ind w:left="0" w:right="0" w:hanging="0"/>
        <w:jc w:val="both"/>
        <w:rPr/>
      </w:pPr>
      <w:r>
        <w:rPr/>
        <w:t> </w:t>
      </w:r>
    </w:p>
    <w:p>
      <w:pPr>
        <w:pStyle w:val="TextBody"/>
        <w:bidi w:val="0"/>
        <w:spacing w:lineRule="auto" w:line="271" w:before="0" w:after="240"/>
        <w:ind w:left="0" w:right="0" w:hanging="0"/>
        <w:jc w:val="left"/>
        <w:rPr>
          <w:rFonts w:ascii="Times New Roman;Times;serif" w:hAnsi="Times New Roman;Times;serif"/>
          <w:b/>
          <w:sz w:val="20"/>
        </w:rPr>
      </w:pPr>
      <w:bookmarkStart w:id="933" w:name="Tc_8x5pUtPPeEWDP31n0KXqXg_9_2"/>
      <w:bookmarkStart w:id="934" w:name="Tc_ygbAU-IGFUKtXZTrgOsYYQ_9_0"/>
      <w:bookmarkStart w:id="935" w:name="Tc_6jWpyxu2VU-Fd-dh6qd-3Q_8_0"/>
      <w:bookmarkStart w:id="936" w:name="Tc_SjOPUCsYx0SKpViRCbZsiw_7_0"/>
      <w:bookmarkStart w:id="937" w:name="Tc_hyz4Ef1DlEG2p30sDfgqmw_6_0"/>
      <w:bookmarkStart w:id="938" w:name="Tc_YZrnZfUCSk2FAir9IGuIvg_5_0"/>
      <w:bookmarkStart w:id="939" w:name="Tc_jG6Edr3Ds0OUGQkXNN3cvg_4_0"/>
      <w:bookmarkStart w:id="940" w:name="Tc_nuIc7xVy7068fO37NS152A_3_0"/>
      <w:bookmarkStart w:id="941" w:name="Tc_EwGjuZecyUeEOyYV-FkbQQ_2_2"/>
      <w:bookmarkStart w:id="942" w:name="Tc_SOCNcNjtN060aPpzXel3Nw_2_0"/>
      <w:bookmarkStart w:id="943" w:name="Tc_tT431ohTfUSRvBjEN1KuIQ_1_2"/>
      <w:bookmarkStart w:id="944" w:name="Tc_zSM8eHfjTE2-sWCtzjQm3g_1_0"/>
      <w:bookmarkStart w:id="945" w:name="_8aa4c89b_a7a5_4115_a800_11b844a4fb49"/>
      <w:bookmarkStart w:id="946" w:name="Tc_o2Anj7JxZkSDglExNq-QDg_6_11"/>
      <w:bookmarkStart w:id="947" w:name="Tc_2GVuggd5vUmdHE4ztqTs2w_6_8"/>
      <w:bookmarkStart w:id="948" w:name="Tc_WsWwIKVzNEmmOy9Hpyy_pg_6_5"/>
      <w:bookmarkStart w:id="949" w:name="Tc_OxXOtMb1UU6zlPcizk5Q_w_6_2"/>
      <w:bookmarkStart w:id="950" w:name="Tc_ymuEHuT-RECj3gjqmSGcKw_6_0"/>
      <w:bookmarkStart w:id="951" w:name="Tc_nK-YD49PVEWgkJfzS4ABow_5_0"/>
      <w:bookmarkStart w:id="952" w:name="Tc_CPMCQF86WkWr1x6e-0MYRw_4_11"/>
      <w:bookmarkStart w:id="953" w:name="Tc_or6d3xuUVkmOQ82rDyP3oA_4_8"/>
      <w:bookmarkStart w:id="954" w:name="Tc_EUoZDrFYX0OByIPLUH-0PQ_4_5"/>
      <w:bookmarkStart w:id="955" w:name="Tc_YBYcmM3xHU6Fe1rQCJlYWQ_4_2"/>
      <w:bookmarkStart w:id="956" w:name="Tc_PD15Mmxl0USAESRGEDwwKQ_4_0"/>
      <w:bookmarkStart w:id="957" w:name="Tc_eiGKaBPJk0mvHOZm9SSF7Q_3_0"/>
      <w:bookmarkStart w:id="958" w:name="Tc_91QdKrC_bUS_StqKao_WWQ_2_11"/>
      <w:bookmarkStart w:id="959" w:name="Tc_zr-1cY31SUCs4vBWOW89Nw_2_8"/>
      <w:bookmarkStart w:id="960" w:name="Tc_d9-v25ma5ke8Am8Fkmssxw_2_5"/>
      <w:bookmarkStart w:id="961" w:name="Tc_ZjSB8G4RAk6xhb4g_5434A_2_2"/>
      <w:bookmarkStart w:id="962" w:name="Tc_Vssk0sKYg0Su5m9tnc6nJw_1_8"/>
      <w:bookmarkStart w:id="963" w:name="Tc_vE2qKJvmjEalcjhZoD3N6w_1_2"/>
      <w:bookmarkStart w:id="964" w:name="_de9262ed_b167_4eb1_9b06_d638c261c237"/>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r>
        <w:rPr>
          <w:rFonts w:ascii="Times New Roman;Times;serif" w:hAnsi="Times New Roman;Times;serif"/>
          <w:b/>
          <w:sz w:val="20"/>
        </w:rPr>
        <w:t>NOTE 3. PROPERTY PORTFOLIO</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of June 30, 2026, the Company’s income property portfolio consisted of 128 properties, including five properties classified as commercial loans and investments, with total square footage of 4.5 million.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Leasing revenue consists of long-term rental revenue from net leased commercial properties, which is recognized as earned, using the straight-line method over the life of each lease. Lease payments below include straight-line base rental revenue as well as the non-cash accretion of above and below market lease amortization. The variable lease payments are comprised of percentage rent payments and reimbursements from tenants for common area maintenance, insurance, real estate taxes, and other operating expenses.</w:t>
      </w:r>
    </w:p>
    <w:p>
      <w:pPr>
        <w:pStyle w:val="TextBody"/>
        <w:bidi w:val="0"/>
        <w:spacing w:lineRule="auto" w:line="271" w:before="0" w:after="200"/>
        <w:ind w:left="0" w:right="0" w:firstLine="360"/>
        <w:jc w:val="both"/>
        <w:rPr>
          <w:rFonts w:ascii="Times New Roman;Times;serif" w:hAnsi="Times New Roman;Times;serif"/>
          <w:sz w:val="20"/>
        </w:rPr>
      </w:pPr>
      <w:r>
        <w:rPr>
          <w:rFonts w:ascii="Times New Roman;Times;serif" w:hAnsi="Times New Roman;Times;serif"/>
          <w:sz w:val="20"/>
        </w:rPr>
        <w:t>The components of leasing revenue are as follows (in thousands):</w:t>
      </w:r>
    </w:p>
    <w:tbl>
      <w:tblPr>
        <w:tblW w:w="7966" w:type="dxa"/>
        <w:jc w:val="left"/>
        <w:tblInd w:w="0" w:type="dxa"/>
        <w:tblLayout w:type="fixed"/>
        <w:tblCellMar>
          <w:top w:w="0" w:type="dxa"/>
          <w:left w:w="0" w:type="dxa"/>
          <w:bottom w:w="0" w:type="dxa"/>
          <w:right w:w="0" w:type="dxa"/>
        </w:tblCellMar>
      </w:tblPr>
      <w:tblGrid>
        <w:gridCol w:w="2146"/>
        <w:gridCol w:w="109"/>
        <w:gridCol w:w="303"/>
        <w:gridCol w:w="972"/>
        <w:gridCol w:w="111"/>
        <w:gridCol w:w="303"/>
        <w:gridCol w:w="972"/>
        <w:gridCol w:w="346"/>
        <w:gridCol w:w="303"/>
        <w:gridCol w:w="972"/>
        <w:gridCol w:w="109"/>
        <w:gridCol w:w="277"/>
        <w:gridCol w:w="1043"/>
      </w:tblGrid>
      <w:tr>
        <w:trPr/>
        <w:tc>
          <w:tcPr>
            <w:tcW w:w="2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1362710" cy="175260"/>
                      <wp:effectExtent l="0" t="0" r="0" b="0"/>
                      <wp:wrapNone/>
                      <wp:docPr id="143" name="Frame143"/>
                      <a:graphic xmlns:a="http://schemas.openxmlformats.org/drawingml/2006/main">
                        <a:graphicData uri="http://schemas.microsoft.com/office/word/2010/wordprocessingShape">
                          <wps:wsp>
                            <wps:cNvSpPr txBox="1"/>
                            <wps:spPr>
                              <a:xfrm>
                                <a:off x="0" y="0"/>
                                <a:ext cx="1362710" cy="175260"/>
                              </a:xfrm>
                              <a:prstGeom prst="rect"/>
                              <a:solidFill>
                                <a:srgbClr val="FFFFFF"/>
                              </a:solidFill>
                            </wps:spPr>
                            <wps:txbx>
                              <w:txbxContent>
                                <w:p>
                                  <w:pPr>
                                    <w:pStyle w:val="TableContents"/>
                                    <w:bidi w:val="0"/>
                                    <w:spacing w:lineRule="auto" w:line="271"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71"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9215" cy="175260"/>
                      <wp:effectExtent l="0" t="0" r="0" b="0"/>
                      <wp:wrapNone/>
                      <wp:docPr id="144" name="Frame14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71"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71" w:before="0" w:after="0"/>
                              <w:ind w:left="0" w:right="0" w:hanging="0"/>
                              <w:jc w:val="left"/>
                              <w:rPr/>
                            </w:pPr>
                            <w:r>
                              <w:rPr/>
                              <w:t>​</w:t>
                            </w:r>
                          </w:p>
                        </w:txbxContent>
                      </v:textbox>
                      <w10:wrap type="none"/>
                    </v:rect>
                  </w:pict>
                </mc:Fallback>
              </mc:AlternateContent>
            </w:r>
          </w:p>
        </w:tc>
        <w:tc>
          <w:tcPr>
            <w:tcW w:w="3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192405" cy="175260"/>
                      <wp:effectExtent l="0" t="0" r="0" b="0"/>
                      <wp:wrapNone/>
                      <wp:docPr id="145" name="Frame145"/>
                      <a:graphic xmlns:a="http://schemas.openxmlformats.org/drawingml/2006/main">
                        <a:graphicData uri="http://schemas.microsoft.com/office/word/2010/wordprocessingShape">
                          <wps:wsp>
                            <wps:cNvSpPr txBox="1"/>
                            <wps:spPr>
                              <a:xfrm>
                                <a:off x="0" y="0"/>
                                <a:ext cx="192405" cy="175260"/>
                              </a:xfrm>
                              <a:prstGeom prst="rect"/>
                              <a:solidFill>
                                <a:srgbClr val="FFFFFF"/>
                              </a:solidFill>
                            </wps:spPr>
                            <wps:txbx>
                              <w:txbxContent>
                                <w:p>
                                  <w:pPr>
                                    <w:pStyle w:val="TableContents"/>
                                    <w:bidi w:val="0"/>
                                    <w:spacing w:lineRule="auto" w:line="271"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71" w:before="0" w:after="0"/>
                              <w:ind w:left="0" w:right="0" w:hanging="0"/>
                              <w:jc w:val="left"/>
                              <w:rPr/>
                            </w:pPr>
                            <w:r>
                              <w:rPr/>
                              <w:t>​</w:t>
                            </w:r>
                          </w:p>
                        </w:txbxContent>
                      </v:textbox>
                      <w10:wrap type="none"/>
                    </v:rect>
                  </w:pict>
                </mc:Fallback>
              </mc:AlternateContent>
            </w:r>
          </w:p>
        </w:tc>
        <w:tc>
          <w:tcPr>
            <w:tcW w:w="9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17220" cy="175260"/>
                      <wp:effectExtent l="0" t="0" r="0" b="0"/>
                      <wp:wrapNone/>
                      <wp:docPr id="146" name="Frame146"/>
                      <a:graphic xmlns:a="http://schemas.openxmlformats.org/drawingml/2006/main">
                        <a:graphicData uri="http://schemas.microsoft.com/office/word/2010/wordprocessingShape">
                          <wps:wsp>
                            <wps:cNvSpPr txBox="1"/>
                            <wps:spPr>
                              <a:xfrm>
                                <a:off x="0" y="0"/>
                                <a:ext cx="617220" cy="175260"/>
                              </a:xfrm>
                              <a:prstGeom prst="rect"/>
                              <a:solidFill>
                                <a:srgbClr val="FFFFFF"/>
                              </a:solidFill>
                            </wps:spPr>
                            <wps:txbx>
                              <w:txbxContent>
                                <w:p>
                                  <w:pPr>
                                    <w:pStyle w:val="TableContents"/>
                                    <w:bidi w:val="0"/>
                                    <w:spacing w:lineRule="auto" w:line="271"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71" w:before="0" w:after="0"/>
                              <w:ind w:left="0" w:right="0" w:hanging="0"/>
                              <w:jc w:val="left"/>
                              <w:rPr/>
                            </w:pPr>
                            <w:r>
                              <w:rPr/>
                              <w:t>​</w:t>
                            </w:r>
                          </w:p>
                        </w:txbxContent>
                      </v:textbox>
                      <w10:wrap type="none"/>
                    </v:rect>
                  </w:pict>
                </mc:Fallback>
              </mc:AlternateContent>
            </w:r>
          </w:p>
        </w:tc>
        <w:tc>
          <w:tcPr>
            <w:tcW w:w="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70485" cy="175260"/>
                      <wp:effectExtent l="0" t="0" r="0" b="0"/>
                      <wp:wrapNone/>
                      <wp:docPr id="147" name="Frame147"/>
                      <a:graphic xmlns:a="http://schemas.openxmlformats.org/drawingml/2006/main">
                        <a:graphicData uri="http://schemas.microsoft.com/office/word/2010/wordprocessingShape">
                          <wps:wsp>
                            <wps:cNvSpPr txBox="1"/>
                            <wps:spPr>
                              <a:xfrm>
                                <a:off x="0" y="0"/>
                                <a:ext cx="70485" cy="175260"/>
                              </a:xfrm>
                              <a:prstGeom prst="rect"/>
                              <a:solidFill>
                                <a:srgbClr val="FFFFFF"/>
                              </a:solidFill>
                            </wps:spPr>
                            <wps:txbx>
                              <w:txbxContent>
                                <w:p>
                                  <w:pPr>
                                    <w:pStyle w:val="TableContents"/>
                                    <w:bidi w:val="0"/>
                                    <w:spacing w:lineRule="auto" w:line="271"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71" w:before="0" w:after="0"/>
                              <w:ind w:left="0" w:right="0" w:hanging="0"/>
                              <w:jc w:val="left"/>
                              <w:rPr/>
                            </w:pPr>
                            <w:r>
                              <w:rPr/>
                              <w:t>​</w:t>
                            </w:r>
                          </w:p>
                        </w:txbxContent>
                      </v:textbox>
                      <w10:wrap type="none"/>
                    </v:rect>
                  </w:pict>
                </mc:Fallback>
              </mc:AlternateContent>
            </w:r>
          </w:p>
        </w:tc>
        <w:tc>
          <w:tcPr>
            <w:tcW w:w="3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192405" cy="175260"/>
                      <wp:effectExtent l="0" t="0" r="0" b="0"/>
                      <wp:wrapNone/>
                      <wp:docPr id="148" name="Frame148"/>
                      <a:graphic xmlns:a="http://schemas.openxmlformats.org/drawingml/2006/main">
                        <a:graphicData uri="http://schemas.microsoft.com/office/word/2010/wordprocessingShape">
                          <wps:wsp>
                            <wps:cNvSpPr txBox="1"/>
                            <wps:spPr>
                              <a:xfrm>
                                <a:off x="0" y="0"/>
                                <a:ext cx="192405" cy="175260"/>
                              </a:xfrm>
                              <a:prstGeom prst="rect"/>
                              <a:solidFill>
                                <a:srgbClr val="FFFFFF"/>
                              </a:solidFill>
                            </wps:spPr>
                            <wps:txbx>
                              <w:txbxContent>
                                <w:p>
                                  <w:pPr>
                                    <w:pStyle w:val="TableContents"/>
                                    <w:bidi w:val="0"/>
                                    <w:spacing w:lineRule="auto" w:line="271"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71" w:before="0" w:after="0"/>
                              <w:ind w:left="0" w:right="0" w:hanging="0"/>
                              <w:jc w:val="left"/>
                              <w:rPr/>
                            </w:pPr>
                            <w:r>
                              <w:rPr/>
                              <w:t>​</w:t>
                            </w:r>
                          </w:p>
                        </w:txbxContent>
                      </v:textbox>
                      <w10:wrap type="none"/>
                    </v:rect>
                  </w:pict>
                </mc:Fallback>
              </mc:AlternateContent>
            </w:r>
          </w:p>
        </w:tc>
        <w:tc>
          <w:tcPr>
            <w:tcW w:w="9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17220" cy="175260"/>
                      <wp:effectExtent l="0" t="0" r="0" b="0"/>
                      <wp:wrapNone/>
                      <wp:docPr id="149" name="Frame149"/>
                      <a:graphic xmlns:a="http://schemas.openxmlformats.org/drawingml/2006/main">
                        <a:graphicData uri="http://schemas.microsoft.com/office/word/2010/wordprocessingShape">
                          <wps:wsp>
                            <wps:cNvSpPr txBox="1"/>
                            <wps:spPr>
                              <a:xfrm>
                                <a:off x="0" y="0"/>
                                <a:ext cx="617220" cy="175260"/>
                              </a:xfrm>
                              <a:prstGeom prst="rect"/>
                              <a:solidFill>
                                <a:srgbClr val="FFFFFF"/>
                              </a:solidFill>
                            </wps:spPr>
                            <wps:txbx>
                              <w:txbxContent>
                                <w:p>
                                  <w:pPr>
                                    <w:pStyle w:val="TableContents"/>
                                    <w:bidi w:val="0"/>
                                    <w:spacing w:lineRule="auto" w:line="271"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71"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219710" cy="175260"/>
                      <wp:effectExtent l="0" t="0" r="0" b="0"/>
                      <wp:wrapNone/>
                      <wp:docPr id="150" name="Frame15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71"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71" w:before="0" w:after="0"/>
                              <w:ind w:left="0" w:right="0" w:hanging="0"/>
                              <w:jc w:val="left"/>
                              <w:rPr/>
                            </w:pPr>
                            <w:r>
                              <w:rPr/>
                              <w:t>​</w:t>
                            </w:r>
                          </w:p>
                        </w:txbxContent>
                      </v:textbox>
                      <w10:wrap type="none"/>
                    </v:rect>
                  </w:pict>
                </mc:Fallback>
              </mc:AlternateContent>
            </w:r>
          </w:p>
        </w:tc>
        <w:tc>
          <w:tcPr>
            <w:tcW w:w="3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192405" cy="175260"/>
                      <wp:effectExtent l="0" t="0" r="0" b="0"/>
                      <wp:wrapNone/>
                      <wp:docPr id="151" name="Frame151"/>
                      <a:graphic xmlns:a="http://schemas.openxmlformats.org/drawingml/2006/main">
                        <a:graphicData uri="http://schemas.microsoft.com/office/word/2010/wordprocessingShape">
                          <wps:wsp>
                            <wps:cNvSpPr txBox="1"/>
                            <wps:spPr>
                              <a:xfrm>
                                <a:off x="0" y="0"/>
                                <a:ext cx="192405" cy="175260"/>
                              </a:xfrm>
                              <a:prstGeom prst="rect"/>
                              <a:solidFill>
                                <a:srgbClr val="FFFFFF"/>
                              </a:solidFill>
                            </wps:spPr>
                            <wps:txbx>
                              <w:txbxContent>
                                <w:p>
                                  <w:pPr>
                                    <w:pStyle w:val="TableContents"/>
                                    <w:bidi w:val="0"/>
                                    <w:spacing w:lineRule="auto" w:line="271"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71" w:before="0" w:after="0"/>
                              <w:ind w:left="0" w:right="0" w:hanging="0"/>
                              <w:jc w:val="left"/>
                              <w:rPr/>
                            </w:pPr>
                            <w:r>
                              <w:rPr/>
                              <w:t>​</w:t>
                            </w:r>
                          </w:p>
                        </w:txbxContent>
                      </v:textbox>
                      <w10:wrap type="none"/>
                    </v:rect>
                  </w:pict>
                </mc:Fallback>
              </mc:AlternateContent>
            </w:r>
          </w:p>
        </w:tc>
        <w:tc>
          <w:tcPr>
            <w:tcW w:w="9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17220" cy="175260"/>
                      <wp:effectExtent l="0" t="0" r="0" b="0"/>
                      <wp:wrapNone/>
                      <wp:docPr id="152" name="Frame152"/>
                      <a:graphic xmlns:a="http://schemas.openxmlformats.org/drawingml/2006/main">
                        <a:graphicData uri="http://schemas.microsoft.com/office/word/2010/wordprocessingShape">
                          <wps:wsp>
                            <wps:cNvSpPr txBox="1"/>
                            <wps:spPr>
                              <a:xfrm>
                                <a:off x="0" y="0"/>
                                <a:ext cx="617220" cy="175260"/>
                              </a:xfrm>
                              <a:prstGeom prst="rect"/>
                              <a:solidFill>
                                <a:srgbClr val="FFFFFF"/>
                              </a:solidFill>
                            </wps:spPr>
                            <wps:txbx>
                              <w:txbxContent>
                                <w:p>
                                  <w:pPr>
                                    <w:pStyle w:val="TableContents"/>
                                    <w:bidi w:val="0"/>
                                    <w:spacing w:lineRule="auto" w:line="271"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71"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9215" cy="175260"/>
                      <wp:effectExtent l="0" t="0" r="0" b="0"/>
                      <wp:wrapNone/>
                      <wp:docPr id="153" name="Frame15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71"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71" w:before="0" w:after="0"/>
                              <w:ind w:left="0" w:right="0" w:hanging="0"/>
                              <w:jc w:val="left"/>
                              <w:rPr/>
                            </w:pPr>
                            <w:r>
                              <w:rPr/>
                              <w:t>​</w:t>
                            </w:r>
                          </w:p>
                        </w:txbxContent>
                      </v:textbox>
                      <w10:wrap type="none"/>
                    </v:rect>
                  </w:pict>
                </mc:Fallback>
              </mc:AlternateContent>
            </w:r>
          </w:p>
        </w:tc>
        <w:tc>
          <w:tcPr>
            <w:tcW w:w="2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175895" cy="175260"/>
                      <wp:effectExtent l="0" t="0" r="0" b="0"/>
                      <wp:wrapNone/>
                      <wp:docPr id="154" name="Frame154"/>
                      <a:graphic xmlns:a="http://schemas.openxmlformats.org/drawingml/2006/main">
                        <a:graphicData uri="http://schemas.microsoft.com/office/word/2010/wordprocessingShape">
                          <wps:wsp>
                            <wps:cNvSpPr txBox="1"/>
                            <wps:spPr>
                              <a:xfrm>
                                <a:off x="0" y="0"/>
                                <a:ext cx="175895" cy="175260"/>
                              </a:xfrm>
                              <a:prstGeom prst="rect"/>
                              <a:solidFill>
                                <a:srgbClr val="FFFFFF"/>
                              </a:solidFill>
                            </wps:spPr>
                            <wps:txbx>
                              <w:txbxContent>
                                <w:p>
                                  <w:pPr>
                                    <w:pStyle w:val="TableContents"/>
                                    <w:bidi w:val="0"/>
                                    <w:spacing w:lineRule="auto" w:line="271"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71" w:before="0" w:after="0"/>
                              <w:ind w:left="0" w:right="0" w:hanging="0"/>
                              <w:jc w:val="left"/>
                              <w:rPr/>
                            </w:pPr>
                            <w:r>
                              <w:rPr/>
                              <w:t>​</w:t>
                            </w:r>
                          </w:p>
                        </w:txbxContent>
                      </v:textbox>
                      <w10:wrap type="none"/>
                    </v:rect>
                  </w:pict>
                </mc:Fallback>
              </mc:AlternateContent>
            </w:r>
          </w:p>
        </w:tc>
        <w:tc>
          <w:tcPr>
            <w:tcW w:w="10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62305" cy="175260"/>
                      <wp:effectExtent l="0" t="0" r="0" b="0"/>
                      <wp:wrapNone/>
                      <wp:docPr id="155" name="Frame155"/>
                      <a:graphic xmlns:a="http://schemas.openxmlformats.org/drawingml/2006/main">
                        <a:graphicData uri="http://schemas.microsoft.com/office/word/2010/wordprocessingShape">
                          <wps:wsp>
                            <wps:cNvSpPr txBox="1"/>
                            <wps:spPr>
                              <a:xfrm>
                                <a:off x="0" y="0"/>
                                <a:ext cx="662305" cy="175260"/>
                              </a:xfrm>
                              <a:prstGeom prst="rect"/>
                              <a:solidFill>
                                <a:srgbClr val="FFFFFF"/>
                              </a:solidFill>
                            </wps:spPr>
                            <wps:txbx>
                              <w:txbxContent>
                                <w:p>
                                  <w:pPr>
                                    <w:pStyle w:val="TableContents"/>
                                    <w:bidi w:val="0"/>
                                    <w:spacing w:lineRule="auto" w:line="271"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71" w:before="0" w:after="0"/>
                              <w:ind w:left="0" w:right="0" w:hanging="0"/>
                              <w:jc w:val="left"/>
                              <w:rPr/>
                            </w:pPr>
                            <w:r>
                              <w:rPr/>
                              <w:t>​</w:t>
                            </w:r>
                          </w:p>
                        </w:txbxContent>
                      </v:textbox>
                      <w10:wrap type="none"/>
                    </v:rect>
                  </w:pict>
                </mc:Fallback>
              </mc:AlternateContent>
            </w:r>
          </w:p>
        </w:tc>
      </w:tr>
      <w:tr>
        <w:trPr/>
        <w:tc>
          <w:tcPr>
            <w:tcW w:w="2146" w:type="dxa"/>
            <w:tcBorders/>
            <w:vAlign w:val="center"/>
          </w:tcPr>
          <w:p>
            <w:pPr>
              <w:pStyle w:val="TableContents"/>
              <w:bidi w:val="0"/>
              <w:spacing w:lineRule="auto" w:line="271" w:before="0" w:after="0"/>
              <w:ind w:left="0" w:right="0" w:hanging="0"/>
              <w:jc w:val="left"/>
              <w:rPr/>
            </w:pPr>
            <w:r>
              <w:rPr/>
              <w:t>​</w:t>
            </w:r>
          </w:p>
        </w:tc>
        <w:tc>
          <w:tcPr>
            <w:tcW w:w="109" w:type="dxa"/>
            <w:tcBorders/>
            <w:vAlign w:val="center"/>
          </w:tcPr>
          <w:p>
            <w:pPr>
              <w:pStyle w:val="TableContents"/>
              <w:bidi w:val="0"/>
              <w:spacing w:lineRule="auto" w:line="271" w:before="0" w:after="0"/>
              <w:ind w:left="0" w:right="0" w:hanging="0"/>
              <w:jc w:val="left"/>
              <w:rPr/>
            </w:pPr>
            <w:r>
              <w:rPr/>
              <w:t>​</w:t>
            </w:r>
          </w:p>
        </w:tc>
        <w:tc>
          <w:tcPr>
            <w:tcW w:w="2661" w:type="dxa"/>
            <w:gridSpan w:val="5"/>
            <w:tcBorders>
              <w:bottom w:val="single" w:sz="2" w:space="0" w:color="000000"/>
            </w:tcBorders>
            <w:tcMar>
              <w:bottom w:w="28" w:type="dxa"/>
            </w:tcMar>
            <w:vAlign w:val="center"/>
          </w:tcPr>
          <w:p>
            <w:pPr>
              <w:pStyle w:val="TableContents"/>
              <w:bidi w:val="0"/>
              <w:spacing w:lineRule="auto" w:line="271"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Three Months Ended </w:t>
            </w:r>
          </w:p>
        </w:tc>
        <w:tc>
          <w:tcPr>
            <w:tcW w:w="346" w:type="dxa"/>
            <w:tcBorders/>
            <w:vAlign w:val="center"/>
          </w:tcPr>
          <w:p>
            <w:pPr>
              <w:pStyle w:val="TableContents"/>
              <w:bidi w:val="0"/>
              <w:spacing w:lineRule="auto" w:line="271" w:before="0" w:after="0"/>
              <w:ind w:left="0" w:right="0" w:hanging="0"/>
              <w:jc w:val="left"/>
              <w:rPr/>
            </w:pPr>
            <w:r>
              <w:rPr/>
              <w:t>  ​ ​ ​</w:t>
            </w:r>
          </w:p>
        </w:tc>
        <w:tc>
          <w:tcPr>
            <w:tcW w:w="2704" w:type="dxa"/>
            <w:gridSpan w:val="5"/>
            <w:tcBorders>
              <w:bottom w:val="single" w:sz="2" w:space="0" w:color="000000"/>
            </w:tcBorders>
            <w:tcMar>
              <w:bottom w:w="28" w:type="dxa"/>
            </w:tcMar>
            <w:vAlign w:val="center"/>
          </w:tcPr>
          <w:p>
            <w:pPr>
              <w:pStyle w:val="TableContents"/>
              <w:bidi w:val="0"/>
              <w:spacing w:lineRule="auto" w:line="271" w:before="0" w:after="0"/>
              <w:ind w:left="0" w:right="0" w:hanging="0"/>
              <w:jc w:val="center"/>
              <w:rPr>
                <w:rFonts w:ascii="Times New Roman;Times;serif" w:hAnsi="Times New Roman;Times;serif"/>
                <w:b/>
                <w:sz w:val="20"/>
              </w:rPr>
            </w:pPr>
            <w:r>
              <w:rPr>
                <w:rFonts w:ascii="Times New Roman;Times;serif" w:hAnsi="Times New Roman;Times;serif"/>
                <w:b/>
                <w:sz w:val="20"/>
              </w:rPr>
              <w:t>Six Months Ended</w:t>
            </w:r>
          </w:p>
        </w:tc>
      </w:tr>
      <w:tr>
        <w:trPr/>
        <w:tc>
          <w:tcPr>
            <w:tcW w:w="2146" w:type="dxa"/>
            <w:tcBorders/>
            <w:vAlign w:val="center"/>
          </w:tcPr>
          <w:p>
            <w:pPr>
              <w:pStyle w:val="TableContents"/>
              <w:bidi w:val="0"/>
              <w:spacing w:lineRule="auto" w:line="271" w:before="0" w:after="0"/>
              <w:ind w:left="0" w:right="0" w:hanging="0"/>
              <w:jc w:val="left"/>
              <w:rPr/>
            </w:pPr>
            <w:r>
              <w:rPr/>
              <w:t>​</w:t>
            </w:r>
          </w:p>
        </w:tc>
        <w:tc>
          <w:tcPr>
            <w:tcW w:w="109" w:type="dxa"/>
            <w:tcBorders/>
            <w:vAlign w:val="center"/>
          </w:tcPr>
          <w:p>
            <w:pPr>
              <w:pStyle w:val="TableContents"/>
              <w:bidi w:val="0"/>
              <w:spacing w:lineRule="auto" w:line="271" w:before="0" w:after="0"/>
              <w:ind w:left="0" w:right="0" w:hanging="0"/>
              <w:jc w:val="left"/>
              <w:rPr/>
            </w:pPr>
            <w:r>
              <w:rPr/>
              <w:t>​</w:t>
            </w:r>
          </w:p>
        </w:tc>
        <w:tc>
          <w:tcPr>
            <w:tcW w:w="1275" w:type="dxa"/>
            <w:gridSpan w:val="2"/>
            <w:tcBorders>
              <w:bottom w:val="single" w:sz="2" w:space="0" w:color="000000"/>
            </w:tcBorders>
            <w:tcMar>
              <w:bottom w:w="28" w:type="dxa"/>
            </w:tcMar>
            <w:vAlign w:val="center"/>
          </w:tcPr>
          <w:p>
            <w:pPr>
              <w:pStyle w:val="TableContents"/>
              <w:bidi w:val="0"/>
              <w:spacing w:lineRule="auto" w:line="271" w:before="0" w:after="0"/>
              <w:ind w:left="0" w:right="0" w:hanging="0"/>
              <w:jc w:val="center"/>
              <w:rPr>
                <w:rFonts w:ascii="Times New Roman;Times;serif" w:hAnsi="Times New Roman;Times;serif"/>
                <w:b/>
                <w:sz w:val="20"/>
              </w:rPr>
            </w:pPr>
            <w:r>
              <w:rPr>
                <w:rFonts w:ascii="Times New Roman;Times;serif" w:hAnsi="Times New Roman;Times;serif"/>
                <w:b/>
                <w:sz w:val="20"/>
              </w:rPr>
              <w:t>June 30, 2026</w:t>
            </w:r>
          </w:p>
        </w:tc>
        <w:tc>
          <w:tcPr>
            <w:tcW w:w="111" w:type="dxa"/>
            <w:tcBorders/>
            <w:vAlign w:val="center"/>
          </w:tcPr>
          <w:p>
            <w:pPr>
              <w:pStyle w:val="TableContents"/>
              <w:bidi w:val="0"/>
              <w:spacing w:lineRule="auto" w:line="271" w:before="0" w:after="0"/>
              <w:ind w:left="0" w:right="0" w:hanging="0"/>
              <w:jc w:val="center"/>
              <w:rPr/>
            </w:pPr>
            <w:r>
              <w:rPr/>
              <w:t>​</w:t>
            </w:r>
          </w:p>
        </w:tc>
        <w:tc>
          <w:tcPr>
            <w:tcW w:w="1275" w:type="dxa"/>
            <w:gridSpan w:val="2"/>
            <w:tcBorders>
              <w:bottom w:val="single" w:sz="2" w:space="0" w:color="000000"/>
            </w:tcBorders>
            <w:tcMar>
              <w:bottom w:w="28" w:type="dxa"/>
            </w:tcMar>
            <w:vAlign w:val="center"/>
          </w:tcPr>
          <w:p>
            <w:pPr>
              <w:pStyle w:val="TableContents"/>
              <w:bidi w:val="0"/>
              <w:spacing w:lineRule="auto" w:line="271" w:before="0" w:after="0"/>
              <w:ind w:left="0" w:right="0" w:hanging="0"/>
              <w:jc w:val="center"/>
              <w:rPr>
                <w:rFonts w:ascii="Times New Roman;Times;serif" w:hAnsi="Times New Roman;Times;serif"/>
                <w:b/>
                <w:sz w:val="20"/>
              </w:rPr>
            </w:pPr>
            <w:r>
              <w:rPr>
                <w:rFonts w:ascii="Times New Roman;Times;serif" w:hAnsi="Times New Roman;Times;serif"/>
                <w:b/>
                <w:sz w:val="20"/>
              </w:rPr>
              <w:t>June 30, 2025</w:t>
            </w:r>
          </w:p>
        </w:tc>
        <w:tc>
          <w:tcPr>
            <w:tcW w:w="346" w:type="dxa"/>
            <w:tcBorders/>
            <w:vAlign w:val="center"/>
          </w:tcPr>
          <w:p>
            <w:pPr>
              <w:pStyle w:val="TableContents"/>
              <w:bidi w:val="0"/>
              <w:spacing w:lineRule="auto" w:line="271" w:before="0" w:after="0"/>
              <w:ind w:left="0" w:right="0" w:hanging="0"/>
              <w:jc w:val="left"/>
              <w:rPr/>
            </w:pPr>
            <w:r>
              <w:rPr/>
              <w:t>​</w:t>
            </w:r>
          </w:p>
        </w:tc>
        <w:tc>
          <w:tcPr>
            <w:tcW w:w="1275" w:type="dxa"/>
            <w:gridSpan w:val="2"/>
            <w:tcBorders>
              <w:bottom w:val="single" w:sz="2" w:space="0" w:color="000000"/>
            </w:tcBorders>
            <w:tcMar>
              <w:bottom w:w="28" w:type="dxa"/>
            </w:tcMar>
            <w:vAlign w:val="center"/>
          </w:tcPr>
          <w:p>
            <w:pPr>
              <w:pStyle w:val="TableContents"/>
              <w:bidi w:val="0"/>
              <w:spacing w:lineRule="auto" w:line="271" w:before="0" w:after="0"/>
              <w:ind w:left="0" w:right="0" w:hanging="0"/>
              <w:jc w:val="center"/>
              <w:rPr>
                <w:rFonts w:ascii="Times New Roman;Times;serif" w:hAnsi="Times New Roman;Times;serif"/>
                <w:b/>
                <w:sz w:val="20"/>
              </w:rPr>
            </w:pPr>
            <w:r>
              <w:rPr>
                <w:rFonts w:ascii="Times New Roman;Times;serif" w:hAnsi="Times New Roman;Times;serif"/>
                <w:b/>
                <w:sz w:val="20"/>
              </w:rPr>
              <w:t>June 30, 2026</w:t>
            </w:r>
          </w:p>
        </w:tc>
        <w:tc>
          <w:tcPr>
            <w:tcW w:w="109" w:type="dxa"/>
            <w:tcBorders/>
            <w:vAlign w:val="center"/>
          </w:tcPr>
          <w:p>
            <w:pPr>
              <w:pStyle w:val="TableContents"/>
              <w:bidi w:val="0"/>
              <w:spacing w:lineRule="auto" w:line="271" w:before="0" w:after="0"/>
              <w:ind w:left="0" w:right="0" w:hanging="0"/>
              <w:jc w:val="left"/>
              <w:rPr/>
            </w:pPr>
            <w:r>
              <w:rPr/>
              <w:t>​</w:t>
            </w:r>
          </w:p>
        </w:tc>
        <w:tc>
          <w:tcPr>
            <w:tcW w:w="1320" w:type="dxa"/>
            <w:gridSpan w:val="2"/>
            <w:tcBorders>
              <w:bottom w:val="single" w:sz="2" w:space="0" w:color="000000"/>
            </w:tcBorders>
            <w:tcMar>
              <w:bottom w:w="28" w:type="dxa"/>
            </w:tcMar>
            <w:vAlign w:val="center"/>
          </w:tcPr>
          <w:p>
            <w:pPr>
              <w:pStyle w:val="TableContents"/>
              <w:bidi w:val="0"/>
              <w:spacing w:lineRule="auto" w:line="271" w:before="0" w:after="0"/>
              <w:ind w:left="0" w:right="0" w:hanging="0"/>
              <w:jc w:val="center"/>
              <w:rPr>
                <w:rFonts w:ascii="Times New Roman;Times;serif" w:hAnsi="Times New Roman;Times;serif"/>
                <w:b/>
                <w:sz w:val="20"/>
              </w:rPr>
            </w:pPr>
            <w:r>
              <w:rPr>
                <w:rFonts w:ascii="Times New Roman;Times;serif" w:hAnsi="Times New Roman;Times;serif"/>
                <w:b/>
                <w:sz w:val="20"/>
              </w:rPr>
              <w:t>June 30, 2025</w:t>
            </w:r>
          </w:p>
        </w:tc>
      </w:tr>
      <w:tr>
        <w:trPr/>
        <w:tc>
          <w:tcPr>
            <w:tcW w:w="2146" w:type="dxa"/>
            <w:tcBorders/>
            <w:shd w:fill="CCEEFF" w:val="clear"/>
            <w:vAlign w:val="center"/>
          </w:tcPr>
          <w:p>
            <w:pPr>
              <w:pStyle w:val="TableContents"/>
              <w:bidi w:val="0"/>
              <w:spacing w:lineRule="auto" w:line="271" w:before="0" w:after="0"/>
              <w:ind w:left="0" w:right="0" w:hanging="0"/>
              <w:jc w:val="left"/>
              <w:rPr>
                <w:rFonts w:ascii="Times New Roman;Times;serif" w:hAnsi="Times New Roman;Times;serif"/>
                <w:sz w:val="20"/>
              </w:rPr>
            </w:pPr>
            <w:r>
              <w:rPr>
                <w:rFonts w:ascii="Times New Roman;Times;serif" w:hAnsi="Times New Roman;Times;serif"/>
                <w:sz w:val="20"/>
              </w:rPr>
              <w:t>Lease Income</w:t>
            </w:r>
          </w:p>
        </w:tc>
        <w:tc>
          <w:tcPr>
            <w:tcW w:w="109" w:type="dxa"/>
            <w:tcBorders/>
            <w:shd w:fill="CCEEFF" w:val="clear"/>
            <w:vAlign w:val="center"/>
          </w:tcPr>
          <w:p>
            <w:pPr>
              <w:pStyle w:val="TableContents"/>
              <w:bidi w:val="0"/>
              <w:spacing w:lineRule="auto" w:line="271" w:before="0" w:after="0"/>
              <w:ind w:left="0" w:right="0" w:hanging="0"/>
              <w:jc w:val="left"/>
              <w:rPr/>
            </w:pPr>
            <w:r>
              <w:rPr/>
              <w:t>​</w:t>
            </w:r>
          </w:p>
        </w:tc>
        <w:tc>
          <w:tcPr>
            <w:tcW w:w="303" w:type="dxa"/>
            <w:tcBorders/>
            <w:shd w:fill="CCEEFF" w:val="clear"/>
            <w:vAlign w:val="center"/>
          </w:tcPr>
          <w:p>
            <w:pPr>
              <w:pStyle w:val="TableContents"/>
              <w:bidi w:val="0"/>
              <w:spacing w:lineRule="auto" w:line="271" w:before="0" w:after="0"/>
              <w:ind w:left="0" w:right="0" w:hanging="0"/>
              <w:jc w:val="left"/>
              <w:rPr/>
            </w:pPr>
            <w:r>
              <w:rPr/>
              <w:t>​</w:t>
            </w:r>
          </w:p>
        </w:tc>
        <w:tc>
          <w:tcPr>
            <w:tcW w:w="972" w:type="dxa"/>
            <w:tcBorders/>
            <w:shd w:fill="CCEEFF" w:val="clear"/>
            <w:vAlign w:val="center"/>
          </w:tcPr>
          <w:p>
            <w:pPr>
              <w:pStyle w:val="TableContents"/>
              <w:bidi w:val="0"/>
              <w:spacing w:lineRule="auto" w:line="271" w:before="0" w:after="0"/>
              <w:ind w:left="0" w:right="0" w:hanging="0"/>
              <w:jc w:val="right"/>
              <w:rPr/>
            </w:pPr>
            <w:r>
              <w:rPr/>
              <w:t>​</w:t>
            </w:r>
          </w:p>
        </w:tc>
        <w:tc>
          <w:tcPr>
            <w:tcW w:w="111" w:type="dxa"/>
            <w:tcBorders/>
            <w:shd w:fill="CCEEFF" w:val="clear"/>
            <w:vAlign w:val="center"/>
          </w:tcPr>
          <w:p>
            <w:pPr>
              <w:pStyle w:val="TableContents"/>
              <w:bidi w:val="0"/>
              <w:spacing w:lineRule="auto" w:line="271" w:before="0" w:after="0"/>
              <w:ind w:left="0" w:right="0" w:hanging="0"/>
              <w:jc w:val="right"/>
              <w:rPr/>
            </w:pPr>
            <w:r>
              <w:rPr/>
              <w:t>​</w:t>
            </w:r>
          </w:p>
        </w:tc>
        <w:tc>
          <w:tcPr>
            <w:tcW w:w="303" w:type="dxa"/>
            <w:tcBorders/>
            <w:shd w:fill="CCEEFF" w:val="clear"/>
            <w:vAlign w:val="center"/>
          </w:tcPr>
          <w:p>
            <w:pPr>
              <w:pStyle w:val="TableContents"/>
              <w:bidi w:val="0"/>
              <w:spacing w:lineRule="auto" w:line="271" w:before="0" w:after="0"/>
              <w:ind w:left="0" w:right="0" w:hanging="0"/>
              <w:jc w:val="left"/>
              <w:rPr/>
            </w:pPr>
            <w:r>
              <w:rPr/>
              <w:t>​</w:t>
            </w:r>
          </w:p>
        </w:tc>
        <w:tc>
          <w:tcPr>
            <w:tcW w:w="972" w:type="dxa"/>
            <w:tcBorders/>
            <w:shd w:fill="CCEEFF" w:val="clear"/>
            <w:vAlign w:val="center"/>
          </w:tcPr>
          <w:p>
            <w:pPr>
              <w:pStyle w:val="TableContents"/>
              <w:bidi w:val="0"/>
              <w:spacing w:lineRule="auto" w:line="271" w:before="0" w:after="0"/>
              <w:ind w:left="0" w:right="0" w:hanging="0"/>
              <w:jc w:val="right"/>
              <w:rPr/>
            </w:pPr>
            <w:r>
              <w:rPr/>
              <w:t>​</w:t>
            </w:r>
          </w:p>
        </w:tc>
        <w:tc>
          <w:tcPr>
            <w:tcW w:w="346" w:type="dxa"/>
            <w:tcBorders/>
            <w:shd w:fill="CCEEFF" w:val="clear"/>
            <w:vAlign w:val="center"/>
          </w:tcPr>
          <w:p>
            <w:pPr>
              <w:pStyle w:val="TableContents"/>
              <w:bidi w:val="0"/>
              <w:spacing w:lineRule="auto" w:line="271" w:before="0" w:after="0"/>
              <w:ind w:left="0" w:right="0" w:hanging="0"/>
              <w:jc w:val="left"/>
              <w:rPr/>
            </w:pPr>
            <w:r>
              <w:rPr/>
              <w:t>​</w:t>
            </w:r>
          </w:p>
        </w:tc>
        <w:tc>
          <w:tcPr>
            <w:tcW w:w="303" w:type="dxa"/>
            <w:tcBorders/>
            <w:shd w:fill="CCEEFF" w:val="clear"/>
            <w:vAlign w:val="center"/>
          </w:tcPr>
          <w:p>
            <w:pPr>
              <w:pStyle w:val="TableContents"/>
              <w:bidi w:val="0"/>
              <w:spacing w:lineRule="auto" w:line="271" w:before="0" w:after="0"/>
              <w:ind w:left="0" w:right="0" w:hanging="0"/>
              <w:jc w:val="left"/>
              <w:rPr/>
            </w:pPr>
            <w:r>
              <w:rPr/>
              <w:t>​</w:t>
            </w:r>
          </w:p>
        </w:tc>
        <w:tc>
          <w:tcPr>
            <w:tcW w:w="972" w:type="dxa"/>
            <w:tcBorders/>
            <w:shd w:fill="CCEEFF" w:val="clear"/>
            <w:vAlign w:val="center"/>
          </w:tcPr>
          <w:p>
            <w:pPr>
              <w:pStyle w:val="TableContents"/>
              <w:bidi w:val="0"/>
              <w:spacing w:lineRule="auto" w:line="271" w:before="0" w:after="0"/>
              <w:ind w:left="0" w:right="0" w:hanging="0"/>
              <w:jc w:val="right"/>
              <w:rPr/>
            </w:pPr>
            <w:r>
              <w:rPr/>
              <w:t>​</w:t>
            </w:r>
          </w:p>
        </w:tc>
        <w:tc>
          <w:tcPr>
            <w:tcW w:w="109" w:type="dxa"/>
            <w:tcBorders/>
            <w:shd w:fill="CCEEFF" w:val="clear"/>
            <w:vAlign w:val="center"/>
          </w:tcPr>
          <w:p>
            <w:pPr>
              <w:pStyle w:val="TableContents"/>
              <w:bidi w:val="0"/>
              <w:spacing w:lineRule="auto" w:line="271" w:before="0" w:after="0"/>
              <w:ind w:left="0" w:right="0" w:hanging="0"/>
              <w:jc w:val="left"/>
              <w:rPr/>
            </w:pPr>
            <w:r>
              <w:rPr/>
              <w:t>​</w:t>
            </w:r>
          </w:p>
        </w:tc>
        <w:tc>
          <w:tcPr>
            <w:tcW w:w="277" w:type="dxa"/>
            <w:tcBorders/>
            <w:shd w:fill="CCEEFF" w:val="clear"/>
            <w:vAlign w:val="center"/>
          </w:tcPr>
          <w:p>
            <w:pPr>
              <w:pStyle w:val="TableContents"/>
              <w:bidi w:val="0"/>
              <w:spacing w:lineRule="auto" w:line="271" w:before="0" w:after="0"/>
              <w:ind w:left="0" w:right="0" w:hanging="0"/>
              <w:jc w:val="left"/>
              <w:rPr/>
            </w:pPr>
            <w:r>
              <w:rPr/>
              <w:t>​</w:t>
            </w:r>
          </w:p>
        </w:tc>
        <w:tc>
          <w:tcPr>
            <w:tcW w:w="1043" w:type="dxa"/>
            <w:tcBorders/>
            <w:shd w:fill="CCEEFF" w:val="clear"/>
            <w:vAlign w:val="center"/>
          </w:tcPr>
          <w:p>
            <w:pPr>
              <w:pStyle w:val="TableContents"/>
              <w:bidi w:val="0"/>
              <w:spacing w:lineRule="auto" w:line="271" w:before="0" w:after="0"/>
              <w:ind w:left="0" w:right="0" w:hanging="0"/>
              <w:jc w:val="right"/>
              <w:rPr/>
            </w:pPr>
            <w:r>
              <w:rPr/>
              <w:t>​</w:t>
            </w:r>
          </w:p>
        </w:tc>
      </w:tr>
      <w:tr>
        <w:trPr/>
        <w:tc>
          <w:tcPr>
            <w:tcW w:w="2146" w:type="dxa"/>
            <w:tcBorders/>
            <w:vAlign w:val="center"/>
          </w:tcPr>
          <w:p>
            <w:pPr>
              <w:pStyle w:val="TableContents"/>
              <w:bidi w:val="0"/>
              <w:spacing w:lineRule="auto" w:line="271" w:before="0" w:after="0"/>
              <w:ind w:left="0" w:right="0" w:hanging="0"/>
              <w:jc w:val="left"/>
              <w:rPr>
                <w:rFonts w:ascii="Times New Roman;Times;serif" w:hAnsi="Times New Roman;Times;serif"/>
                <w:sz w:val="20"/>
              </w:rPr>
            </w:pPr>
            <w:r>
              <w:rPr>
                <w:rFonts w:ascii="Times New Roman;Times;serif" w:hAnsi="Times New Roman;Times;serif"/>
                <w:sz w:val="20"/>
              </w:rPr>
              <w:t>Lease Payments</w:t>
            </w:r>
          </w:p>
        </w:tc>
        <w:tc>
          <w:tcPr>
            <w:tcW w:w="109" w:type="dxa"/>
            <w:tcBorders/>
            <w:vAlign w:val="center"/>
          </w:tcPr>
          <w:p>
            <w:pPr>
              <w:pStyle w:val="TableContents"/>
              <w:bidi w:val="0"/>
              <w:spacing w:lineRule="auto" w:line="271" w:before="0" w:after="0"/>
              <w:ind w:left="0" w:right="0" w:hanging="0"/>
              <w:jc w:val="left"/>
              <w:rPr/>
            </w:pPr>
            <w:r>
              <w:rPr/>
              <w:t>​</w:t>
            </w:r>
          </w:p>
        </w:tc>
        <w:tc>
          <w:tcPr>
            <w:tcW w:w="303" w:type="dxa"/>
            <w:tcBorders/>
            <w:vAlign w:val="center"/>
          </w:tcPr>
          <w:p>
            <w:pPr>
              <w:pStyle w:val="TableContents"/>
              <w:bidi w:val="0"/>
              <w:spacing w:lineRule="auto" w:line="271"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2" w:type="dxa"/>
            <w:tcBorders/>
            <w:vAlign w:val="center"/>
          </w:tcPr>
          <w:p>
            <w:pPr>
              <w:pStyle w:val="TableContents"/>
              <w:bidi w:val="0"/>
              <w:spacing w:lineRule="auto" w:line="271" w:before="0" w:after="0"/>
              <w:ind w:left="0" w:right="0" w:hanging="0"/>
              <w:jc w:val="right"/>
              <w:rPr>
                <w:rFonts w:ascii="Times New Roman;Times;serif" w:hAnsi="Times New Roman;Times;serif"/>
                <w:sz w:val="20"/>
              </w:rPr>
            </w:pPr>
            <w:r>
              <w:rPr>
                <w:rFonts w:ascii="Times New Roman;Times;serif" w:hAnsi="Times New Roman;Times;serif"/>
                <w:sz w:val="20"/>
              </w:rPr>
              <w:t>11,000</w:t>
            </w:r>
          </w:p>
        </w:tc>
        <w:tc>
          <w:tcPr>
            <w:tcW w:w="111" w:type="dxa"/>
            <w:tcBorders/>
            <w:vAlign w:val="center"/>
          </w:tcPr>
          <w:p>
            <w:pPr>
              <w:pStyle w:val="TableContents"/>
              <w:bidi w:val="0"/>
              <w:spacing w:lineRule="auto" w:line="271" w:before="0" w:after="0"/>
              <w:ind w:left="0" w:right="0" w:hanging="0"/>
              <w:jc w:val="right"/>
              <w:rPr/>
            </w:pPr>
            <w:r>
              <w:rPr/>
              <w:t>​</w:t>
            </w:r>
          </w:p>
        </w:tc>
        <w:tc>
          <w:tcPr>
            <w:tcW w:w="303" w:type="dxa"/>
            <w:tcBorders/>
            <w:vAlign w:val="center"/>
          </w:tcPr>
          <w:p>
            <w:pPr>
              <w:pStyle w:val="TableContents"/>
              <w:bidi w:val="0"/>
              <w:spacing w:lineRule="auto" w:line="271"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2" w:type="dxa"/>
            <w:tcBorders/>
            <w:vAlign w:val="center"/>
          </w:tcPr>
          <w:p>
            <w:pPr>
              <w:pStyle w:val="TableContents"/>
              <w:bidi w:val="0"/>
              <w:spacing w:lineRule="auto" w:line="271" w:before="0" w:after="0"/>
              <w:ind w:left="0" w:right="0" w:hanging="0"/>
              <w:jc w:val="right"/>
              <w:rPr>
                <w:rFonts w:ascii="Times New Roman;Times;serif" w:hAnsi="Times New Roman;Times;serif"/>
                <w:sz w:val="20"/>
              </w:rPr>
            </w:pPr>
            <w:r>
              <w:rPr>
                <w:rFonts w:ascii="Times New Roman;Times;serif" w:hAnsi="Times New Roman;Times;serif"/>
                <w:sz w:val="20"/>
              </w:rPr>
              <w:t>10,615</w:t>
            </w:r>
          </w:p>
        </w:tc>
        <w:tc>
          <w:tcPr>
            <w:tcW w:w="346" w:type="dxa"/>
            <w:tcBorders/>
            <w:vAlign w:val="center"/>
          </w:tcPr>
          <w:p>
            <w:pPr>
              <w:pStyle w:val="TableContents"/>
              <w:bidi w:val="0"/>
              <w:spacing w:lineRule="auto" w:line="271" w:before="0" w:after="0"/>
              <w:ind w:left="0" w:right="0" w:hanging="0"/>
              <w:jc w:val="left"/>
              <w:rPr/>
            </w:pPr>
            <w:r>
              <w:rPr/>
              <w:t>​</w:t>
            </w:r>
          </w:p>
        </w:tc>
        <w:tc>
          <w:tcPr>
            <w:tcW w:w="303" w:type="dxa"/>
            <w:tcBorders/>
            <w:vAlign w:val="center"/>
          </w:tcPr>
          <w:p>
            <w:pPr>
              <w:pStyle w:val="TableContents"/>
              <w:bidi w:val="0"/>
              <w:spacing w:lineRule="auto" w:line="271"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2" w:type="dxa"/>
            <w:tcBorders/>
            <w:vAlign w:val="center"/>
          </w:tcPr>
          <w:p>
            <w:pPr>
              <w:pStyle w:val="TableContents"/>
              <w:bidi w:val="0"/>
              <w:spacing w:lineRule="auto" w:line="271" w:before="0" w:after="0"/>
              <w:ind w:left="0" w:right="0" w:hanging="0"/>
              <w:jc w:val="right"/>
              <w:rPr>
                <w:rFonts w:ascii="Times New Roman;Times;serif" w:hAnsi="Times New Roman;Times;serif"/>
                <w:sz w:val="20"/>
              </w:rPr>
            </w:pPr>
            <w:r>
              <w:rPr>
                <w:rFonts w:ascii="Times New Roman;Times;serif" w:hAnsi="Times New Roman;Times;serif"/>
                <w:sz w:val="20"/>
              </w:rPr>
              <w:t>21,813</w:t>
            </w:r>
          </w:p>
        </w:tc>
        <w:tc>
          <w:tcPr>
            <w:tcW w:w="109" w:type="dxa"/>
            <w:tcBorders/>
            <w:vAlign w:val="center"/>
          </w:tcPr>
          <w:p>
            <w:pPr>
              <w:pStyle w:val="TableContents"/>
              <w:bidi w:val="0"/>
              <w:spacing w:lineRule="auto" w:line="271" w:before="0" w:after="0"/>
              <w:ind w:left="0" w:right="0" w:hanging="0"/>
              <w:jc w:val="left"/>
              <w:rPr/>
            </w:pPr>
            <w:r>
              <w:rPr/>
              <w:t>​</w:t>
            </w:r>
          </w:p>
        </w:tc>
        <w:tc>
          <w:tcPr>
            <w:tcW w:w="277" w:type="dxa"/>
            <w:tcBorders/>
            <w:vAlign w:val="center"/>
          </w:tcPr>
          <w:p>
            <w:pPr>
              <w:pStyle w:val="TableContents"/>
              <w:bidi w:val="0"/>
              <w:spacing w:lineRule="auto" w:line="271"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3" w:type="dxa"/>
            <w:tcBorders/>
            <w:vAlign w:val="center"/>
          </w:tcPr>
          <w:p>
            <w:pPr>
              <w:pStyle w:val="TableContents"/>
              <w:bidi w:val="0"/>
              <w:spacing w:lineRule="auto" w:line="271" w:before="0" w:after="0"/>
              <w:ind w:left="0" w:right="0" w:hanging="0"/>
              <w:jc w:val="right"/>
              <w:rPr>
                <w:rFonts w:ascii="Times New Roman;Times;serif" w:hAnsi="Times New Roman;Times;serif"/>
                <w:sz w:val="20"/>
              </w:rPr>
            </w:pPr>
            <w:r>
              <w:rPr>
                <w:rFonts w:ascii="Times New Roman;Times;serif" w:hAnsi="Times New Roman;Times;serif"/>
                <w:sz w:val="20"/>
              </w:rPr>
              <w:t>20,815</w:t>
            </w:r>
          </w:p>
        </w:tc>
      </w:tr>
      <w:tr>
        <w:trPr/>
        <w:tc>
          <w:tcPr>
            <w:tcW w:w="2146" w:type="dxa"/>
            <w:tcBorders/>
            <w:shd w:fill="CCEEFF" w:val="clear"/>
            <w:vAlign w:val="center"/>
          </w:tcPr>
          <w:p>
            <w:pPr>
              <w:pStyle w:val="TableContents"/>
              <w:bidi w:val="0"/>
              <w:spacing w:lineRule="auto" w:line="271" w:before="0" w:after="0"/>
              <w:ind w:left="0" w:right="0" w:hanging="0"/>
              <w:jc w:val="left"/>
              <w:rPr>
                <w:rFonts w:ascii="Times New Roman;Times;serif" w:hAnsi="Times New Roman;Times;serif"/>
                <w:sz w:val="20"/>
              </w:rPr>
            </w:pPr>
            <w:r>
              <w:rPr>
                <w:rFonts w:ascii="Times New Roman;Times;serif" w:hAnsi="Times New Roman;Times;serif"/>
                <w:sz w:val="20"/>
              </w:rPr>
              <w:t>Variable Lease Payments</w:t>
            </w:r>
          </w:p>
        </w:tc>
        <w:tc>
          <w:tcPr>
            <w:tcW w:w="109" w:type="dxa"/>
            <w:tcBorders/>
            <w:shd w:fill="CCEEFF" w:val="clear"/>
            <w:vAlign w:val="center"/>
          </w:tcPr>
          <w:p>
            <w:pPr>
              <w:pStyle w:val="TableContents"/>
              <w:bidi w:val="0"/>
              <w:spacing w:lineRule="auto" w:line="271" w:before="0" w:after="0"/>
              <w:ind w:left="0" w:right="0" w:hanging="0"/>
              <w:jc w:val="left"/>
              <w:rPr/>
            </w:pPr>
            <w:r>
              <w:rPr/>
              <w:t>​</w:t>
            </w:r>
          </w:p>
        </w:tc>
        <w:tc>
          <w:tcPr>
            <w:tcW w:w="303" w:type="dxa"/>
            <w:tcBorders>
              <w:bottom w:val="single" w:sz="2" w:space="0" w:color="000000"/>
            </w:tcBorders>
            <w:shd w:fill="CCEEFF" w:val="clear"/>
            <w:tcMar>
              <w:bottom w:w="28" w:type="dxa"/>
            </w:tcMar>
            <w:vAlign w:val="center"/>
          </w:tcPr>
          <w:p>
            <w:pPr>
              <w:pStyle w:val="TableContents"/>
              <w:bidi w:val="0"/>
              <w:spacing w:lineRule="auto" w:line="271" w:before="0" w:after="0"/>
              <w:ind w:left="0" w:right="0" w:hanging="0"/>
              <w:jc w:val="left"/>
              <w:rPr/>
            </w:pPr>
            <w:r>
              <w:rPr/>
              <w:t>​</w:t>
            </w:r>
          </w:p>
        </w:tc>
        <w:tc>
          <w:tcPr>
            <w:tcW w:w="972" w:type="dxa"/>
            <w:tcBorders>
              <w:bottom w:val="single" w:sz="2" w:space="0" w:color="000000"/>
            </w:tcBorders>
            <w:shd w:fill="CCEEFF" w:val="clear"/>
            <w:tcMar>
              <w:bottom w:w="28" w:type="dxa"/>
            </w:tcMar>
            <w:vAlign w:val="center"/>
          </w:tcPr>
          <w:p>
            <w:pPr>
              <w:pStyle w:val="TableContents"/>
              <w:bidi w:val="0"/>
              <w:spacing w:lineRule="auto" w:line="271" w:before="0" w:after="0"/>
              <w:ind w:left="0" w:right="0" w:hanging="0"/>
              <w:jc w:val="right"/>
              <w:rPr>
                <w:rFonts w:ascii="Times New Roman;Times;serif" w:hAnsi="Times New Roman;Times;serif"/>
                <w:sz w:val="20"/>
              </w:rPr>
            </w:pPr>
            <w:r>
              <w:rPr>
                <w:rFonts w:ascii="Times New Roman;Times;serif" w:hAnsi="Times New Roman;Times;serif"/>
                <w:sz w:val="20"/>
              </w:rPr>
              <w:t>1,637</w:t>
            </w:r>
          </w:p>
        </w:tc>
        <w:tc>
          <w:tcPr>
            <w:tcW w:w="111" w:type="dxa"/>
            <w:tcBorders/>
            <w:shd w:fill="CCEEFF" w:val="clear"/>
            <w:vAlign w:val="center"/>
          </w:tcPr>
          <w:p>
            <w:pPr>
              <w:pStyle w:val="TableContents"/>
              <w:bidi w:val="0"/>
              <w:spacing w:lineRule="auto" w:line="271" w:before="0" w:after="0"/>
              <w:ind w:left="0" w:right="0" w:hanging="0"/>
              <w:jc w:val="right"/>
              <w:rPr/>
            </w:pPr>
            <w:r>
              <w:rPr/>
              <w:t>​</w:t>
            </w:r>
          </w:p>
        </w:tc>
        <w:tc>
          <w:tcPr>
            <w:tcW w:w="303" w:type="dxa"/>
            <w:tcBorders>
              <w:bottom w:val="single" w:sz="2" w:space="0" w:color="000000"/>
            </w:tcBorders>
            <w:shd w:fill="CCEEFF" w:val="clear"/>
            <w:tcMar>
              <w:bottom w:w="28" w:type="dxa"/>
            </w:tcMar>
            <w:vAlign w:val="center"/>
          </w:tcPr>
          <w:p>
            <w:pPr>
              <w:pStyle w:val="TableContents"/>
              <w:bidi w:val="0"/>
              <w:spacing w:lineRule="auto" w:line="271" w:before="0" w:after="0"/>
              <w:ind w:left="0" w:right="0" w:hanging="0"/>
              <w:jc w:val="left"/>
              <w:rPr/>
            </w:pPr>
            <w:r>
              <w:rPr/>
              <w:t>​</w:t>
            </w:r>
          </w:p>
        </w:tc>
        <w:tc>
          <w:tcPr>
            <w:tcW w:w="972" w:type="dxa"/>
            <w:tcBorders>
              <w:bottom w:val="single" w:sz="2" w:space="0" w:color="000000"/>
            </w:tcBorders>
            <w:shd w:fill="CCEEFF" w:val="clear"/>
            <w:tcMar>
              <w:bottom w:w="28" w:type="dxa"/>
            </w:tcMar>
            <w:vAlign w:val="center"/>
          </w:tcPr>
          <w:p>
            <w:pPr>
              <w:pStyle w:val="TableContents"/>
              <w:bidi w:val="0"/>
              <w:spacing w:lineRule="auto" w:line="271" w:before="0" w:after="0"/>
              <w:ind w:left="0" w:right="0" w:hanging="0"/>
              <w:jc w:val="right"/>
              <w:rPr>
                <w:rFonts w:ascii="Times New Roman;Times;serif" w:hAnsi="Times New Roman;Times;serif"/>
                <w:sz w:val="20"/>
              </w:rPr>
            </w:pPr>
            <w:r>
              <w:rPr>
                <w:rFonts w:ascii="Times New Roman;Times;serif" w:hAnsi="Times New Roman;Times;serif"/>
                <w:sz w:val="20"/>
              </w:rPr>
              <w:t>1,407</w:t>
            </w:r>
          </w:p>
        </w:tc>
        <w:tc>
          <w:tcPr>
            <w:tcW w:w="346" w:type="dxa"/>
            <w:tcBorders/>
            <w:shd w:fill="CCEEFF" w:val="clear"/>
            <w:vAlign w:val="center"/>
          </w:tcPr>
          <w:p>
            <w:pPr>
              <w:pStyle w:val="TableContents"/>
              <w:bidi w:val="0"/>
              <w:spacing w:lineRule="auto" w:line="271" w:before="0" w:after="0"/>
              <w:ind w:left="0" w:right="0" w:hanging="0"/>
              <w:jc w:val="left"/>
              <w:rPr/>
            </w:pPr>
            <w:r>
              <w:rPr/>
              <w:t>​</w:t>
            </w:r>
          </w:p>
        </w:tc>
        <w:tc>
          <w:tcPr>
            <w:tcW w:w="303" w:type="dxa"/>
            <w:tcBorders>
              <w:bottom w:val="single" w:sz="2" w:space="0" w:color="000000"/>
            </w:tcBorders>
            <w:shd w:fill="CCEEFF" w:val="clear"/>
            <w:tcMar>
              <w:bottom w:w="28" w:type="dxa"/>
            </w:tcMar>
            <w:vAlign w:val="center"/>
          </w:tcPr>
          <w:p>
            <w:pPr>
              <w:pStyle w:val="TableContents"/>
              <w:bidi w:val="0"/>
              <w:spacing w:lineRule="auto" w:line="271" w:before="0" w:after="0"/>
              <w:ind w:left="0" w:right="0" w:hanging="0"/>
              <w:jc w:val="left"/>
              <w:rPr/>
            </w:pPr>
            <w:r>
              <w:rPr/>
              <w:t>​</w:t>
            </w:r>
          </w:p>
        </w:tc>
        <w:tc>
          <w:tcPr>
            <w:tcW w:w="972" w:type="dxa"/>
            <w:tcBorders>
              <w:bottom w:val="single" w:sz="2" w:space="0" w:color="000000"/>
            </w:tcBorders>
            <w:shd w:fill="CCEEFF" w:val="clear"/>
            <w:tcMar>
              <w:bottom w:w="28" w:type="dxa"/>
            </w:tcMar>
            <w:vAlign w:val="center"/>
          </w:tcPr>
          <w:p>
            <w:pPr>
              <w:pStyle w:val="TableContents"/>
              <w:bidi w:val="0"/>
              <w:spacing w:lineRule="auto" w:line="271" w:before="0" w:after="0"/>
              <w:ind w:left="0" w:right="0" w:hanging="0"/>
              <w:jc w:val="right"/>
              <w:rPr>
                <w:rFonts w:ascii="Times New Roman;Times;serif" w:hAnsi="Times New Roman;Times;serif"/>
                <w:sz w:val="20"/>
              </w:rPr>
            </w:pPr>
            <w:r>
              <w:rPr>
                <w:rFonts w:ascii="Times New Roman;Times;serif" w:hAnsi="Times New Roman;Times;serif"/>
                <w:sz w:val="20"/>
              </w:rPr>
              <w:t>3,426</w:t>
            </w:r>
          </w:p>
        </w:tc>
        <w:tc>
          <w:tcPr>
            <w:tcW w:w="109" w:type="dxa"/>
            <w:tcBorders/>
            <w:shd w:fill="CCEEFF" w:val="clear"/>
            <w:vAlign w:val="center"/>
          </w:tcPr>
          <w:p>
            <w:pPr>
              <w:pStyle w:val="TableContents"/>
              <w:bidi w:val="0"/>
              <w:spacing w:lineRule="auto" w:line="271" w:before="0" w:after="0"/>
              <w:ind w:left="0" w:right="0" w:hanging="0"/>
              <w:jc w:val="left"/>
              <w:rPr/>
            </w:pPr>
            <w:r>
              <w:rPr/>
              <w:t>​</w:t>
            </w:r>
          </w:p>
        </w:tc>
        <w:tc>
          <w:tcPr>
            <w:tcW w:w="277" w:type="dxa"/>
            <w:tcBorders>
              <w:bottom w:val="single" w:sz="2" w:space="0" w:color="000000"/>
            </w:tcBorders>
            <w:shd w:fill="CCEEFF" w:val="clear"/>
            <w:tcMar>
              <w:bottom w:w="28" w:type="dxa"/>
            </w:tcMar>
            <w:vAlign w:val="center"/>
          </w:tcPr>
          <w:p>
            <w:pPr>
              <w:pStyle w:val="TableContents"/>
              <w:bidi w:val="0"/>
              <w:spacing w:lineRule="auto" w:line="271" w:before="0" w:after="0"/>
              <w:ind w:left="0" w:right="0" w:hanging="0"/>
              <w:jc w:val="left"/>
              <w:rPr/>
            </w:pPr>
            <w:r>
              <w:rPr/>
              <w:t>​</w:t>
            </w:r>
          </w:p>
        </w:tc>
        <w:tc>
          <w:tcPr>
            <w:tcW w:w="1043" w:type="dxa"/>
            <w:tcBorders>
              <w:bottom w:val="single" w:sz="2" w:space="0" w:color="000000"/>
            </w:tcBorders>
            <w:shd w:fill="CCEEFF" w:val="clear"/>
            <w:tcMar>
              <w:bottom w:w="28" w:type="dxa"/>
            </w:tcMar>
            <w:vAlign w:val="center"/>
          </w:tcPr>
          <w:p>
            <w:pPr>
              <w:pStyle w:val="TableContents"/>
              <w:bidi w:val="0"/>
              <w:spacing w:lineRule="auto" w:line="271" w:before="0" w:after="0"/>
              <w:ind w:left="0" w:right="0" w:hanging="0"/>
              <w:jc w:val="right"/>
              <w:rPr>
                <w:rFonts w:ascii="Times New Roman;Times;serif" w:hAnsi="Times New Roman;Times;serif"/>
                <w:sz w:val="20"/>
              </w:rPr>
            </w:pPr>
            <w:r>
              <w:rPr>
                <w:rFonts w:ascii="Times New Roman;Times;serif" w:hAnsi="Times New Roman;Times;serif"/>
                <w:sz w:val="20"/>
              </w:rPr>
              <w:t>3,033</w:t>
            </w:r>
          </w:p>
        </w:tc>
      </w:tr>
      <w:tr>
        <w:trPr/>
        <w:tc>
          <w:tcPr>
            <w:tcW w:w="2146" w:type="dxa"/>
            <w:tcBorders/>
            <w:vAlign w:val="center"/>
          </w:tcPr>
          <w:p>
            <w:pPr>
              <w:pStyle w:val="TableContents"/>
              <w:bidi w:val="0"/>
              <w:spacing w:lineRule="auto" w:line="271" w:before="0" w:after="0"/>
              <w:ind w:left="0" w:right="0" w:hanging="0"/>
              <w:jc w:val="left"/>
              <w:rPr>
                <w:rFonts w:ascii="Times New Roman;Times;serif" w:hAnsi="Times New Roman;Times;serif"/>
                <w:sz w:val="20"/>
              </w:rPr>
            </w:pPr>
            <w:r>
              <w:rPr>
                <w:rFonts w:ascii="Times New Roman;Times;serif" w:hAnsi="Times New Roman;Times;serif"/>
                <w:sz w:val="20"/>
              </w:rPr>
              <w:t>Total Lease Income</w:t>
            </w:r>
          </w:p>
        </w:tc>
        <w:tc>
          <w:tcPr>
            <w:tcW w:w="109" w:type="dxa"/>
            <w:tcBorders/>
            <w:vAlign w:val="center"/>
          </w:tcPr>
          <w:p>
            <w:pPr>
              <w:pStyle w:val="TableContents"/>
              <w:bidi w:val="0"/>
              <w:spacing w:lineRule="auto" w:line="271" w:before="0" w:after="0"/>
              <w:ind w:left="0" w:right="0" w:hanging="0"/>
              <w:jc w:val="left"/>
              <w:rPr/>
            </w:pPr>
            <w:r>
              <w:rPr/>
              <w:t>​</w:t>
            </w:r>
          </w:p>
        </w:tc>
        <w:tc>
          <w:tcPr>
            <w:tcW w:w="303" w:type="dxa"/>
            <w:tcBorders>
              <w:bottom w:val="double" w:sz="6" w:space="0" w:color="000000"/>
            </w:tcBorders>
            <w:tcMar>
              <w:bottom w:w="28" w:type="dxa"/>
            </w:tcMar>
            <w:vAlign w:val="center"/>
          </w:tcPr>
          <w:p>
            <w:pPr>
              <w:pStyle w:val="TableContents"/>
              <w:bidi w:val="0"/>
              <w:spacing w:lineRule="auto" w:line="271"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2" w:type="dxa"/>
            <w:tcBorders>
              <w:bottom w:val="double" w:sz="6" w:space="0" w:color="000000"/>
            </w:tcBorders>
            <w:tcMar>
              <w:bottom w:w="28" w:type="dxa"/>
            </w:tcMar>
            <w:vAlign w:val="center"/>
          </w:tcPr>
          <w:p>
            <w:pPr>
              <w:pStyle w:val="TableContents"/>
              <w:bidi w:val="0"/>
              <w:spacing w:lineRule="auto" w:line="271" w:before="0" w:after="0"/>
              <w:ind w:left="0" w:right="0" w:hanging="0"/>
              <w:jc w:val="right"/>
              <w:rPr>
                <w:rFonts w:ascii="Times New Roman;Times;serif" w:hAnsi="Times New Roman;Times;serif"/>
                <w:sz w:val="20"/>
              </w:rPr>
            </w:pPr>
            <w:r>
              <w:rPr>
                <w:rFonts w:ascii="Times New Roman;Times;serif" w:hAnsi="Times New Roman;Times;serif"/>
                <w:sz w:val="20"/>
              </w:rPr>
              <w:t>12,637</w:t>
            </w:r>
          </w:p>
        </w:tc>
        <w:tc>
          <w:tcPr>
            <w:tcW w:w="111" w:type="dxa"/>
            <w:tcBorders/>
            <w:vAlign w:val="center"/>
          </w:tcPr>
          <w:p>
            <w:pPr>
              <w:pStyle w:val="TableContents"/>
              <w:bidi w:val="0"/>
              <w:spacing w:lineRule="auto" w:line="271" w:before="0" w:after="0"/>
              <w:ind w:left="0" w:right="0" w:hanging="0"/>
              <w:jc w:val="right"/>
              <w:rPr/>
            </w:pPr>
            <w:r>
              <w:rPr/>
              <w:t>​</w:t>
            </w:r>
          </w:p>
        </w:tc>
        <w:tc>
          <w:tcPr>
            <w:tcW w:w="303" w:type="dxa"/>
            <w:tcBorders>
              <w:bottom w:val="double" w:sz="6" w:space="0" w:color="000000"/>
            </w:tcBorders>
            <w:tcMar>
              <w:bottom w:w="28" w:type="dxa"/>
            </w:tcMar>
            <w:vAlign w:val="center"/>
          </w:tcPr>
          <w:p>
            <w:pPr>
              <w:pStyle w:val="TableContents"/>
              <w:bidi w:val="0"/>
              <w:spacing w:lineRule="auto" w:line="271"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2" w:type="dxa"/>
            <w:tcBorders>
              <w:bottom w:val="double" w:sz="6" w:space="0" w:color="000000"/>
            </w:tcBorders>
            <w:tcMar>
              <w:bottom w:w="28" w:type="dxa"/>
            </w:tcMar>
            <w:vAlign w:val="center"/>
          </w:tcPr>
          <w:p>
            <w:pPr>
              <w:pStyle w:val="TableContents"/>
              <w:bidi w:val="0"/>
              <w:spacing w:lineRule="auto" w:line="271" w:before="0" w:after="0"/>
              <w:ind w:left="0" w:right="0" w:hanging="0"/>
              <w:jc w:val="right"/>
              <w:rPr>
                <w:rFonts w:ascii="Times New Roman;Times;serif" w:hAnsi="Times New Roman;Times;serif"/>
                <w:sz w:val="20"/>
              </w:rPr>
            </w:pPr>
            <w:r>
              <w:rPr>
                <w:rFonts w:ascii="Times New Roman;Times;serif" w:hAnsi="Times New Roman;Times;serif"/>
                <w:sz w:val="20"/>
              </w:rPr>
              <w:t>12,022</w:t>
            </w:r>
          </w:p>
        </w:tc>
        <w:tc>
          <w:tcPr>
            <w:tcW w:w="346" w:type="dxa"/>
            <w:tcBorders/>
            <w:vAlign w:val="center"/>
          </w:tcPr>
          <w:p>
            <w:pPr>
              <w:pStyle w:val="TableContents"/>
              <w:bidi w:val="0"/>
              <w:spacing w:lineRule="auto" w:line="271" w:before="0" w:after="0"/>
              <w:ind w:left="0" w:right="0" w:hanging="0"/>
              <w:jc w:val="left"/>
              <w:rPr/>
            </w:pPr>
            <w:r>
              <w:rPr/>
              <w:t>​</w:t>
            </w:r>
          </w:p>
        </w:tc>
        <w:tc>
          <w:tcPr>
            <w:tcW w:w="303" w:type="dxa"/>
            <w:tcBorders>
              <w:bottom w:val="double" w:sz="6" w:space="0" w:color="000000"/>
            </w:tcBorders>
            <w:tcMar>
              <w:bottom w:w="28" w:type="dxa"/>
            </w:tcMar>
            <w:vAlign w:val="center"/>
          </w:tcPr>
          <w:p>
            <w:pPr>
              <w:pStyle w:val="TableContents"/>
              <w:bidi w:val="0"/>
              <w:spacing w:lineRule="auto" w:line="271"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2" w:type="dxa"/>
            <w:tcBorders>
              <w:bottom w:val="double" w:sz="6" w:space="0" w:color="000000"/>
            </w:tcBorders>
            <w:tcMar>
              <w:bottom w:w="28" w:type="dxa"/>
            </w:tcMar>
            <w:vAlign w:val="center"/>
          </w:tcPr>
          <w:p>
            <w:pPr>
              <w:pStyle w:val="TableContents"/>
              <w:bidi w:val="0"/>
              <w:spacing w:lineRule="auto" w:line="271" w:before="0" w:after="0"/>
              <w:ind w:left="0" w:right="0" w:hanging="0"/>
              <w:jc w:val="right"/>
              <w:rPr>
                <w:rFonts w:ascii="Times New Roman;Times;serif" w:hAnsi="Times New Roman;Times;serif"/>
                <w:sz w:val="20"/>
              </w:rPr>
            </w:pPr>
            <w:r>
              <w:rPr>
                <w:rFonts w:ascii="Times New Roman;Times;serif" w:hAnsi="Times New Roman;Times;serif"/>
                <w:sz w:val="20"/>
              </w:rPr>
              <w:t>25,239</w:t>
            </w:r>
          </w:p>
        </w:tc>
        <w:tc>
          <w:tcPr>
            <w:tcW w:w="109" w:type="dxa"/>
            <w:tcBorders/>
            <w:vAlign w:val="center"/>
          </w:tcPr>
          <w:p>
            <w:pPr>
              <w:pStyle w:val="TableContents"/>
              <w:bidi w:val="0"/>
              <w:spacing w:lineRule="auto" w:line="271" w:before="0" w:after="0"/>
              <w:ind w:left="0" w:right="0" w:hanging="0"/>
              <w:jc w:val="left"/>
              <w:rPr/>
            </w:pPr>
            <w:r>
              <w:rPr/>
              <w:t>​</w:t>
            </w:r>
          </w:p>
        </w:tc>
        <w:tc>
          <w:tcPr>
            <w:tcW w:w="277" w:type="dxa"/>
            <w:tcBorders>
              <w:bottom w:val="double" w:sz="6" w:space="0" w:color="000000"/>
            </w:tcBorders>
            <w:tcMar>
              <w:bottom w:w="28" w:type="dxa"/>
            </w:tcMar>
            <w:vAlign w:val="center"/>
          </w:tcPr>
          <w:p>
            <w:pPr>
              <w:pStyle w:val="TableContents"/>
              <w:bidi w:val="0"/>
              <w:spacing w:lineRule="auto" w:line="271"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3" w:type="dxa"/>
            <w:tcBorders>
              <w:bottom w:val="double" w:sz="6" w:space="0" w:color="000000"/>
            </w:tcBorders>
            <w:tcMar>
              <w:bottom w:w="28" w:type="dxa"/>
            </w:tcMar>
            <w:vAlign w:val="center"/>
          </w:tcPr>
          <w:p>
            <w:pPr>
              <w:pStyle w:val="TableContents"/>
              <w:bidi w:val="0"/>
              <w:spacing w:lineRule="auto" w:line="271" w:before="0" w:after="0"/>
              <w:ind w:left="0" w:right="72" w:hanging="0"/>
              <w:jc w:val="right"/>
              <w:rPr>
                <w:rFonts w:ascii="Times New Roman;Times;serif" w:hAnsi="Times New Roman;Times;serif"/>
                <w:sz w:val="20"/>
              </w:rPr>
            </w:pPr>
            <w:r>
              <w:rPr>
                <w:rFonts w:ascii="Times New Roman;Times;serif" w:hAnsi="Times New Roman;Times;serif"/>
                <w:sz w:val="20"/>
              </w:rPr>
              <w:t>23,848</w:t>
            </w:r>
          </w:p>
        </w:tc>
      </w:tr>
    </w:tbl>
    <w:p>
      <w:pPr>
        <w:pStyle w:val="TextBody"/>
        <w:bidi w:val="0"/>
        <w:spacing w:lineRule="auto" w:line="271" w:before="0" w:after="0"/>
        <w:ind w:left="0" w:right="0" w:hanging="0"/>
        <w:jc w:val="both"/>
        <w:rPr/>
      </w:pPr>
      <w:r>
        <w:rPr/>
        <w:t> </w:t>
      </w:r>
    </w:p>
    <w:p>
      <w:pPr>
        <w:pStyle w:val="TextBody"/>
        <w:bidi w:val="0"/>
        <w:spacing w:lineRule="auto" w:line="271" w:before="0" w:after="200"/>
        <w:ind w:left="0" w:right="0" w:hanging="0"/>
        <w:jc w:val="both"/>
        <w:rPr/>
      </w:pPr>
      <w:r>
        <w:rPr/>
        <w:t> </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i/>
          <w:sz w:val="20"/>
        </w:rPr>
        <w:t>Minimum Future Rental Receipts.</w:t>
      </w:r>
      <w:r>
        <w:rPr>
          <w:rFonts w:ascii="Times New Roman;Times;serif" w:hAnsi="Times New Roman;Times;serif"/>
          <w:sz w:val="20"/>
        </w:rPr>
        <w:t xml:space="preserve"> Minimum future rental receipts under non-cancelable operating leases, excluding percentage rent and other lease payments that are not fixed and determinable, having remaining terms in excess of one year subsequent to June 30, 2026, are summarized as follows (in thousands):</w:t>
      </w:r>
    </w:p>
    <w:tbl>
      <w:tblPr>
        <w:tblW w:w="4336" w:type="dxa"/>
        <w:jc w:val="left"/>
        <w:tblInd w:w="0" w:type="dxa"/>
        <w:tblLayout w:type="fixed"/>
        <w:tblCellMar>
          <w:top w:w="0" w:type="dxa"/>
          <w:left w:w="0" w:type="dxa"/>
          <w:bottom w:w="0" w:type="dxa"/>
          <w:right w:w="0" w:type="dxa"/>
        </w:tblCellMar>
      </w:tblPr>
      <w:tblGrid>
        <w:gridCol w:w="2881"/>
        <w:gridCol w:w="346"/>
        <w:gridCol w:w="211"/>
        <w:gridCol w:w="898"/>
      </w:tblGrid>
      <w:tr>
        <w:trPr/>
        <w:tc>
          <w:tcPr>
            <w:tcW w:w="2881" w:type="dxa"/>
            <w:tcBorders/>
            <w:vAlign w:val="center"/>
          </w:tcPr>
          <w:p>
            <w:pPr>
              <w:pStyle w:val="TableContents"/>
              <w:bidi w:val="0"/>
              <w:spacing w:lineRule="auto" w:line="271" w:before="0" w:after="0"/>
              <w:ind w:left="0" w:right="0" w:hanging="0"/>
              <w:jc w:val="left"/>
              <w:rPr/>
            </w:pPr>
            <w:r>
              <w:rPr/>
              <w:t>​</w:t>
            </w:r>
          </w:p>
        </w:tc>
        <w:tc>
          <w:tcPr>
            <w:tcW w:w="346" w:type="dxa"/>
            <w:tcBorders/>
            <w:vAlign w:val="center"/>
          </w:tcPr>
          <w:p>
            <w:pPr>
              <w:pStyle w:val="TableContents"/>
              <w:bidi w:val="0"/>
              <w:spacing w:lineRule="auto" w:line="271" w:before="0" w:after="0"/>
              <w:ind w:left="0" w:right="0" w:hanging="0"/>
              <w:jc w:val="left"/>
              <w:rPr/>
            </w:pPr>
            <w:r>
              <w:rPr/>
              <w:t>​</w:t>
            </w:r>
          </w:p>
        </w:tc>
        <w:tc>
          <w:tcPr>
            <w:tcW w:w="211" w:type="dxa"/>
            <w:tcBorders/>
            <w:vAlign w:val="center"/>
          </w:tcPr>
          <w:p>
            <w:pPr>
              <w:pStyle w:val="TableContents"/>
              <w:bidi w:val="0"/>
              <w:spacing w:lineRule="auto" w:line="271" w:before="0" w:after="0"/>
              <w:ind w:left="0" w:right="0" w:hanging="0"/>
              <w:jc w:val="left"/>
              <w:rPr/>
            </w:pPr>
            <w:r>
              <w:rPr/>
              <w:t>​</w:t>
            </w:r>
          </w:p>
        </w:tc>
        <w:tc>
          <w:tcPr>
            <w:tcW w:w="8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570230" cy="175260"/>
                      <wp:effectExtent l="0" t="0" r="0" b="0"/>
                      <wp:wrapNone/>
                      <wp:docPr id="156" name="Frame156"/>
                      <a:graphic xmlns:a="http://schemas.openxmlformats.org/drawingml/2006/main">
                        <a:graphicData uri="http://schemas.microsoft.com/office/word/2010/wordprocessingShape">
                          <wps:wsp>
                            <wps:cNvSpPr txBox="1"/>
                            <wps:spPr>
                              <a:xfrm>
                                <a:off x="0" y="0"/>
                                <a:ext cx="570230" cy="175260"/>
                              </a:xfrm>
                              <a:prstGeom prst="rect"/>
                              <a:solidFill>
                                <a:srgbClr val="FFFFFF"/>
                              </a:solidFill>
                            </wps:spPr>
                            <wps:txbx>
                              <w:txbxContent>
                                <w:p>
                                  <w:pPr>
                                    <w:pStyle w:val="TableContents"/>
                                    <w:bidi w:val="0"/>
                                    <w:spacing w:lineRule="auto" w:line="271"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71" w:before="0" w:after="0"/>
                              <w:ind w:left="0" w:right="0" w:hanging="0"/>
                              <w:jc w:val="left"/>
                              <w:rPr/>
                            </w:pPr>
                            <w:r>
                              <w:rPr/>
                              <w:t>​</w:t>
                            </w:r>
                          </w:p>
                        </w:txbxContent>
                      </v:textbox>
                      <w10:wrap type="none"/>
                    </v:rect>
                  </w:pict>
                </mc:Fallback>
              </mc:AlternateContent>
            </w:r>
          </w:p>
        </w:tc>
      </w:tr>
      <w:tr>
        <w:trPr/>
        <w:tc>
          <w:tcPr>
            <w:tcW w:w="2881" w:type="dxa"/>
            <w:tcBorders>
              <w:bottom w:val="single" w:sz="2" w:space="0" w:color="000000"/>
            </w:tcBorders>
            <w:tcMar>
              <w:bottom w:w="28" w:type="dxa"/>
            </w:tcMar>
            <w:vAlign w:val="center"/>
          </w:tcPr>
          <w:p>
            <w:pPr>
              <w:pStyle w:val="TableContents"/>
              <w:bidi w:val="0"/>
              <w:spacing w:lineRule="auto" w:line="271" w:before="0" w:after="0"/>
              <w:ind w:left="0" w:right="0" w:hanging="0"/>
              <w:jc w:val="left"/>
              <w:rPr>
                <w:rFonts w:ascii="Times New Roman;Times;serif" w:hAnsi="Times New Roman;Times;serif"/>
                <w:b/>
                <w:sz w:val="20"/>
              </w:rPr>
            </w:pPr>
            <w:r>
              <w:rPr>
                <w:rFonts w:ascii="Times New Roman;Times;serif" w:hAnsi="Times New Roman;Times;serif"/>
                <w:b/>
                <w:sz w:val="20"/>
              </w:rPr>
              <w:t>Year Ending December 31,</w:t>
            </w:r>
          </w:p>
        </w:tc>
        <w:tc>
          <w:tcPr>
            <w:tcW w:w="346" w:type="dxa"/>
            <w:tcBorders/>
            <w:vAlign w:val="center"/>
          </w:tcPr>
          <w:p>
            <w:pPr>
              <w:pStyle w:val="TableContents"/>
              <w:bidi w:val="0"/>
              <w:spacing w:lineRule="auto" w:line="271" w:before="0" w:after="0"/>
              <w:ind w:left="0" w:right="0" w:hanging="0"/>
              <w:jc w:val="left"/>
              <w:rPr/>
            </w:pPr>
            <w:r>
              <w:rPr/>
              <w:t>  ​ ​ ​</w:t>
            </w:r>
          </w:p>
        </w:tc>
        <w:tc>
          <w:tcPr>
            <w:tcW w:w="1109" w:type="dxa"/>
            <w:gridSpan w:val="2"/>
            <w:tcBorders>
              <w:bottom w:val="single" w:sz="2" w:space="0" w:color="000000"/>
            </w:tcBorders>
            <w:tcMar>
              <w:bottom w:w="28" w:type="dxa"/>
            </w:tcMar>
            <w:vAlign w:val="center"/>
          </w:tcPr>
          <w:p>
            <w:pPr>
              <w:pStyle w:val="TableContents"/>
              <w:bidi w:val="0"/>
              <w:spacing w:lineRule="auto" w:line="271"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Amounts </w:t>
            </w:r>
          </w:p>
        </w:tc>
      </w:tr>
      <w:tr>
        <w:trPr/>
        <w:tc>
          <w:tcPr>
            <w:tcW w:w="2881" w:type="dxa"/>
            <w:tcBorders/>
            <w:shd w:fill="CCEEFF" w:val="clear"/>
            <w:vAlign w:val="center"/>
          </w:tcPr>
          <w:p>
            <w:pPr>
              <w:pStyle w:val="TableContents"/>
              <w:bidi w:val="0"/>
              <w:spacing w:lineRule="auto" w:line="271" w:before="0" w:after="0"/>
              <w:ind w:left="0" w:right="0" w:hanging="0"/>
              <w:jc w:val="left"/>
              <w:rPr>
                <w:rFonts w:ascii="Times New Roman;Times;serif" w:hAnsi="Times New Roman;Times;serif"/>
                <w:sz w:val="20"/>
              </w:rPr>
            </w:pPr>
            <w:r>
              <w:rPr>
                <w:rFonts w:ascii="Times New Roman;Times;serif" w:hAnsi="Times New Roman;Times;serif"/>
                <w:sz w:val="20"/>
              </w:rPr>
              <w:t>Remainder of 2026</w:t>
            </w:r>
          </w:p>
        </w:tc>
        <w:tc>
          <w:tcPr>
            <w:tcW w:w="346" w:type="dxa"/>
            <w:tcBorders/>
            <w:shd w:fill="CCEEFF" w:val="clear"/>
            <w:vAlign w:val="center"/>
          </w:tcPr>
          <w:p>
            <w:pPr>
              <w:pStyle w:val="TableContents"/>
              <w:bidi w:val="0"/>
              <w:spacing w:lineRule="auto" w:line="271" w:before="0" w:after="0"/>
              <w:ind w:left="0" w:right="0" w:hanging="0"/>
              <w:jc w:val="left"/>
              <w:rPr/>
            </w:pPr>
            <w:r>
              <w:rPr/>
              <w:t>​</w:t>
            </w:r>
          </w:p>
        </w:tc>
        <w:tc>
          <w:tcPr>
            <w:tcW w:w="211" w:type="dxa"/>
            <w:tcBorders/>
            <w:shd w:fill="CCEEFF" w:val="clear"/>
            <w:vAlign w:val="center"/>
          </w:tcPr>
          <w:p>
            <w:pPr>
              <w:pStyle w:val="TableContents"/>
              <w:bidi w:val="0"/>
              <w:spacing w:lineRule="auto" w:line="271"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shd w:fill="CCEEFF" w:val="clear"/>
            <w:vAlign w:val="center"/>
          </w:tcPr>
          <w:p>
            <w:pPr>
              <w:pStyle w:val="TableContents"/>
              <w:bidi w:val="0"/>
              <w:spacing w:lineRule="auto" w:line="271" w:before="0" w:after="0"/>
              <w:ind w:left="0" w:right="0" w:hanging="0"/>
              <w:jc w:val="right"/>
              <w:rPr>
                <w:rFonts w:ascii="Times New Roman;Times;serif" w:hAnsi="Times New Roman;Times;serif"/>
                <w:sz w:val="20"/>
              </w:rPr>
            </w:pPr>
            <w:r>
              <w:rPr>
                <w:rFonts w:ascii="Times New Roman;Times;serif" w:hAnsi="Times New Roman;Times;serif"/>
                <w:sz w:val="20"/>
              </w:rPr>
              <w:t>21,582</w:t>
            </w:r>
          </w:p>
        </w:tc>
      </w:tr>
      <w:tr>
        <w:trPr/>
        <w:tc>
          <w:tcPr>
            <w:tcW w:w="2881" w:type="dxa"/>
            <w:tcBorders/>
            <w:vAlign w:val="center"/>
          </w:tcPr>
          <w:p>
            <w:pPr>
              <w:pStyle w:val="TableContents"/>
              <w:bidi w:val="0"/>
              <w:spacing w:lineRule="auto" w:line="271"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346" w:type="dxa"/>
            <w:tcBorders/>
            <w:vAlign w:val="center"/>
          </w:tcPr>
          <w:p>
            <w:pPr>
              <w:pStyle w:val="TableContents"/>
              <w:bidi w:val="0"/>
              <w:spacing w:lineRule="auto" w:line="271" w:before="0" w:after="0"/>
              <w:ind w:left="0" w:right="0" w:hanging="0"/>
              <w:jc w:val="left"/>
              <w:rPr/>
            </w:pPr>
            <w:r>
              <w:rPr/>
              <w:t>​</w:t>
            </w:r>
          </w:p>
        </w:tc>
        <w:tc>
          <w:tcPr>
            <w:tcW w:w="211" w:type="dxa"/>
            <w:tcBorders/>
            <w:vAlign w:val="center"/>
          </w:tcPr>
          <w:p>
            <w:pPr>
              <w:pStyle w:val="TableContents"/>
              <w:bidi w:val="0"/>
              <w:spacing w:lineRule="auto" w:line="271" w:before="0" w:after="0"/>
              <w:ind w:left="0" w:right="0" w:hanging="0"/>
              <w:jc w:val="left"/>
              <w:rPr/>
            </w:pPr>
            <w:r>
              <w:rPr/>
              <w:t>​</w:t>
            </w:r>
          </w:p>
        </w:tc>
        <w:tc>
          <w:tcPr>
            <w:tcW w:w="898" w:type="dxa"/>
            <w:tcBorders/>
            <w:vAlign w:val="center"/>
          </w:tcPr>
          <w:p>
            <w:pPr>
              <w:pStyle w:val="TableContents"/>
              <w:bidi w:val="0"/>
              <w:spacing w:lineRule="auto" w:line="271" w:before="0" w:after="0"/>
              <w:ind w:left="0" w:right="0" w:hanging="0"/>
              <w:jc w:val="right"/>
              <w:rPr>
                <w:rFonts w:ascii="Times New Roman;Times;serif" w:hAnsi="Times New Roman;Times;serif"/>
                <w:sz w:val="20"/>
              </w:rPr>
            </w:pPr>
            <w:r>
              <w:rPr>
                <w:rFonts w:ascii="Times New Roman;Times;serif" w:hAnsi="Times New Roman;Times;serif"/>
                <w:sz w:val="20"/>
              </w:rPr>
              <w:t>41,938</w:t>
            </w:r>
          </w:p>
        </w:tc>
      </w:tr>
      <w:tr>
        <w:trPr/>
        <w:tc>
          <w:tcPr>
            <w:tcW w:w="2881" w:type="dxa"/>
            <w:tcBorders/>
            <w:shd w:fill="CCEEFF" w:val="clear"/>
            <w:vAlign w:val="center"/>
          </w:tcPr>
          <w:p>
            <w:pPr>
              <w:pStyle w:val="TableContents"/>
              <w:bidi w:val="0"/>
              <w:spacing w:lineRule="auto" w:line="271"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346" w:type="dxa"/>
            <w:tcBorders/>
            <w:shd w:fill="CCEEFF" w:val="clear"/>
            <w:vAlign w:val="center"/>
          </w:tcPr>
          <w:p>
            <w:pPr>
              <w:pStyle w:val="TableContents"/>
              <w:bidi w:val="0"/>
              <w:spacing w:lineRule="auto" w:line="271" w:before="0" w:after="0"/>
              <w:ind w:left="0" w:right="0" w:hanging="0"/>
              <w:jc w:val="left"/>
              <w:rPr/>
            </w:pPr>
            <w:r>
              <w:rPr/>
              <w:t>​</w:t>
            </w:r>
          </w:p>
        </w:tc>
        <w:tc>
          <w:tcPr>
            <w:tcW w:w="211" w:type="dxa"/>
            <w:tcBorders/>
            <w:shd w:fill="CCEEFF" w:val="clear"/>
            <w:vAlign w:val="center"/>
          </w:tcPr>
          <w:p>
            <w:pPr>
              <w:pStyle w:val="TableContents"/>
              <w:bidi w:val="0"/>
              <w:spacing w:lineRule="auto" w:line="271" w:before="0" w:after="0"/>
              <w:ind w:left="0" w:right="0" w:hanging="0"/>
              <w:jc w:val="left"/>
              <w:rPr/>
            </w:pPr>
            <w:r>
              <w:rPr/>
              <w:t>​</w:t>
            </w:r>
          </w:p>
        </w:tc>
        <w:tc>
          <w:tcPr>
            <w:tcW w:w="898" w:type="dxa"/>
            <w:tcBorders/>
            <w:shd w:fill="CCEEFF" w:val="clear"/>
            <w:vAlign w:val="center"/>
          </w:tcPr>
          <w:p>
            <w:pPr>
              <w:pStyle w:val="TableContents"/>
              <w:bidi w:val="0"/>
              <w:spacing w:lineRule="auto" w:line="271" w:before="0" w:after="0"/>
              <w:ind w:left="0" w:right="0" w:hanging="0"/>
              <w:jc w:val="right"/>
              <w:rPr>
                <w:rFonts w:ascii="Times New Roman;Times;serif" w:hAnsi="Times New Roman;Times;serif"/>
                <w:sz w:val="20"/>
              </w:rPr>
            </w:pPr>
            <w:r>
              <w:rPr>
                <w:rFonts w:ascii="Times New Roman;Times;serif" w:hAnsi="Times New Roman;Times;serif"/>
                <w:sz w:val="20"/>
              </w:rPr>
              <w:t>37,484</w:t>
            </w:r>
          </w:p>
        </w:tc>
      </w:tr>
      <w:tr>
        <w:trPr/>
        <w:tc>
          <w:tcPr>
            <w:tcW w:w="2881" w:type="dxa"/>
            <w:tcBorders/>
            <w:vAlign w:val="center"/>
          </w:tcPr>
          <w:p>
            <w:pPr>
              <w:pStyle w:val="TableContents"/>
              <w:bidi w:val="0"/>
              <w:spacing w:lineRule="auto" w:line="271" w:before="0" w:after="0"/>
              <w:ind w:left="0" w:right="0" w:hanging="0"/>
              <w:jc w:val="left"/>
              <w:rPr>
                <w:rFonts w:ascii="Times New Roman;Times;serif" w:hAnsi="Times New Roman;Times;serif"/>
                <w:sz w:val="20"/>
              </w:rPr>
            </w:pPr>
            <w:r>
              <w:rPr>
                <w:rFonts w:ascii="Times New Roman;Times;serif" w:hAnsi="Times New Roman;Times;serif"/>
                <w:sz w:val="20"/>
              </w:rPr>
              <w:t>2029</w:t>
            </w:r>
          </w:p>
        </w:tc>
        <w:tc>
          <w:tcPr>
            <w:tcW w:w="346" w:type="dxa"/>
            <w:tcBorders/>
            <w:vAlign w:val="center"/>
          </w:tcPr>
          <w:p>
            <w:pPr>
              <w:pStyle w:val="TableContents"/>
              <w:bidi w:val="0"/>
              <w:spacing w:lineRule="auto" w:line="271" w:before="0" w:after="0"/>
              <w:ind w:left="0" w:right="0" w:hanging="0"/>
              <w:jc w:val="left"/>
              <w:rPr/>
            </w:pPr>
            <w:r>
              <w:rPr/>
              <w:t>​</w:t>
            </w:r>
          </w:p>
        </w:tc>
        <w:tc>
          <w:tcPr>
            <w:tcW w:w="211" w:type="dxa"/>
            <w:tcBorders/>
            <w:vAlign w:val="center"/>
          </w:tcPr>
          <w:p>
            <w:pPr>
              <w:pStyle w:val="TableContents"/>
              <w:bidi w:val="0"/>
              <w:spacing w:lineRule="auto" w:line="271" w:before="0" w:after="0"/>
              <w:ind w:left="0" w:right="0" w:hanging="0"/>
              <w:jc w:val="left"/>
              <w:rPr/>
            </w:pPr>
            <w:r>
              <w:rPr/>
              <w:t>​</w:t>
            </w:r>
          </w:p>
        </w:tc>
        <w:tc>
          <w:tcPr>
            <w:tcW w:w="898" w:type="dxa"/>
            <w:tcBorders/>
            <w:vAlign w:val="center"/>
          </w:tcPr>
          <w:p>
            <w:pPr>
              <w:pStyle w:val="TableContents"/>
              <w:bidi w:val="0"/>
              <w:spacing w:lineRule="auto" w:line="271" w:before="0" w:after="0"/>
              <w:ind w:left="0" w:right="0" w:hanging="0"/>
              <w:jc w:val="right"/>
              <w:rPr>
                <w:rFonts w:ascii="Times New Roman;Times;serif" w:hAnsi="Times New Roman;Times;serif"/>
                <w:sz w:val="20"/>
              </w:rPr>
            </w:pPr>
            <w:r>
              <w:rPr>
                <w:rFonts w:ascii="Times New Roman;Times;serif" w:hAnsi="Times New Roman;Times;serif"/>
                <w:sz w:val="20"/>
              </w:rPr>
              <w:t>32,445</w:t>
            </w:r>
          </w:p>
        </w:tc>
      </w:tr>
      <w:tr>
        <w:trPr/>
        <w:tc>
          <w:tcPr>
            <w:tcW w:w="2881" w:type="dxa"/>
            <w:tcBorders/>
            <w:shd w:fill="CCEEFF" w:val="clear"/>
            <w:vAlign w:val="center"/>
          </w:tcPr>
          <w:p>
            <w:pPr>
              <w:pStyle w:val="TableContents"/>
              <w:bidi w:val="0"/>
              <w:spacing w:lineRule="auto" w:line="271" w:before="0" w:after="0"/>
              <w:ind w:left="0" w:right="0" w:hanging="0"/>
              <w:jc w:val="left"/>
              <w:rPr>
                <w:rFonts w:ascii="Times New Roman;Times;serif" w:hAnsi="Times New Roman;Times;serif"/>
                <w:sz w:val="20"/>
              </w:rPr>
            </w:pPr>
            <w:r>
              <w:rPr>
                <w:rFonts w:ascii="Times New Roman;Times;serif" w:hAnsi="Times New Roman;Times;serif"/>
                <w:sz w:val="20"/>
              </w:rPr>
              <w:t>2030</w:t>
            </w:r>
          </w:p>
        </w:tc>
        <w:tc>
          <w:tcPr>
            <w:tcW w:w="346" w:type="dxa"/>
            <w:tcBorders/>
            <w:shd w:fill="CCEEFF" w:val="clear"/>
            <w:vAlign w:val="center"/>
          </w:tcPr>
          <w:p>
            <w:pPr>
              <w:pStyle w:val="TableContents"/>
              <w:bidi w:val="0"/>
              <w:spacing w:lineRule="auto" w:line="271" w:before="0" w:after="0"/>
              <w:ind w:left="0" w:right="0" w:hanging="0"/>
              <w:jc w:val="left"/>
              <w:rPr/>
            </w:pPr>
            <w:r>
              <w:rPr/>
              <w:t>​</w:t>
            </w:r>
          </w:p>
        </w:tc>
        <w:tc>
          <w:tcPr>
            <w:tcW w:w="211" w:type="dxa"/>
            <w:tcBorders/>
            <w:shd w:fill="CCEEFF" w:val="clear"/>
            <w:vAlign w:val="center"/>
          </w:tcPr>
          <w:p>
            <w:pPr>
              <w:pStyle w:val="TableContents"/>
              <w:bidi w:val="0"/>
              <w:spacing w:lineRule="auto" w:line="271" w:before="0" w:after="0"/>
              <w:ind w:left="0" w:right="0" w:hanging="0"/>
              <w:jc w:val="left"/>
              <w:rPr/>
            </w:pPr>
            <w:r>
              <w:rPr/>
              <w:t>​</w:t>
            </w:r>
          </w:p>
        </w:tc>
        <w:tc>
          <w:tcPr>
            <w:tcW w:w="898" w:type="dxa"/>
            <w:tcBorders/>
            <w:shd w:fill="CCEEFF" w:val="clear"/>
            <w:vAlign w:val="center"/>
          </w:tcPr>
          <w:p>
            <w:pPr>
              <w:pStyle w:val="TableContents"/>
              <w:bidi w:val="0"/>
              <w:spacing w:lineRule="auto" w:line="271" w:before="0" w:after="0"/>
              <w:ind w:left="0" w:right="0" w:hanging="0"/>
              <w:jc w:val="right"/>
              <w:rPr>
                <w:rFonts w:ascii="Times New Roman;Times;serif" w:hAnsi="Times New Roman;Times;serif"/>
                <w:sz w:val="20"/>
              </w:rPr>
            </w:pPr>
            <w:r>
              <w:rPr>
                <w:rFonts w:ascii="Times New Roman;Times;serif" w:hAnsi="Times New Roman;Times;serif"/>
                <w:sz w:val="20"/>
              </w:rPr>
              <w:t>28,164</w:t>
            </w:r>
          </w:p>
        </w:tc>
      </w:tr>
      <w:tr>
        <w:trPr/>
        <w:tc>
          <w:tcPr>
            <w:tcW w:w="2881" w:type="dxa"/>
            <w:tcBorders/>
            <w:vAlign w:val="center"/>
          </w:tcPr>
          <w:p>
            <w:pPr>
              <w:pStyle w:val="TableContents"/>
              <w:bidi w:val="0"/>
              <w:spacing w:lineRule="auto" w:line="271" w:before="0" w:after="0"/>
              <w:ind w:left="0" w:right="0" w:hanging="0"/>
              <w:jc w:val="left"/>
              <w:rPr>
                <w:rFonts w:ascii="Times New Roman;Times;serif" w:hAnsi="Times New Roman;Times;serif"/>
                <w:sz w:val="20"/>
              </w:rPr>
            </w:pPr>
            <w:r>
              <w:rPr>
                <w:rFonts w:ascii="Times New Roman;Times;serif" w:hAnsi="Times New Roman;Times;serif"/>
                <w:sz w:val="20"/>
              </w:rPr>
              <w:t>2031</w:t>
            </w:r>
          </w:p>
        </w:tc>
        <w:tc>
          <w:tcPr>
            <w:tcW w:w="346" w:type="dxa"/>
            <w:tcBorders/>
            <w:vAlign w:val="center"/>
          </w:tcPr>
          <w:p>
            <w:pPr>
              <w:pStyle w:val="TableContents"/>
              <w:bidi w:val="0"/>
              <w:spacing w:lineRule="auto" w:line="271" w:before="0" w:after="0"/>
              <w:ind w:left="0" w:right="0" w:hanging="0"/>
              <w:jc w:val="left"/>
              <w:rPr/>
            </w:pPr>
            <w:r>
              <w:rPr/>
              <w:t>​</w:t>
            </w:r>
          </w:p>
        </w:tc>
        <w:tc>
          <w:tcPr>
            <w:tcW w:w="211" w:type="dxa"/>
            <w:tcBorders/>
            <w:vAlign w:val="center"/>
          </w:tcPr>
          <w:p>
            <w:pPr>
              <w:pStyle w:val="TableContents"/>
              <w:bidi w:val="0"/>
              <w:spacing w:lineRule="auto" w:line="271" w:before="0" w:after="0"/>
              <w:ind w:left="0" w:right="0" w:hanging="0"/>
              <w:jc w:val="left"/>
              <w:rPr/>
            </w:pPr>
            <w:r>
              <w:rPr/>
              <w:t>​</w:t>
            </w:r>
          </w:p>
        </w:tc>
        <w:tc>
          <w:tcPr>
            <w:tcW w:w="898" w:type="dxa"/>
            <w:tcBorders/>
            <w:vAlign w:val="center"/>
          </w:tcPr>
          <w:p>
            <w:pPr>
              <w:pStyle w:val="TableContents"/>
              <w:bidi w:val="0"/>
              <w:spacing w:lineRule="auto" w:line="271" w:before="0" w:after="0"/>
              <w:ind w:left="0" w:right="0" w:hanging="0"/>
              <w:jc w:val="right"/>
              <w:rPr>
                <w:rFonts w:ascii="Times New Roman;Times;serif" w:hAnsi="Times New Roman;Times;serif"/>
                <w:sz w:val="20"/>
              </w:rPr>
            </w:pPr>
            <w:r>
              <w:rPr>
                <w:rFonts w:ascii="Times New Roman;Times;serif" w:hAnsi="Times New Roman;Times;serif"/>
                <w:sz w:val="20"/>
              </w:rPr>
              <w:t>24,857</w:t>
            </w:r>
          </w:p>
        </w:tc>
      </w:tr>
      <w:tr>
        <w:trPr/>
        <w:tc>
          <w:tcPr>
            <w:tcW w:w="2881" w:type="dxa"/>
            <w:tcBorders/>
            <w:shd w:fill="CCEEFF" w:val="clear"/>
            <w:vAlign w:val="center"/>
          </w:tcPr>
          <w:p>
            <w:pPr>
              <w:pStyle w:val="TableContents"/>
              <w:bidi w:val="0"/>
              <w:spacing w:lineRule="auto" w:line="271" w:before="0" w:after="0"/>
              <w:ind w:left="0" w:right="0" w:hanging="0"/>
              <w:jc w:val="left"/>
              <w:rPr>
                <w:rFonts w:ascii="Times New Roman;Times;serif" w:hAnsi="Times New Roman;Times;serif"/>
                <w:sz w:val="20"/>
              </w:rPr>
            </w:pPr>
            <w:r>
              <w:rPr>
                <w:rFonts w:ascii="Times New Roman;Times;serif" w:hAnsi="Times New Roman;Times;serif"/>
                <w:sz w:val="20"/>
              </w:rPr>
              <w:t>2032 and Thereafter (Cumulative)</w:t>
            </w:r>
          </w:p>
        </w:tc>
        <w:tc>
          <w:tcPr>
            <w:tcW w:w="346" w:type="dxa"/>
            <w:tcBorders/>
            <w:shd w:fill="CCEEFF" w:val="clear"/>
            <w:vAlign w:val="center"/>
          </w:tcPr>
          <w:p>
            <w:pPr>
              <w:pStyle w:val="TableContents"/>
              <w:bidi w:val="0"/>
              <w:spacing w:lineRule="auto" w:line="271"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71" w:before="0" w:after="0"/>
              <w:ind w:left="0" w:right="0" w:hanging="0"/>
              <w:jc w:val="left"/>
              <w:rPr/>
            </w:pPr>
            <w:r>
              <w:rPr/>
              <w:t>​</w:t>
            </w:r>
          </w:p>
        </w:tc>
        <w:tc>
          <w:tcPr>
            <w:tcW w:w="898" w:type="dxa"/>
            <w:tcBorders>
              <w:bottom w:val="single" w:sz="2" w:space="0" w:color="000000"/>
            </w:tcBorders>
            <w:shd w:fill="CCEEFF" w:val="clear"/>
            <w:tcMar>
              <w:bottom w:w="28" w:type="dxa"/>
            </w:tcMar>
            <w:vAlign w:val="center"/>
          </w:tcPr>
          <w:p>
            <w:pPr>
              <w:pStyle w:val="TableContents"/>
              <w:bidi w:val="0"/>
              <w:spacing w:lineRule="auto" w:line="271" w:before="0" w:after="0"/>
              <w:ind w:left="0" w:right="0" w:hanging="0"/>
              <w:jc w:val="right"/>
              <w:rPr>
                <w:rFonts w:ascii="Times New Roman;Times;serif" w:hAnsi="Times New Roman;Times;serif"/>
                <w:sz w:val="20"/>
              </w:rPr>
            </w:pPr>
            <w:r>
              <w:rPr>
                <w:rFonts w:ascii="Times New Roman;Times;serif" w:hAnsi="Times New Roman;Times;serif"/>
                <w:sz w:val="20"/>
              </w:rPr>
              <w:t>89,493</w:t>
            </w:r>
          </w:p>
        </w:tc>
      </w:tr>
      <w:tr>
        <w:trPr/>
        <w:tc>
          <w:tcPr>
            <w:tcW w:w="2881" w:type="dxa"/>
            <w:tcBorders/>
            <w:vAlign w:val="center"/>
          </w:tcPr>
          <w:p>
            <w:pPr>
              <w:pStyle w:val="TableContents"/>
              <w:bidi w:val="0"/>
              <w:spacing w:lineRule="auto" w:line="271"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lineRule="auto" w:line="271"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71"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bottom w:val="double" w:sz="6" w:space="0" w:color="000000"/>
            </w:tcBorders>
            <w:tcMar>
              <w:bottom w:w="28" w:type="dxa"/>
            </w:tcMar>
            <w:vAlign w:val="center"/>
          </w:tcPr>
          <w:p>
            <w:pPr>
              <w:pStyle w:val="TableContents"/>
              <w:bidi w:val="0"/>
              <w:spacing w:lineRule="auto" w:line="271" w:before="0" w:after="0"/>
              <w:ind w:left="0" w:right="72" w:hanging="0"/>
              <w:jc w:val="right"/>
              <w:rPr>
                <w:rFonts w:ascii="Times New Roman;Times;serif" w:hAnsi="Times New Roman;Times;serif"/>
                <w:sz w:val="20"/>
              </w:rPr>
            </w:pPr>
            <w:r>
              <w:rPr>
                <w:rFonts w:ascii="Times New Roman;Times;serif" w:hAnsi="Times New Roman;Times;serif"/>
                <w:sz w:val="20"/>
              </w:rPr>
              <w:t>275,963</w:t>
            </w:r>
          </w:p>
        </w:tc>
      </w:tr>
    </w:tbl>
    <w:p>
      <w:pPr>
        <w:pStyle w:val="TextBody"/>
        <w:bidi w:val="0"/>
        <w:spacing w:before="0" w:after="0"/>
        <w:ind w:left="0" w:right="0" w:hanging="0"/>
        <w:jc w:val="left"/>
        <w:rPr/>
      </w:pPr>
      <w:r>
        <w:rPr/>
        <w:t>​</w:t>
      </w:r>
    </w:p>
    <w:p>
      <w:pPr>
        <w:pStyle w:val="TextBody"/>
        <w:bidi w:val="0"/>
        <w:spacing w:lineRule="auto" w:line="271" w:before="0" w:after="0"/>
        <w:ind w:left="0" w:right="0" w:hanging="0"/>
        <w:jc w:val="left"/>
        <w:rPr/>
      </w:pPr>
      <w:r>
        <w:rPr/>
        <w:t> </w:t>
      </w:r>
    </w:p>
    <w:p>
      <w:pPr>
        <w:pStyle w:val="TextBody"/>
        <w:bidi w:val="0"/>
        <w:spacing w:lineRule="auto" w:line="271" w:before="0" w:after="200"/>
        <w:ind w:left="0" w:right="0" w:hanging="0"/>
        <w:jc w:val="left"/>
        <w:rPr/>
      </w:pPr>
      <w:r>
        <w:rPr/>
        <w: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0" w:before="0" w:after="200"/>
        <w:ind w:left="0" w:right="0" w:firstLine="360"/>
        <w:jc w:val="both"/>
        <w:rPr>
          <w:rFonts w:ascii="Times New Roman;Times;serif" w:hAnsi="Times New Roman;Times;serif"/>
          <w:sz w:val="20"/>
        </w:rPr>
      </w:pPr>
      <w:r>
        <w:rPr>
          <w:rFonts w:ascii="Times New Roman;Times;serif" w:hAnsi="Times New Roman;Times;serif"/>
          <w:i/>
          <w:sz w:val="20"/>
        </w:rPr>
        <w:t xml:space="preserve">2026 Activity. </w:t>
      </w:r>
      <w:r>
        <w:rPr>
          <w:rFonts w:ascii="Times New Roman;Times;serif" w:hAnsi="Times New Roman;Times;serif"/>
          <w:sz w:val="20"/>
        </w:rPr>
        <w:t xml:space="preserve">During the six months ended June 30, 2026, the Company acquired four properties for a combined purchase price of $46.8 million, including capitalized acquisition costs. Of the total acquisitions, the Company acquired two properties for a combined purchase price of $20.5 million, including capitalized acquisition costs, and those two properties were subject to purchase accounting for acquisitions subject to a lease, of which $12.0 million was allocated to land, $6.8 million was allocated to buildings and improvements, $2.0 million was allocated to intangible assets pertaining to the in-place lease value, leasing fees, and above market lease value, and $0.3 million was allocated to intangible liabilities for the below market lease value. The weighted average amortization period for the intangible assets and liabilities was 4.7 years at acquisition. The remaining $26.3 million of total acquisition costs are attributable to (i) the acquisition of one property for a purchase price of $10.0 million through a sale-leaseback transaction that includes a tenant repurchase option (the “2026 Sale-Leaseback Property”) and (ii) the acquisition of a property subject to a ground lease for $16.3 million which qualifies as a sales-type lease (the “2026 Sales-Type Lease”). Pursuant to FASB ASC Topic 842, </w:t>
      </w:r>
      <w:r>
        <w:rPr>
          <w:rFonts w:ascii="Times New Roman;Times;serif" w:hAnsi="Times New Roman;Times;serif"/>
          <w:i/>
          <w:sz w:val="20"/>
        </w:rPr>
        <w:t>Leases</w:t>
      </w:r>
      <w:r>
        <w:rPr>
          <w:rFonts w:ascii="Times New Roman;Times;serif" w:hAnsi="Times New Roman;Times;serif"/>
          <w:sz w:val="20"/>
        </w:rPr>
        <w:t>, GAAP requires that the 2026 Sale-Leaseback Property and the 2026 Sales-Type Lease be accounted for as financing arrangements, and accordingly the related assets and corresponding revenue are included in the Company’s commercial loans and investments in the accompanying consolidated balance sheets and consolidated statement of operations. However, as the 2026 Sale-Leaseback Property and the 2026 Sales-Type Lease both constitute real estate assets for both legal and tax purposes, we include them in the property portfolio when describing our property portfolio and for purposes of providing statistics related thereto.</w:t>
      </w:r>
    </w:p>
    <w:p>
      <w:pPr>
        <w:pStyle w:val="TextBody"/>
        <w:bidi w:val="0"/>
        <w:spacing w:lineRule="auto" w:line="280" w:before="0" w:after="200"/>
        <w:ind w:left="0" w:right="0" w:firstLine="360"/>
        <w:jc w:val="both"/>
        <w:rPr>
          <w:rFonts w:ascii="Times New Roman;Times;serif" w:hAnsi="Times New Roman;Times;serif"/>
          <w:sz w:val="20"/>
        </w:rPr>
      </w:pPr>
      <w:r>
        <w:rPr>
          <w:rFonts w:ascii="Times New Roman;Times;serif" w:hAnsi="Times New Roman;Times;serif"/>
          <w:sz w:val="20"/>
        </w:rPr>
        <w:t>During the six months ended June 30, 2026, the Company sold three properties for an aggregate sales price of $5.8 million, generating aggregate gains on sale of $0.1 million.</w:t>
      </w:r>
    </w:p>
    <w:p>
      <w:pPr>
        <w:pStyle w:val="TextBody"/>
        <w:bidi w:val="0"/>
        <w:spacing w:lineRule="auto" w:line="280" w:before="0" w:after="200"/>
        <w:ind w:left="0" w:right="0" w:firstLine="360"/>
        <w:jc w:val="both"/>
        <w:rPr>
          <w:rFonts w:ascii="Times New Roman;Times;serif" w:hAnsi="Times New Roman;Times;serif"/>
          <w:sz w:val="20"/>
        </w:rPr>
      </w:pPr>
      <w:r>
        <w:rPr>
          <w:rFonts w:ascii="Times New Roman;Times;serif" w:hAnsi="Times New Roman;Times;serif"/>
          <w:i/>
          <w:sz w:val="20"/>
        </w:rPr>
        <w:t>2025 Activity</w:t>
      </w:r>
      <w:r>
        <w:rPr>
          <w:rFonts w:ascii="Times New Roman;Times;serif" w:hAnsi="Times New Roman;Times;serif"/>
          <w:sz w:val="20"/>
        </w:rPr>
        <w:t>. During the six months ended June 30, 2025, the Company acquired three properties for a combined purchase price of $39.7 million, or a total cost of $39.9 million including capitalized acquisition costs. The properties are located in three different states, leased to three different tenants, and had a weighted average remaining lease term of 14.3 years at the time of acquisition. Of the total acquisition cost, $4.7 million was allocated to land, $28.8 million was allocated to buildings and improvements, and $6.4 million was allocated to intangible assets pertaining to the in-place lease value, leasing fees, and above market lease value. The weighted average amortization period for the intangible assets was 14.1 years at acquisition.</w:t>
      </w:r>
    </w:p>
    <w:p>
      <w:pPr>
        <w:pStyle w:val="TextBody"/>
        <w:bidi w:val="0"/>
        <w:spacing w:lineRule="auto" w:line="280" w:before="0" w:after="0"/>
        <w:ind w:left="0" w:right="0" w:firstLine="360"/>
        <w:jc w:val="both"/>
        <w:rPr>
          <w:rFonts w:ascii="Times New Roman;Times;serif" w:hAnsi="Times New Roman;Times;serif"/>
          <w:sz w:val="20"/>
        </w:rPr>
      </w:pPr>
      <w:r>
        <w:rPr>
          <w:rFonts w:ascii="Times New Roman;Times;serif" w:hAnsi="Times New Roman;Times;serif"/>
          <w:sz w:val="20"/>
        </w:rPr>
        <w:t>During the six months ended June 30, 2025, the Company sold eight properties for an aggregate sales price of $28.2 million, generating aggregate gains on sale of $2.1 million.</w:t>
      </w:r>
    </w:p>
    <w:p>
      <w:pPr>
        <w:pStyle w:val="TextBody"/>
        <w:bidi w:val="0"/>
        <w:spacing w:lineRule="auto" w:line="280" w:before="0" w:after="0"/>
        <w:ind w:left="0" w:right="0" w:firstLine="360"/>
        <w:jc w:val="both"/>
        <w:rPr/>
      </w:pPr>
      <w:r>
        <w:rPr/>
        <w:t>​</w:t>
      </w:r>
    </w:p>
    <w:p>
      <w:pPr>
        <w:pStyle w:val="TextBody"/>
        <w:bidi w:val="0"/>
        <w:spacing w:lineRule="auto" w:line="280" w:before="0" w:after="0"/>
        <w:ind w:left="0" w:right="0" w:hanging="0"/>
        <w:jc w:val="both"/>
        <w:rPr/>
      </w:pPr>
      <w:r>
        <w:rPr/>
        <w:t> </w:t>
      </w:r>
    </w:p>
    <w:p>
      <w:pPr>
        <w:pStyle w:val="TextBody"/>
        <w:bidi w:val="0"/>
        <w:spacing w:lineRule="auto" w:line="280" w:before="0" w:after="0"/>
        <w:ind w:left="0" w:right="0" w:hanging="0"/>
        <w:jc w:val="both"/>
        <w:rPr/>
      </w:pPr>
      <w:r>
        <w:rPr/>
        <w:t> </w:t>
      </w:r>
    </w:p>
    <w:p>
      <w:pPr>
        <w:pStyle w:val="TextBody"/>
        <w:bidi w:val="0"/>
        <w:spacing w:lineRule="auto" w:line="280" w:before="0" w:after="240"/>
        <w:ind w:left="0" w:right="0" w:hanging="0"/>
        <w:jc w:val="left"/>
        <w:rPr>
          <w:rFonts w:ascii="Times New Roman;Times;serif" w:hAnsi="Times New Roman;Times;serif"/>
          <w:b/>
          <w:sz w:val="20"/>
        </w:rPr>
      </w:pPr>
      <w:r>
        <w:rPr>
          <w:rFonts w:ascii="Times New Roman;Times;serif" w:hAnsi="Times New Roman;Times;serif"/>
          <w:b/>
          <w:sz w:val="20"/>
        </w:rPr>
        <w:t>NOTE 4. COMMERCIAL LOANS AND INVESTMENTS</w:t>
      </w:r>
    </w:p>
    <w:p>
      <w:pPr>
        <w:pStyle w:val="TextBody"/>
        <w:bidi w:val="0"/>
        <w:spacing w:lineRule="auto" w:line="280" w:before="0" w:after="240"/>
        <w:ind w:left="0" w:right="0" w:firstLine="360"/>
        <w:jc w:val="both"/>
        <w:rPr>
          <w:rFonts w:ascii="Times New Roman;Times;serif" w:hAnsi="Times New Roman;Times;serif"/>
          <w:sz w:val="20"/>
        </w:rPr>
      </w:pPr>
      <w:r>
        <w:rPr>
          <w:rFonts w:ascii="Times New Roman;Times;serif" w:hAnsi="Times New Roman;Times;serif"/>
          <w:i/>
          <w:sz w:val="20"/>
        </w:rPr>
        <w:t xml:space="preserve">2026 Activity. </w:t>
      </w:r>
      <w:r>
        <w:rPr>
          <w:rFonts w:ascii="Times New Roman;Times;serif" w:hAnsi="Times New Roman;Times;serif"/>
          <w:sz w:val="20"/>
        </w:rPr>
        <w:t>During the six months ended June 30, 2026, the Company originated two commercial loans for $72.0 million with an initial yield of 11% and acquired the 2026 Sale-Leaseback Property for a purchase price of $10.0 million and the 2026 Sales-Type Lease for $16.3 million. Additionally, during the six months ended June 30, 2026, the total face amounts of two loan investments were upsized by an aggregate of $31.9 million. In the aggregate, during the six months ended June 30, 2026, commercial loan and investment volume totaled $130.2 million, of which $73.8 million was funded, and $1.3 million of origination fees were received. Additionally, the Company funded $16.1 million for existing loans and received $17.5 million of principal repayments from borrowers during the six months ended June 30, 2026. Of the total amount funded, during the six months ended June 30, 2026, $1.4 million was non-cash paid-in-kind accrued interest.</w:t>
      </w:r>
    </w:p>
    <w:p>
      <w:pPr>
        <w:pStyle w:val="TextBody"/>
        <w:bidi w:val="0"/>
        <w:spacing w:lineRule="auto" w:line="280" w:before="0" w:after="240"/>
        <w:ind w:left="0" w:right="0" w:firstLine="360"/>
        <w:jc w:val="both"/>
        <w:rPr>
          <w:rFonts w:ascii="Times New Roman;Times;serif" w:hAnsi="Times New Roman;Times;serif"/>
          <w:sz w:val="20"/>
        </w:rPr>
      </w:pPr>
      <w:r>
        <w:rPr>
          <w:rFonts w:ascii="Times New Roman;Times;serif" w:hAnsi="Times New Roman;Times;serif"/>
          <w:sz w:val="20"/>
        </w:rPr>
        <w:t>During the six months ended June 30, 2026, the Company upsized and funded the 2025 Mortgage Note (hereinafter defined) by an additional $31.8 million and sold an additional $10.8 million A-1 participation interest in the 2025 Mortgage Note (the “2026 Loan Participation Sale”). In the aggregate, the initial 2025 Mortgage Note totaled $61.3 million and the initial A-1 participation interest, which is entitled to a 10.0% yield on its respective portion of the outstanding principal balance and has priority preference with respect to all principal and interest payments of the 2025 Mortgage Note, totaled $20.8 million. The 2026 Loan Participation Sale did not achieve sale accounting pursuant to ASC 860, Transfers and Servicing, and accordingly, is treated as a secured borrowing. See Note 12, “Obligation Under Participation Agreement” for further information.</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0" w:before="0" w:after="240"/>
        <w:ind w:left="0" w:right="0" w:firstLine="360"/>
        <w:jc w:val="both"/>
        <w:rPr>
          <w:rFonts w:ascii="Times New Roman;Times;serif" w:hAnsi="Times New Roman;Times;serif"/>
          <w:sz w:val="20"/>
        </w:rPr>
      </w:pPr>
      <w:r>
        <w:rPr>
          <w:rFonts w:ascii="Times New Roman;Times;serif" w:hAnsi="Times New Roman;Times;serif"/>
          <w:i/>
          <w:sz w:val="20"/>
        </w:rPr>
        <w:t>2025 Activity.</w:t>
      </w:r>
      <w:r>
        <w:rPr>
          <w:rFonts w:ascii="Times New Roman;Times;serif" w:hAnsi="Times New Roman;Times;serif"/>
          <w:sz w:val="20"/>
        </w:rPr>
        <w:t xml:space="preserve"> During the six months ended June 30, 2025, the Company originated four commercial loans for an investment volume of $28.4 million at a weighted average initial cash yield of 9.7% and one $2.0 million short-term mortgage note with an initial cash yield of 16.5%, that was repaid in full on July 2, 2025. Additionally, during the six months ended June 30, 2025, the Company amended four existing commercial loan investments whereby certain maturity dates were extended and the total face amounts of two investments were upsized by an aggregate of $17.8 million. In the aggregate, during the six months ended June 30, 2025, commercial loan and investment volume totaled $48.2 million, of which $32.2 million was funded during the same period. Additionally, the Company funded $0.9 million for existing construction loans and received $11.9 million of principal repayments from borrowers during the six months ended June 30, 2025.</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During the year ended December 31, 2025, the Company originated a $29.5 million first mortgage secured by a portfolio of assets and related improvements (the “2025 Mortgage Note”). The 2025 Mortgage Note is being repaid by the borrower as the underlying assets within the portfolio are sold. During the year ended December 31, 2025, the Company sold a $10.0 million A-1 participation interest (the “2025 Loan Participation Sale”) in its 2025 Mortgage Note, which is entitled to a 10.0% yield on its respective portion of the outstanding principal balance and has priority preference with respect to all principal and interest payments of the 2025 Mortgage Note. The 2025 Loan Participation Sale did not achieve sale accounting pursuant to ASC 860, Transfers and Servicing, and accordingly, is treated as a secured borrowing. See Note 12, “Obligation Under Participation Agreement” for further information.</w:t>
      </w:r>
    </w:p>
    <w:p>
      <w:pPr>
        <w:pStyle w:val="TextBody"/>
        <w:bidi w:val="0"/>
        <w:spacing w:lineRule="auto" w:line="271" w:before="0" w:after="0"/>
        <w:ind w:left="0" w:right="0" w:firstLine="360"/>
        <w:jc w:val="both"/>
        <w:rPr>
          <w:rFonts w:ascii="Times New Roman;Times;serif" w:hAnsi="Times New Roman;Times;serif"/>
          <w:sz w:val="20"/>
        </w:rPr>
      </w:pPr>
      <w:r>
        <w:rPr>
          <w:rFonts w:ascii="Times New Roman;Times;serif" w:hAnsi="Times New Roman;Times;serif"/>
          <w:i/>
          <w:sz w:val="20"/>
        </w:rPr>
        <w:t>Other Activity.</w:t>
      </w:r>
      <w:r>
        <w:rPr>
          <w:rFonts w:ascii="Times New Roman;Times;serif" w:hAnsi="Times New Roman;Times;serif"/>
          <w:sz w:val="20"/>
        </w:rPr>
        <w:t xml:space="preserve"> During the year ended December 31, 2024, the Company acquired three single-tenant income properties in the greater Tampa Bay, Florida area. The acquisition of the three properties and the 2026 Sale-Leaseback Property (collectively, the “Sale-Leaseback Properties”) were structured as sale-leaseback transactions that include tenant repurchase options. Pursuant to FASB ASC Topic 842, </w:t>
      </w:r>
      <w:r>
        <w:rPr>
          <w:rFonts w:ascii="Times New Roman;Times;serif" w:hAnsi="Times New Roman;Times;serif"/>
          <w:i/>
          <w:sz w:val="20"/>
        </w:rPr>
        <w:t>Leases</w:t>
      </w:r>
      <w:r>
        <w:rPr>
          <w:rFonts w:ascii="Times New Roman;Times;serif" w:hAnsi="Times New Roman;Times;serif"/>
          <w:sz w:val="20"/>
        </w:rPr>
        <w:t xml:space="preserve">, the future repurchase rights present in the lease agreements preclude the transaction from being accounted for as a real estate acquisition. During the six months ended June 30, 2026, the Company acquired the 2026 Sales-Type Lease which qualifies as a sales-type lease pursuant to FASB ASC Topic 842, </w:t>
      </w:r>
      <w:r>
        <w:rPr>
          <w:rFonts w:ascii="Times New Roman;Times;serif" w:hAnsi="Times New Roman;Times;serif"/>
          <w:i/>
          <w:sz w:val="20"/>
        </w:rPr>
        <w:t xml:space="preserve">Leases. </w:t>
      </w:r>
      <w:r>
        <w:rPr>
          <w:rFonts w:ascii="Times New Roman;Times;serif" w:hAnsi="Times New Roman;Times;serif"/>
          <w:sz w:val="20"/>
        </w:rPr>
        <w:t>Accordingly, for GAAP purposes, the acquisitions of the Sale-Leaseback Properties and the 2026 Sales-Type Lease are accounted for as financing arrangements, and the related assets and corresponding revenue are included in the Company’s commercial loans and investments on its consolidated balance sheets and consolidated statements of operations. The Company has imputed interest on the leases for the properties which is recognized as interest income from commercial loans and investments on the accompanying consolidated statements of operations.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71" w:before="0" w:after="0"/>
        <w:ind w:left="0" w:right="0" w:firstLine="360"/>
        <w:jc w:val="both"/>
        <w:rPr>
          <w:rFonts w:ascii="Times New Roman;Times;serif" w:hAnsi="Times New Roman;Times;serif"/>
          <w:sz w:val="20"/>
        </w:rPr>
      </w:pPr>
      <w:bookmarkStart w:id="965" w:name="Tc_BQ9IU4MxlkmOt4bJYZaHlA_22_12"/>
      <w:bookmarkStart w:id="966" w:name="Tc_0Rqgm9FhfEmji40Qv-ARHw_22_0"/>
      <w:bookmarkStart w:id="967" w:name="Tc_FUDCrriL0UC51qo5U3y-Ig_21_0"/>
      <w:bookmarkStart w:id="968" w:name="Tc_akkq3JiS5UKZWqltOlT9Rw_20_12"/>
      <w:bookmarkStart w:id="969" w:name="Tc_V00WsnS1LU-6A0UZ6ot9Ew_20_9"/>
      <w:bookmarkStart w:id="970" w:name="Tc_63UT3DndjUGnK_1E8tHbaA_20_6"/>
      <w:bookmarkStart w:id="971" w:name="Tc_TM4mnb5FgkGBpEfg36XxRA_19_4"/>
      <w:bookmarkStart w:id="972" w:name="Tc_aOnTlKDn-0uh9eiFEE_fZA_19_2"/>
      <w:bookmarkStart w:id="973" w:name="Tc_5jgDqI1mLEKQkD4bUlvKMQ_19_0"/>
      <w:bookmarkStart w:id="974" w:name="Tc_En1Ggz6_PUyhQOVPoboeuA_18_4"/>
      <w:bookmarkStart w:id="975" w:name="Tc_fB0M1VjQQE6QiD7TDx09wA_18_2"/>
      <w:bookmarkStart w:id="976" w:name="Tc_nRjP3_fimkmkknDf_-pMUg_18_0"/>
      <w:bookmarkStart w:id="977" w:name="Tc_OM5jWZW0mk-dlTUFKppevg_17_16"/>
      <w:bookmarkStart w:id="978" w:name="Tc_Oqdy5WEN0E-ewl0o3EXYkA_17_4"/>
      <w:bookmarkStart w:id="979" w:name="Tc_yrS1GuebUE63elgXaFBUqA_17_2"/>
      <w:bookmarkStart w:id="980" w:name="Tc_sGtJjp2VDUCoUoACurAQsw_17_0"/>
      <w:bookmarkStart w:id="981" w:name="Tc_nB7_eSnM8Ea9vCVg-SMA7g_16_4"/>
      <w:bookmarkStart w:id="982" w:name="Tc_vRYmSBJlu0GVK2CYJUMLvQ_16_2"/>
      <w:bookmarkStart w:id="983" w:name="Tc_uobzhLRRGkK81WSNm7CR-g_16_0"/>
      <w:bookmarkStart w:id="984" w:name="Tc_OiSCe600kUyiHy81Eww00g_15_16"/>
      <w:bookmarkStart w:id="985" w:name="Tc_v9YDCFvXhEu1Ox39ZU-kfg_15_4"/>
      <w:bookmarkStart w:id="986" w:name="Tc_TYcUtDNjjE2fKtAyRW5obg_15_2"/>
      <w:bookmarkStart w:id="987" w:name="Tc_VIeykIVfnESh36rni8v3hA_15_0"/>
      <w:bookmarkStart w:id="988" w:name="Tc_Yq6SokX670-AsDwE62gfSw_14_16"/>
      <w:bookmarkStart w:id="989" w:name="Tc_3HhuEfXOw0Cs6p_6D21CmA_14_4"/>
      <w:bookmarkStart w:id="990" w:name="Tc_rW-gWL3ZEkCHBVwaQRTyiA_14_2"/>
      <w:bookmarkStart w:id="991" w:name="Tc_fg0btLS_rUi1uSHsyDY2OQ_14_0"/>
      <w:bookmarkStart w:id="992" w:name="Tc_d_atSjpfQESl6Z3VuPZsCg_13_4"/>
      <w:bookmarkStart w:id="993" w:name="Tc_uzYPuTp99EWjG2xiyTPF4w_13_2"/>
      <w:bookmarkStart w:id="994" w:name="Tc_mTcX0necdkGDSJDaNDVeUQ_13_0"/>
      <w:bookmarkStart w:id="995" w:name="Tc_5Yyd0fg9v0iWEV1zHZ0x3Q_12_16"/>
      <w:bookmarkStart w:id="996" w:name="Tc_Z3WHTCo5nEy8ASuL4OMMoA_12_4"/>
      <w:bookmarkStart w:id="997" w:name="Tc_HwaaUbIgQ0y7an0XXWFXlA_12_2"/>
      <w:bookmarkStart w:id="998" w:name="Tc_UwJ5dFsSoEmzsIz8kx7uFA_12_0"/>
      <w:bookmarkStart w:id="999" w:name="Tc_znoFSg9goUufyyy6dCze6g_11_16"/>
      <w:bookmarkStart w:id="1000" w:name="Tc_selL7oHTIkmOECUhwnYEtg_11_4"/>
      <w:bookmarkStart w:id="1001" w:name="Tc_98fWRfHFVkm-lQ91fEXkrA_11_2"/>
      <w:bookmarkStart w:id="1002" w:name="Tc_89F2HtXmZEGSEfvkQnmACg_11_0"/>
      <w:bookmarkStart w:id="1003" w:name="Tc_yRvqx_EHIUWTg2UcfbPaAA_10_4"/>
      <w:bookmarkStart w:id="1004" w:name="Tc_0cFsuXRZBEKs0N34Ple-pQ_10_2"/>
      <w:bookmarkStart w:id="1005" w:name="Tc_tdAZoZHatUaJhAxkrmz5Eg_10_0"/>
      <w:bookmarkStart w:id="1006" w:name="Tc_bQLNAo40nkGdmP-CSsZ6zg_9_4"/>
      <w:bookmarkStart w:id="1007" w:name="Tc_fBzO5-3L8kiNa6e802jy1w_9_2"/>
      <w:bookmarkStart w:id="1008" w:name="Tc_89qhoRpOG0CPq_yH92u0UA_9_0"/>
      <w:bookmarkStart w:id="1009" w:name="Tc_7w_k-WF8M0elrBy86GtfMQ_8_4"/>
      <w:bookmarkStart w:id="1010" w:name="Tc_zKLBtILlzEev0E8lKw-P-w_8_2"/>
      <w:bookmarkStart w:id="1011" w:name="Tc_S78OeI0TX0yl-Lbxh-9m1Q_8_0"/>
      <w:bookmarkStart w:id="1012" w:name="Tc_UbLNkdBbQESqcjYMkY2uyQ_7_4"/>
      <w:bookmarkStart w:id="1013" w:name="Tc_HfilkmjtN0aVUrvmZ-ep-g_7_2"/>
      <w:bookmarkStart w:id="1014" w:name="Tc_q3vDXTOqOUCpc4CvjPQzdQ_7_0"/>
      <w:bookmarkStart w:id="1015" w:name="Tc_vGsiRBxA70q4AA8SWOCyww_6_4"/>
      <w:bookmarkStart w:id="1016" w:name="Tc_NYnEQZoCuEGt2v714GaJVA_6_2"/>
      <w:bookmarkStart w:id="1017" w:name="Tc_pn2qUqj61Eq_9NJF7nF-bA_6_0"/>
      <w:bookmarkStart w:id="1018" w:name="Tc_QXKGmHrCZkOhI57_QUnZng_5_4"/>
      <w:bookmarkStart w:id="1019" w:name="Tc_qvKNPdHK3U2tiwtawTblsQ_5_2"/>
      <w:bookmarkStart w:id="1020" w:name="Tc_jIweWByv6ECEhzYYVcKc6A_5_0"/>
      <w:bookmarkStart w:id="1021" w:name="Tc_Uqs6Y6Iz7kGdZBiLtQlLXw_4_4"/>
      <w:bookmarkStart w:id="1022" w:name="Tc_PVwQahVzV0Cq2ih5NExzgQ_4_2"/>
      <w:bookmarkStart w:id="1023" w:name="Tc_Zmgo3Qvj_ECN_na2ky4rwA_4_0"/>
      <w:bookmarkStart w:id="1024" w:name="Tc_mUyR4UrWT023VBE2NIeNyw_3_4"/>
      <w:bookmarkStart w:id="1025" w:name="Tc_ybXShBa_DEKUETxKABHxUw_3_2"/>
      <w:bookmarkStart w:id="1026" w:name="Tc_zOmKAC86HUCbODDiMiOXcQ_3_0"/>
      <w:bookmarkStart w:id="1027" w:name="Tc_McgxJUov0ESZxo_G6cQgig_2_12"/>
      <w:bookmarkStart w:id="1028" w:name="Tc_EvE6dv8ccUe3RUqG6ZZtfw_2_9"/>
      <w:bookmarkStart w:id="1029" w:name="Tc__9fKe6bE00mr_3sSVPB7mg_2_6"/>
      <w:bookmarkStart w:id="1030" w:name="Tc_T8Ehbe_zEkaFYhSVQNpu1g_2_4"/>
      <w:bookmarkStart w:id="1031" w:name="Tc_9x6GFfGwBUqVxcDDXgXUhQ_2_2"/>
      <w:bookmarkStart w:id="1032" w:name="Tc_ZfgE6HzspUiAucBkcsiWrw_2_0"/>
      <w:bookmarkStart w:id="1033" w:name="Tc_WFCzPnd0OE2NmZ_xZylohA_1_15"/>
      <w:bookmarkStart w:id="1034" w:name="Tc_vFrQ2k_Vtk2TywBVWhBeEA_1_12"/>
      <w:bookmarkStart w:id="1035" w:name="Tc_27YitLUdIUm2RHpoj_NYhQ_1_9"/>
      <w:bookmarkStart w:id="1036" w:name="Tc_bUUilVWS2kyZyfDaYDQeOg_1_6"/>
      <w:bookmarkStart w:id="1037" w:name="Tc_hmetiNnxvU-pdresJIn5RQ_1_4"/>
      <w:bookmarkStart w:id="1038" w:name="Tc_tpSjj03wOUO6vZZeuOiRLQ_1_2"/>
      <w:bookmarkStart w:id="1039" w:name="Tc__de-FUfPWkCoE23r5sPspA_1_0"/>
      <w:bookmarkStart w:id="1040" w:name="_397f6bcf_81ed_419d_a4af_0e0cc4c8e1f1"/>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r>
        <w:rPr>
          <w:rFonts w:ascii="Times New Roman;Times;serif" w:hAnsi="Times New Roman;Times;serif"/>
          <w:sz w:val="20"/>
        </w:rPr>
        <w:t>The Company’s commercial loans and investments were comprised of the following at June 30, 2026 (in thousands):</w:t>
      </w:r>
    </w:p>
    <w:p>
      <w:pPr>
        <w:pStyle w:val="TextBody"/>
        <w:bidi w:val="0"/>
        <w:spacing w:before="0" w:after="0"/>
        <w:ind w:left="0" w:right="0" w:firstLine="360"/>
        <w:jc w:val="both"/>
        <w:rPr/>
      </w:pPr>
      <w:r>
        <w:rPr/>
        <w:t>​</w:t>
      </w:r>
    </w:p>
    <w:tbl>
      <w:tblPr>
        <w:tblW w:w="10205" w:type="dxa"/>
        <w:jc w:val="left"/>
        <w:tblInd w:w="0" w:type="dxa"/>
        <w:tblLayout w:type="fixed"/>
        <w:tblCellMar>
          <w:top w:w="0" w:type="dxa"/>
          <w:left w:w="0" w:type="dxa"/>
          <w:bottom w:w="0" w:type="dxa"/>
          <w:right w:w="0" w:type="dxa"/>
        </w:tblCellMar>
      </w:tblPr>
      <w:tblGrid>
        <w:gridCol w:w="2019"/>
        <w:gridCol w:w="346"/>
        <w:gridCol w:w="1031"/>
        <w:gridCol w:w="346"/>
        <w:gridCol w:w="931"/>
        <w:gridCol w:w="346"/>
        <w:gridCol w:w="238"/>
        <w:gridCol w:w="839"/>
        <w:gridCol w:w="346"/>
        <w:gridCol w:w="236"/>
        <w:gridCol w:w="834"/>
        <w:gridCol w:w="346"/>
        <w:gridCol w:w="213"/>
        <w:gridCol w:w="753"/>
        <w:gridCol w:w="346"/>
        <w:gridCol w:w="763"/>
        <w:gridCol w:w="272"/>
      </w:tblGrid>
      <w:tr>
        <w:trPr/>
        <w:tc>
          <w:tcPr>
            <w:tcW w:w="201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54685" cy="175260"/>
                      <wp:effectExtent l="0" t="0" r="0" b="0"/>
                      <wp:wrapNone/>
                      <wp:docPr id="157" name="Frame157"/>
                      <a:graphic xmlns:a="http://schemas.openxmlformats.org/drawingml/2006/main">
                        <a:graphicData uri="http://schemas.microsoft.com/office/word/2010/wordprocessingShape">
                          <wps:wsp>
                            <wps:cNvSpPr txBox="1"/>
                            <wps:spPr>
                              <a:xfrm>
                                <a:off x="0" y="0"/>
                                <a:ext cx="654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219710" cy="175260"/>
                      <wp:effectExtent l="0" t="0" r="0" b="0"/>
                      <wp:wrapNone/>
                      <wp:docPr id="158" name="Frame15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591185" cy="175260"/>
                      <wp:effectExtent l="0" t="0" r="0" b="0"/>
                      <wp:wrapNone/>
                      <wp:docPr id="159" name="Frame159"/>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219710" cy="175260"/>
                      <wp:effectExtent l="0" t="0" r="0" b="0"/>
                      <wp:wrapNone/>
                      <wp:docPr id="160" name="Frame16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151130" cy="175260"/>
                      <wp:effectExtent l="0" t="0" r="0" b="0"/>
                      <wp:wrapNone/>
                      <wp:docPr id="161" name="Frame161"/>
                      <a:graphic xmlns:a="http://schemas.openxmlformats.org/drawingml/2006/main">
                        <a:graphicData uri="http://schemas.microsoft.com/office/word/2010/wordprocessingShape">
                          <wps:wsp>
                            <wps:cNvSpPr txBox="1"/>
                            <wps:spPr>
                              <a:xfrm>
                                <a:off x="0" y="0"/>
                                <a:ext cx="1511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532765" cy="175260"/>
                      <wp:effectExtent l="0" t="0" r="0" b="0"/>
                      <wp:wrapNone/>
                      <wp:docPr id="162" name="Frame162"/>
                      <a:graphic xmlns:a="http://schemas.openxmlformats.org/drawingml/2006/main">
                        <a:graphicData uri="http://schemas.microsoft.com/office/word/2010/wordprocessingShape">
                          <wps:wsp>
                            <wps:cNvSpPr txBox="1"/>
                            <wps:spPr>
                              <a:xfrm>
                                <a:off x="0" y="0"/>
                                <a:ext cx="532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219710" cy="175260"/>
                      <wp:effectExtent l="0" t="0" r="0" b="0"/>
                      <wp:wrapNone/>
                      <wp:docPr id="163" name="Frame16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149860" cy="175260"/>
                      <wp:effectExtent l="0" t="0" r="0" b="0"/>
                      <wp:wrapNone/>
                      <wp:docPr id="164" name="Frame164"/>
                      <a:graphic xmlns:a="http://schemas.openxmlformats.org/drawingml/2006/main">
                        <a:graphicData uri="http://schemas.microsoft.com/office/word/2010/wordprocessingShape">
                          <wps:wsp>
                            <wps:cNvSpPr txBox="1"/>
                            <wps:spPr>
                              <a:xfrm>
                                <a:off x="0" y="0"/>
                                <a:ext cx="149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529590" cy="175260"/>
                      <wp:effectExtent l="0" t="0" r="0" b="0"/>
                      <wp:wrapNone/>
                      <wp:docPr id="165" name="Frame165"/>
                      <a:graphic xmlns:a="http://schemas.openxmlformats.org/drawingml/2006/main">
                        <a:graphicData uri="http://schemas.microsoft.com/office/word/2010/wordprocessingShape">
                          <wps:wsp>
                            <wps:cNvSpPr txBox="1"/>
                            <wps:spPr>
                              <a:xfrm>
                                <a:off x="0" y="0"/>
                                <a:ext cx="5295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219710" cy="175260"/>
                      <wp:effectExtent l="0" t="0" r="0" b="0"/>
                      <wp:wrapNone/>
                      <wp:docPr id="166" name="Frame16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135255" cy="175260"/>
                      <wp:effectExtent l="0" t="0" r="0" b="0"/>
                      <wp:wrapNone/>
                      <wp:docPr id="167" name="Frame167"/>
                      <a:graphic xmlns:a="http://schemas.openxmlformats.org/drawingml/2006/main">
                        <a:graphicData uri="http://schemas.microsoft.com/office/word/2010/wordprocessingShape">
                          <wps:wsp>
                            <wps:cNvSpPr txBox="1"/>
                            <wps:spPr>
                              <a:xfrm>
                                <a:off x="0" y="0"/>
                                <a:ext cx="1352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478155" cy="175260"/>
                      <wp:effectExtent l="0" t="0" r="0" b="0"/>
                      <wp:wrapNone/>
                      <wp:docPr id="168" name="Frame168"/>
                      <a:graphic xmlns:a="http://schemas.openxmlformats.org/drawingml/2006/main">
                        <a:graphicData uri="http://schemas.microsoft.com/office/word/2010/wordprocessingShape">
                          <wps:wsp>
                            <wps:cNvSpPr txBox="1"/>
                            <wps:spPr>
                              <a:xfrm>
                                <a:off x="0" y="0"/>
                                <a:ext cx="4781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219710" cy="175260"/>
                      <wp:effectExtent l="0" t="0" r="0" b="0"/>
                      <wp:wrapNone/>
                      <wp:docPr id="169" name="Frame16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484505" cy="175260"/>
                      <wp:effectExtent l="0" t="0" r="0" b="0"/>
                      <wp:wrapNone/>
                      <wp:docPr id="170" name="Frame170"/>
                      <a:graphic xmlns:a="http://schemas.openxmlformats.org/drawingml/2006/main">
                        <a:graphicData uri="http://schemas.microsoft.com/office/word/2010/wordprocessingShape">
                          <wps:wsp>
                            <wps:cNvSpPr txBox="1"/>
                            <wps:spPr>
                              <a:xfrm>
                                <a:off x="0" y="0"/>
                                <a:ext cx="4845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172720" cy="175260"/>
                      <wp:effectExtent l="0" t="0" r="0" b="0"/>
                      <wp:wrapNone/>
                      <wp:docPr id="171" name="Frame171"/>
                      <a:graphic xmlns:a="http://schemas.openxmlformats.org/drawingml/2006/main">
                        <a:graphicData uri="http://schemas.microsoft.com/office/word/2010/wordprocessingShape">
                          <wps:wsp>
                            <wps:cNvSpPr txBox="1"/>
                            <wps:spPr>
                              <a:xfrm>
                                <a:off x="0" y="0"/>
                                <a:ext cx="1727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019"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7"/>
              </w:rPr>
            </w:pPr>
            <w:r>
              <w:rPr>
                <w:rFonts w:ascii="Times New Roman;Times;serif" w:hAnsi="Times New Roman;Times;serif"/>
                <w:b/>
                <w:sz w:val="17"/>
              </w:rPr>
              <w:t>Description</w:t>
            </w:r>
          </w:p>
        </w:tc>
        <w:tc>
          <w:tcPr>
            <w:tcW w:w="346" w:type="dxa"/>
            <w:tcBorders/>
            <w:vAlign w:val="center"/>
          </w:tcPr>
          <w:p>
            <w:pPr>
              <w:pStyle w:val="TableContents"/>
              <w:bidi w:val="0"/>
              <w:spacing w:before="0" w:after="0"/>
              <w:ind w:left="0" w:right="0" w:hanging="0"/>
              <w:jc w:val="left"/>
              <w:rPr/>
            </w:pPr>
            <w:r>
              <w:rPr/>
              <w:t>  ​ ​ ​</w:t>
            </w:r>
          </w:p>
        </w:tc>
        <w:tc>
          <w:tcPr>
            <w:tcW w:w="10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7"/>
              </w:rPr>
            </w:pPr>
            <w:r>
              <w:rPr>
                <w:rFonts w:ascii="Times New Roman;Times;serif" w:hAnsi="Times New Roman;Times;serif"/>
                <w:b/>
                <w:sz w:val="17"/>
              </w:rPr>
              <w:t>Date of Investment</w:t>
            </w:r>
          </w:p>
        </w:tc>
        <w:tc>
          <w:tcPr>
            <w:tcW w:w="346" w:type="dxa"/>
            <w:tcBorders/>
            <w:vAlign w:val="center"/>
          </w:tcPr>
          <w:p>
            <w:pPr>
              <w:pStyle w:val="TableContents"/>
              <w:bidi w:val="0"/>
              <w:spacing w:before="0" w:after="0"/>
              <w:ind w:left="0" w:right="0" w:hanging="0"/>
              <w:jc w:val="left"/>
              <w:rPr/>
            </w:pPr>
            <w:r>
              <w:rPr/>
              <w:t>  ​ ​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7"/>
              </w:rPr>
            </w:pPr>
            <w:r>
              <w:rPr>
                <w:rFonts w:ascii="Times New Roman;Times;serif" w:hAnsi="Times New Roman;Times;serif"/>
                <w:b/>
                <w:sz w:val="17"/>
              </w:rPr>
              <w:t>Maturity Date</w:t>
            </w:r>
          </w:p>
        </w:tc>
        <w:tc>
          <w:tcPr>
            <w:tcW w:w="346" w:type="dxa"/>
            <w:tcBorders/>
            <w:vAlign w:val="center"/>
          </w:tcPr>
          <w:p>
            <w:pPr>
              <w:pStyle w:val="TableContents"/>
              <w:bidi w:val="0"/>
              <w:spacing w:before="0" w:after="0"/>
              <w:ind w:left="0" w:right="0" w:hanging="0"/>
              <w:jc w:val="left"/>
              <w:rPr/>
            </w:pPr>
            <w:r>
              <w:rPr/>
              <w:t>  ​ ​ ​</w:t>
            </w:r>
          </w:p>
        </w:tc>
        <w:tc>
          <w:tcPr>
            <w:tcW w:w="107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7"/>
              </w:rPr>
            </w:pPr>
            <w:r>
              <w:rPr>
                <w:rFonts w:ascii="Times New Roman;Times;serif" w:hAnsi="Times New Roman;Times;serif"/>
                <w:b/>
                <w:sz w:val="17"/>
              </w:rPr>
              <w:t>Original Face Amount</w:t>
            </w:r>
          </w:p>
        </w:tc>
        <w:tc>
          <w:tcPr>
            <w:tcW w:w="346" w:type="dxa"/>
            <w:tcBorders/>
            <w:vAlign w:val="center"/>
          </w:tcPr>
          <w:p>
            <w:pPr>
              <w:pStyle w:val="TableContents"/>
              <w:bidi w:val="0"/>
              <w:spacing w:before="0" w:after="0"/>
              <w:ind w:left="0" w:right="0" w:hanging="0"/>
              <w:jc w:val="left"/>
              <w:rPr/>
            </w:pPr>
            <w:r>
              <w:rPr/>
              <w:t>  ​ ​ ​</w:t>
            </w:r>
          </w:p>
        </w:tc>
        <w:tc>
          <w:tcPr>
            <w:tcW w:w="10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7"/>
              </w:rPr>
            </w:pPr>
            <w:r>
              <w:rPr>
                <w:rFonts w:ascii="Times New Roman;Times;serif" w:hAnsi="Times New Roman;Times;serif"/>
                <w:b/>
                <w:sz w:val="17"/>
              </w:rPr>
              <w:t>Current Face Amount</w:t>
            </w:r>
          </w:p>
        </w:tc>
        <w:tc>
          <w:tcPr>
            <w:tcW w:w="346" w:type="dxa"/>
            <w:tcBorders/>
            <w:vAlign w:val="center"/>
          </w:tcPr>
          <w:p>
            <w:pPr>
              <w:pStyle w:val="TableContents"/>
              <w:bidi w:val="0"/>
              <w:spacing w:before="0" w:after="0"/>
              <w:ind w:left="0" w:right="0" w:hanging="0"/>
              <w:jc w:val="left"/>
              <w:rPr/>
            </w:pPr>
            <w:r>
              <w:rPr/>
              <w:t>  ​ ​ ​</w:t>
            </w:r>
          </w:p>
        </w:tc>
        <w:tc>
          <w:tcPr>
            <w:tcW w:w="9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7"/>
              </w:rPr>
            </w:pPr>
            <w:r>
              <w:rPr>
                <w:rFonts w:ascii="Times New Roman;Times;serif" w:hAnsi="Times New Roman;Times;serif"/>
                <w:b/>
                <w:sz w:val="17"/>
              </w:rPr>
              <w:t>Carrying Value</w:t>
            </w:r>
          </w:p>
        </w:tc>
        <w:tc>
          <w:tcPr>
            <w:tcW w:w="346" w:type="dxa"/>
            <w:tcBorders/>
            <w:vAlign w:val="center"/>
          </w:tcPr>
          <w:p>
            <w:pPr>
              <w:pStyle w:val="TableContents"/>
              <w:bidi w:val="0"/>
              <w:spacing w:before="0" w:after="0"/>
              <w:ind w:left="0" w:right="0" w:hanging="0"/>
              <w:jc w:val="left"/>
              <w:rPr/>
            </w:pPr>
            <w:r>
              <w:rPr/>
              <w:t>  ​ ​ ​</w:t>
            </w:r>
          </w:p>
        </w:tc>
        <w:tc>
          <w:tcPr>
            <w:tcW w:w="76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7"/>
              </w:rPr>
            </w:pPr>
            <w:r>
              <w:rPr>
                <w:rFonts w:ascii="Times New Roman;Times;serif" w:hAnsi="Times New Roman;Times;serif"/>
                <w:b/>
                <w:sz w:val="17"/>
              </w:rPr>
              <w:t>Coupon Rate</w:t>
            </w:r>
          </w:p>
        </w:tc>
        <w:tc>
          <w:tcPr>
            <w:tcW w:w="272" w:type="dxa"/>
            <w:tcBorders/>
            <w:vAlign w:val="center"/>
          </w:tcPr>
          <w:p>
            <w:pPr>
              <w:pStyle w:val="TableContents"/>
              <w:bidi w:val="0"/>
              <w:spacing w:before="0" w:after="0"/>
              <w:ind w:left="0" w:right="0" w:hanging="0"/>
              <w:jc w:val="center"/>
              <w:rPr/>
            </w:pPr>
            <w:r>
              <w:rPr/>
              <w:t>​</w:t>
            </w:r>
          </w:p>
        </w:tc>
      </w:tr>
      <w:tr>
        <w:trPr/>
        <w:tc>
          <w:tcPr>
            <w:tcW w:w="2019"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Construction Loan – Wawa Land Development – Greenwood, IN</w:t>
            </w:r>
          </w:p>
        </w:tc>
        <w:tc>
          <w:tcPr>
            <w:tcW w:w="346" w:type="dxa"/>
            <w:tcBorders/>
            <w:shd w:fill="CCEEFF" w:val="clear"/>
            <w:vAlign w:val="center"/>
          </w:tcPr>
          <w:p>
            <w:pPr>
              <w:pStyle w:val="TableContents"/>
              <w:bidi w:val="0"/>
              <w:spacing w:before="0" w:after="0"/>
              <w:ind w:left="0" w:right="0" w:hanging="0"/>
              <w:jc w:val="left"/>
              <w:rPr/>
            </w:pPr>
            <w:r>
              <w:rPr/>
              <w:t>​</w:t>
            </w:r>
          </w:p>
        </w:tc>
        <w:tc>
          <w:tcPr>
            <w:tcW w:w="1031"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July 2023</w:t>
            </w:r>
          </w:p>
        </w:tc>
        <w:tc>
          <w:tcPr>
            <w:tcW w:w="34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sz w:val="17"/>
              </w:rPr>
              <w:t xml:space="preserve">July 2026 </w:t>
            </w:r>
            <w:r>
              <w:rPr>
                <w:rFonts w:ascii="Times New Roman;Times;serif" w:hAnsi="Times New Roman;Times;serif"/>
                <w:sz w:val="13"/>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839"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14,980</w:t>
            </w:r>
          </w:p>
        </w:tc>
        <w:tc>
          <w:tcPr>
            <w:tcW w:w="346" w:type="dxa"/>
            <w:tcBorders/>
            <w:shd w:fill="CCEEFF" w:val="clear"/>
            <w:vAlign w:val="center"/>
          </w:tcPr>
          <w:p>
            <w:pPr>
              <w:pStyle w:val="TableContents"/>
              <w:bidi w:val="0"/>
              <w:spacing w:before="0" w:after="0"/>
              <w:ind w:left="0" w:right="0" w:hanging="0"/>
              <w:jc w:val="left"/>
              <w:rPr/>
            </w:pPr>
            <w:r>
              <w:rPr/>
              <w:t>​</w:t>
            </w:r>
          </w:p>
        </w:tc>
        <w:tc>
          <w:tcPr>
            <w:tcW w:w="236"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834"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11,835</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753"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11,869</w:t>
            </w:r>
          </w:p>
        </w:tc>
        <w:tc>
          <w:tcPr>
            <w:tcW w:w="346" w:type="dxa"/>
            <w:tcBorders/>
            <w:shd w:fill="CCEEFF" w:val="clear"/>
            <w:vAlign w:val="center"/>
          </w:tcPr>
          <w:p>
            <w:pPr>
              <w:pStyle w:val="TableContents"/>
              <w:bidi w:val="0"/>
              <w:spacing w:before="0" w:after="0"/>
              <w:ind w:left="0" w:right="0" w:hanging="0"/>
              <w:jc w:val="left"/>
              <w:rPr/>
            </w:pPr>
            <w:r>
              <w:rPr/>
              <w:t>​</w:t>
            </w:r>
          </w:p>
        </w:tc>
        <w:tc>
          <w:tcPr>
            <w:tcW w:w="763"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9.50%</w:t>
            </w:r>
          </w:p>
        </w:tc>
        <w:tc>
          <w:tcPr>
            <w:tcW w:w="272" w:type="dxa"/>
            <w:tcBorders/>
            <w:shd w:fill="CCEEFF" w:val="clear"/>
            <w:vAlign w:val="center"/>
          </w:tcPr>
          <w:p>
            <w:pPr>
              <w:pStyle w:val="TableContents"/>
              <w:bidi w:val="0"/>
              <w:spacing w:before="0" w:after="0"/>
              <w:ind w:left="0" w:right="0" w:hanging="0"/>
              <w:jc w:val="center"/>
              <w:rPr/>
            </w:pPr>
            <w:r>
              <w:rPr/>
              <w:t>​</w:t>
            </w:r>
          </w:p>
        </w:tc>
      </w:tr>
      <w:tr>
        <w:trPr/>
        <w:tc>
          <w:tcPr>
            <w:tcW w:w="2019"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Construction Loan – Wawa Land Development – Antioch, TN</w:t>
            </w:r>
          </w:p>
        </w:tc>
        <w:tc>
          <w:tcPr>
            <w:tcW w:w="346" w:type="dxa"/>
            <w:tcBorders/>
            <w:vAlign w:val="center"/>
          </w:tcPr>
          <w:p>
            <w:pPr>
              <w:pStyle w:val="TableContents"/>
              <w:bidi w:val="0"/>
              <w:spacing w:before="0" w:after="0"/>
              <w:ind w:left="0" w:right="0" w:hanging="0"/>
              <w:jc w:val="left"/>
              <w:rPr/>
            </w:pPr>
            <w:r>
              <w:rPr/>
              <w:t>​</w:t>
            </w:r>
          </w:p>
        </w:tc>
        <w:tc>
          <w:tcPr>
            <w:tcW w:w="1031"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October 2023</w:t>
            </w:r>
          </w:p>
        </w:tc>
        <w:tc>
          <w:tcPr>
            <w:tcW w:w="34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October 2026</w:t>
            </w:r>
          </w:p>
        </w:tc>
        <w:tc>
          <w:tcPr>
            <w:tcW w:w="346"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w:t>
            </w:r>
          </w:p>
        </w:tc>
        <w:tc>
          <w:tcPr>
            <w:tcW w:w="839"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7,425</w:t>
            </w:r>
          </w:p>
        </w:tc>
        <w:tc>
          <w:tcPr>
            <w:tcW w:w="346"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pPr>
            <w:r>
              <w:rPr/>
              <w:t>​</w:t>
            </w:r>
          </w:p>
        </w:tc>
        <w:tc>
          <w:tcPr>
            <w:tcW w:w="834"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7,282</w:t>
            </w:r>
          </w:p>
        </w:tc>
        <w:tc>
          <w:tcPr>
            <w:tcW w:w="34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w:t>
            </w:r>
          </w:p>
        </w:tc>
        <w:tc>
          <w:tcPr>
            <w:tcW w:w="753"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7,296</w:t>
            </w:r>
          </w:p>
        </w:tc>
        <w:tc>
          <w:tcPr>
            <w:tcW w:w="346" w:type="dxa"/>
            <w:tcBorders/>
            <w:vAlign w:val="center"/>
          </w:tcPr>
          <w:p>
            <w:pPr>
              <w:pStyle w:val="TableContents"/>
              <w:bidi w:val="0"/>
              <w:spacing w:before="0" w:after="0"/>
              <w:ind w:left="0" w:right="0" w:hanging="0"/>
              <w:jc w:val="left"/>
              <w:rPr/>
            </w:pPr>
            <w:r>
              <w:rPr/>
              <w:t>​</w:t>
            </w:r>
          </w:p>
        </w:tc>
        <w:tc>
          <w:tcPr>
            <w:tcW w:w="763"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10.25%</w:t>
            </w:r>
          </w:p>
        </w:tc>
        <w:tc>
          <w:tcPr>
            <w:tcW w:w="272" w:type="dxa"/>
            <w:tcBorders/>
            <w:vAlign w:val="center"/>
          </w:tcPr>
          <w:p>
            <w:pPr>
              <w:pStyle w:val="TableContents"/>
              <w:bidi w:val="0"/>
              <w:spacing w:before="0" w:after="0"/>
              <w:ind w:left="0" w:right="0" w:hanging="0"/>
              <w:jc w:val="center"/>
              <w:rPr/>
            </w:pPr>
            <w:r>
              <w:rPr/>
              <w:t>​</w:t>
            </w:r>
          </w:p>
        </w:tc>
      </w:tr>
      <w:tr>
        <w:trPr/>
        <w:tc>
          <w:tcPr>
            <w:tcW w:w="2019"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Sale-Leaseback – Bradenton Beach, FL</w:t>
            </w:r>
          </w:p>
        </w:tc>
        <w:tc>
          <w:tcPr>
            <w:tcW w:w="346" w:type="dxa"/>
            <w:tcBorders/>
            <w:shd w:fill="CCEEFF" w:val="clear"/>
            <w:vAlign w:val="center"/>
          </w:tcPr>
          <w:p>
            <w:pPr>
              <w:pStyle w:val="TableContents"/>
              <w:bidi w:val="0"/>
              <w:spacing w:before="0" w:after="0"/>
              <w:ind w:left="0" w:right="0" w:hanging="0"/>
              <w:jc w:val="left"/>
              <w:rPr/>
            </w:pPr>
            <w:r>
              <w:rPr/>
              <w:t>​</w:t>
            </w:r>
          </w:p>
        </w:tc>
        <w:tc>
          <w:tcPr>
            <w:tcW w:w="1031"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August 2024</w:t>
            </w:r>
          </w:p>
        </w:tc>
        <w:tc>
          <w:tcPr>
            <w:tcW w:w="34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sz w:val="17"/>
              </w:rPr>
              <w:t xml:space="preserve">August 2029 </w:t>
            </w:r>
            <w:r>
              <w:rPr>
                <w:rFonts w:ascii="Times New Roman;Times;serif" w:hAnsi="Times New Roman;Times;serif"/>
                <w:sz w:val="13"/>
              </w:rPr>
              <w:t>(2)</w:t>
            </w:r>
          </w:p>
        </w:tc>
        <w:tc>
          <w:tcPr>
            <w:tcW w:w="346"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pPr>
            <w:r>
              <w:rPr/>
              <w:t>​</w:t>
            </w:r>
          </w:p>
        </w:tc>
        <w:tc>
          <w:tcPr>
            <w:tcW w:w="839"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9,608</w:t>
            </w:r>
          </w:p>
        </w:tc>
        <w:tc>
          <w:tcPr>
            <w:tcW w:w="346" w:type="dxa"/>
            <w:tcBorders/>
            <w:shd w:fill="CCEEFF" w:val="clear"/>
            <w:vAlign w:val="center"/>
          </w:tcPr>
          <w:p>
            <w:pPr>
              <w:pStyle w:val="TableContents"/>
              <w:bidi w:val="0"/>
              <w:spacing w:before="0" w:after="0"/>
              <w:ind w:left="0" w:right="0" w:hanging="0"/>
              <w:jc w:val="left"/>
              <w:rPr/>
            </w:pPr>
            <w:r>
              <w:rPr/>
              <w:t>​</w:t>
            </w:r>
          </w:p>
        </w:tc>
        <w:tc>
          <w:tcPr>
            <w:tcW w:w="236" w:type="dxa"/>
            <w:tcBorders/>
            <w:shd w:fill="CCEEFF" w:val="clear"/>
            <w:vAlign w:val="center"/>
          </w:tcPr>
          <w:p>
            <w:pPr>
              <w:pStyle w:val="TableContents"/>
              <w:bidi w:val="0"/>
              <w:spacing w:before="0" w:after="0"/>
              <w:ind w:left="0" w:right="0" w:hanging="0"/>
              <w:jc w:val="left"/>
              <w:rPr/>
            </w:pPr>
            <w:r>
              <w:rPr/>
              <w:t>​</w:t>
            </w:r>
          </w:p>
        </w:tc>
        <w:tc>
          <w:tcPr>
            <w:tcW w:w="834"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9,475</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w:t>
            </w:r>
          </w:p>
        </w:tc>
        <w:tc>
          <w:tcPr>
            <w:tcW w:w="753"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9,475</w:t>
            </w:r>
          </w:p>
        </w:tc>
        <w:tc>
          <w:tcPr>
            <w:tcW w:w="346" w:type="dxa"/>
            <w:tcBorders/>
            <w:shd w:fill="CCEEFF" w:val="clear"/>
            <w:vAlign w:val="center"/>
          </w:tcPr>
          <w:p>
            <w:pPr>
              <w:pStyle w:val="TableContents"/>
              <w:bidi w:val="0"/>
              <w:spacing w:before="0" w:after="0"/>
              <w:ind w:left="0" w:right="0" w:hanging="0"/>
              <w:jc w:val="left"/>
              <w:rPr/>
            </w:pPr>
            <w:r>
              <w:rPr/>
              <w:t>​</w:t>
            </w:r>
          </w:p>
        </w:tc>
        <w:tc>
          <w:tcPr>
            <w:tcW w:w="763"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8.30%</w:t>
            </w:r>
          </w:p>
        </w:tc>
        <w:tc>
          <w:tcPr>
            <w:tcW w:w="272" w:type="dxa"/>
            <w:tcBorders/>
            <w:shd w:fill="CCEEFF" w:val="clear"/>
            <w:vAlign w:val="center"/>
          </w:tcPr>
          <w:p>
            <w:pPr>
              <w:pStyle w:val="TableContents"/>
              <w:bidi w:val="0"/>
              <w:spacing w:before="0" w:after="0"/>
              <w:ind w:left="0" w:right="0" w:hanging="0"/>
              <w:jc w:val="center"/>
              <w:rPr/>
            </w:pPr>
            <w:r>
              <w:rPr/>
              <w:t>​</w:t>
            </w:r>
          </w:p>
        </w:tc>
      </w:tr>
      <w:tr>
        <w:trPr/>
        <w:tc>
          <w:tcPr>
            <w:tcW w:w="2019"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Sale-Leaseback – Anna Maria, FL</w:t>
            </w:r>
          </w:p>
        </w:tc>
        <w:tc>
          <w:tcPr>
            <w:tcW w:w="346" w:type="dxa"/>
            <w:tcBorders/>
            <w:vAlign w:val="center"/>
          </w:tcPr>
          <w:p>
            <w:pPr>
              <w:pStyle w:val="TableContents"/>
              <w:bidi w:val="0"/>
              <w:spacing w:before="0" w:after="0"/>
              <w:ind w:left="0" w:right="0" w:hanging="0"/>
              <w:jc w:val="left"/>
              <w:rPr/>
            </w:pPr>
            <w:r>
              <w:rPr/>
              <w:t>​</w:t>
            </w:r>
          </w:p>
        </w:tc>
        <w:tc>
          <w:tcPr>
            <w:tcW w:w="1031"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August 2024</w:t>
            </w:r>
          </w:p>
        </w:tc>
        <w:tc>
          <w:tcPr>
            <w:tcW w:w="34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sz w:val="17"/>
              </w:rPr>
              <w:t xml:space="preserve">August 2029 </w:t>
            </w:r>
            <w:r>
              <w:rPr>
                <w:rFonts w:ascii="Times New Roman;Times;serif" w:hAnsi="Times New Roman;Times;serif"/>
                <w:sz w:val="13"/>
              </w:rPr>
              <w:t>(2)</w:t>
            </w:r>
          </w:p>
        </w:tc>
        <w:tc>
          <w:tcPr>
            <w:tcW w:w="346"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w:t>
            </w:r>
          </w:p>
        </w:tc>
        <w:tc>
          <w:tcPr>
            <w:tcW w:w="839"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16,408</w:t>
            </w:r>
          </w:p>
        </w:tc>
        <w:tc>
          <w:tcPr>
            <w:tcW w:w="346"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pPr>
            <w:r>
              <w:rPr/>
              <w:t>​</w:t>
            </w:r>
          </w:p>
        </w:tc>
        <w:tc>
          <w:tcPr>
            <w:tcW w:w="834"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16,180</w:t>
            </w:r>
          </w:p>
        </w:tc>
        <w:tc>
          <w:tcPr>
            <w:tcW w:w="34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w:t>
            </w:r>
          </w:p>
        </w:tc>
        <w:tc>
          <w:tcPr>
            <w:tcW w:w="753"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16,180</w:t>
            </w:r>
          </w:p>
        </w:tc>
        <w:tc>
          <w:tcPr>
            <w:tcW w:w="346" w:type="dxa"/>
            <w:tcBorders/>
            <w:vAlign w:val="center"/>
          </w:tcPr>
          <w:p>
            <w:pPr>
              <w:pStyle w:val="TableContents"/>
              <w:bidi w:val="0"/>
              <w:spacing w:before="0" w:after="0"/>
              <w:ind w:left="0" w:right="0" w:hanging="0"/>
              <w:jc w:val="left"/>
              <w:rPr/>
            </w:pPr>
            <w:r>
              <w:rPr/>
              <w:t>​</w:t>
            </w:r>
          </w:p>
        </w:tc>
        <w:tc>
          <w:tcPr>
            <w:tcW w:w="763"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8.30%</w:t>
            </w:r>
          </w:p>
        </w:tc>
        <w:tc>
          <w:tcPr>
            <w:tcW w:w="272" w:type="dxa"/>
            <w:tcBorders/>
            <w:vAlign w:val="center"/>
          </w:tcPr>
          <w:p>
            <w:pPr>
              <w:pStyle w:val="TableContents"/>
              <w:bidi w:val="0"/>
              <w:spacing w:before="0" w:after="0"/>
              <w:ind w:left="0" w:right="0" w:hanging="0"/>
              <w:jc w:val="center"/>
              <w:rPr/>
            </w:pPr>
            <w:r>
              <w:rPr/>
              <w:t>​</w:t>
            </w:r>
          </w:p>
        </w:tc>
      </w:tr>
      <w:tr>
        <w:trPr/>
        <w:tc>
          <w:tcPr>
            <w:tcW w:w="2019"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Sale-Leaseback – Long Boat Key, FL</w:t>
            </w:r>
          </w:p>
        </w:tc>
        <w:tc>
          <w:tcPr>
            <w:tcW w:w="346" w:type="dxa"/>
            <w:tcBorders/>
            <w:shd w:fill="CCEEFF" w:val="clear"/>
            <w:vAlign w:val="center"/>
          </w:tcPr>
          <w:p>
            <w:pPr>
              <w:pStyle w:val="TableContents"/>
              <w:bidi w:val="0"/>
              <w:spacing w:before="0" w:after="0"/>
              <w:ind w:left="0" w:right="0" w:hanging="0"/>
              <w:jc w:val="left"/>
              <w:rPr/>
            </w:pPr>
            <w:r>
              <w:rPr/>
              <w:t>​</w:t>
            </w:r>
          </w:p>
        </w:tc>
        <w:tc>
          <w:tcPr>
            <w:tcW w:w="1031"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August 2024</w:t>
            </w:r>
          </w:p>
        </w:tc>
        <w:tc>
          <w:tcPr>
            <w:tcW w:w="34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sz w:val="17"/>
              </w:rPr>
              <w:t xml:space="preserve">August 2029 </w:t>
            </w:r>
            <w:r>
              <w:rPr>
                <w:rFonts w:ascii="Times New Roman;Times;serif" w:hAnsi="Times New Roman;Times;serif"/>
                <w:sz w:val="13"/>
              </w:rPr>
              <w:t>(2)</w:t>
            </w:r>
          </w:p>
        </w:tc>
        <w:tc>
          <w:tcPr>
            <w:tcW w:w="346"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pPr>
            <w:r>
              <w:rPr/>
              <w:t>​</w:t>
            </w:r>
          </w:p>
        </w:tc>
        <w:tc>
          <w:tcPr>
            <w:tcW w:w="839"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5,408</w:t>
            </w:r>
          </w:p>
        </w:tc>
        <w:tc>
          <w:tcPr>
            <w:tcW w:w="346" w:type="dxa"/>
            <w:tcBorders/>
            <w:shd w:fill="CCEEFF" w:val="clear"/>
            <w:vAlign w:val="center"/>
          </w:tcPr>
          <w:p>
            <w:pPr>
              <w:pStyle w:val="TableContents"/>
              <w:bidi w:val="0"/>
              <w:spacing w:before="0" w:after="0"/>
              <w:ind w:left="0" w:right="0" w:hanging="0"/>
              <w:jc w:val="left"/>
              <w:rPr/>
            </w:pPr>
            <w:r>
              <w:rPr/>
              <w:t>​</w:t>
            </w:r>
          </w:p>
        </w:tc>
        <w:tc>
          <w:tcPr>
            <w:tcW w:w="236" w:type="dxa"/>
            <w:tcBorders/>
            <w:shd w:fill="CCEEFF" w:val="clear"/>
            <w:vAlign w:val="center"/>
          </w:tcPr>
          <w:p>
            <w:pPr>
              <w:pStyle w:val="TableContents"/>
              <w:bidi w:val="0"/>
              <w:spacing w:before="0" w:after="0"/>
              <w:ind w:left="0" w:right="0" w:hanging="0"/>
              <w:jc w:val="left"/>
              <w:rPr/>
            </w:pPr>
            <w:r>
              <w:rPr/>
              <w:t>​</w:t>
            </w:r>
          </w:p>
        </w:tc>
        <w:tc>
          <w:tcPr>
            <w:tcW w:w="834"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5,333</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w:t>
            </w:r>
          </w:p>
        </w:tc>
        <w:tc>
          <w:tcPr>
            <w:tcW w:w="753"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5,333</w:t>
            </w:r>
          </w:p>
        </w:tc>
        <w:tc>
          <w:tcPr>
            <w:tcW w:w="346" w:type="dxa"/>
            <w:tcBorders/>
            <w:shd w:fill="CCEEFF" w:val="clear"/>
            <w:vAlign w:val="center"/>
          </w:tcPr>
          <w:p>
            <w:pPr>
              <w:pStyle w:val="TableContents"/>
              <w:bidi w:val="0"/>
              <w:spacing w:before="0" w:after="0"/>
              <w:ind w:left="0" w:right="0" w:hanging="0"/>
              <w:jc w:val="left"/>
              <w:rPr/>
            </w:pPr>
            <w:r>
              <w:rPr/>
              <w:t>​</w:t>
            </w:r>
          </w:p>
        </w:tc>
        <w:tc>
          <w:tcPr>
            <w:tcW w:w="763"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8.30%</w:t>
            </w:r>
          </w:p>
        </w:tc>
        <w:tc>
          <w:tcPr>
            <w:tcW w:w="272" w:type="dxa"/>
            <w:tcBorders/>
            <w:shd w:fill="CCEEFF" w:val="clear"/>
            <w:vAlign w:val="center"/>
          </w:tcPr>
          <w:p>
            <w:pPr>
              <w:pStyle w:val="TableContents"/>
              <w:bidi w:val="0"/>
              <w:spacing w:before="0" w:after="0"/>
              <w:ind w:left="0" w:right="0" w:hanging="0"/>
              <w:jc w:val="center"/>
              <w:rPr/>
            </w:pPr>
            <w:r>
              <w:rPr/>
              <w:t>​</w:t>
            </w:r>
          </w:p>
        </w:tc>
      </w:tr>
      <w:tr>
        <w:trPr/>
        <w:tc>
          <w:tcPr>
            <w:tcW w:w="2019"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Mortgage Note – At Home Plaza – North Canton, OH</w:t>
            </w:r>
          </w:p>
        </w:tc>
        <w:tc>
          <w:tcPr>
            <w:tcW w:w="346" w:type="dxa"/>
            <w:tcBorders/>
            <w:vAlign w:val="center"/>
          </w:tcPr>
          <w:p>
            <w:pPr>
              <w:pStyle w:val="TableContents"/>
              <w:bidi w:val="0"/>
              <w:spacing w:before="0" w:after="0"/>
              <w:ind w:left="0" w:right="0" w:hanging="0"/>
              <w:jc w:val="left"/>
              <w:rPr/>
            </w:pPr>
            <w:r>
              <w:rPr/>
              <w:t>​</w:t>
            </w:r>
          </w:p>
        </w:tc>
        <w:tc>
          <w:tcPr>
            <w:tcW w:w="1031"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March 2025</w:t>
            </w:r>
          </w:p>
        </w:tc>
        <w:tc>
          <w:tcPr>
            <w:tcW w:w="34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March 2028</w:t>
            </w:r>
          </w:p>
        </w:tc>
        <w:tc>
          <w:tcPr>
            <w:tcW w:w="346"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w:t>
            </w:r>
          </w:p>
        </w:tc>
        <w:tc>
          <w:tcPr>
            <w:tcW w:w="839"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6,200</w:t>
            </w:r>
          </w:p>
        </w:tc>
        <w:tc>
          <w:tcPr>
            <w:tcW w:w="346"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pPr>
            <w:r>
              <w:rPr/>
              <w:t>​</w:t>
            </w:r>
          </w:p>
        </w:tc>
        <w:tc>
          <w:tcPr>
            <w:tcW w:w="834"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6,200</w:t>
            </w:r>
          </w:p>
        </w:tc>
        <w:tc>
          <w:tcPr>
            <w:tcW w:w="34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w:t>
            </w:r>
          </w:p>
        </w:tc>
        <w:tc>
          <w:tcPr>
            <w:tcW w:w="753"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6,200</w:t>
            </w:r>
          </w:p>
        </w:tc>
        <w:tc>
          <w:tcPr>
            <w:tcW w:w="346" w:type="dxa"/>
            <w:tcBorders/>
            <w:vAlign w:val="center"/>
          </w:tcPr>
          <w:p>
            <w:pPr>
              <w:pStyle w:val="TableContents"/>
              <w:bidi w:val="0"/>
              <w:spacing w:before="0" w:after="0"/>
              <w:ind w:left="0" w:right="0" w:hanging="0"/>
              <w:jc w:val="left"/>
              <w:rPr/>
            </w:pPr>
            <w:r>
              <w:rPr/>
              <w:t>​</w:t>
            </w:r>
          </w:p>
        </w:tc>
        <w:tc>
          <w:tcPr>
            <w:tcW w:w="763"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8.65%</w:t>
            </w:r>
          </w:p>
        </w:tc>
        <w:tc>
          <w:tcPr>
            <w:tcW w:w="272" w:type="dxa"/>
            <w:tcBorders/>
            <w:vAlign w:val="center"/>
          </w:tcPr>
          <w:p>
            <w:pPr>
              <w:pStyle w:val="TableContents"/>
              <w:bidi w:val="0"/>
              <w:spacing w:before="0" w:after="0"/>
              <w:ind w:left="0" w:right="0" w:hanging="0"/>
              <w:jc w:val="center"/>
              <w:rPr/>
            </w:pPr>
            <w:r>
              <w:rPr/>
              <w:t>​</w:t>
            </w:r>
          </w:p>
        </w:tc>
      </w:tr>
      <w:tr>
        <w:trPr/>
        <w:tc>
          <w:tcPr>
            <w:tcW w:w="2019"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Construction Loan – Retail Land Development – Stuart, FL</w:t>
            </w:r>
          </w:p>
        </w:tc>
        <w:tc>
          <w:tcPr>
            <w:tcW w:w="346" w:type="dxa"/>
            <w:tcBorders/>
            <w:shd w:fill="CCEEFF" w:val="clear"/>
            <w:vAlign w:val="center"/>
          </w:tcPr>
          <w:p>
            <w:pPr>
              <w:pStyle w:val="TableContents"/>
              <w:bidi w:val="0"/>
              <w:spacing w:before="0" w:after="0"/>
              <w:ind w:left="0" w:right="0" w:hanging="0"/>
              <w:jc w:val="left"/>
              <w:rPr/>
            </w:pPr>
            <w:r>
              <w:rPr/>
              <w:t>​</w:t>
            </w:r>
          </w:p>
        </w:tc>
        <w:tc>
          <w:tcPr>
            <w:tcW w:w="1031"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March 2025</w:t>
            </w:r>
          </w:p>
        </w:tc>
        <w:tc>
          <w:tcPr>
            <w:tcW w:w="34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March 2027</w:t>
            </w:r>
          </w:p>
        </w:tc>
        <w:tc>
          <w:tcPr>
            <w:tcW w:w="346"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pPr>
            <w:r>
              <w:rPr/>
              <w:t>​</w:t>
            </w:r>
          </w:p>
        </w:tc>
        <w:tc>
          <w:tcPr>
            <w:tcW w:w="839"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15,500</w:t>
            </w:r>
          </w:p>
        </w:tc>
        <w:tc>
          <w:tcPr>
            <w:tcW w:w="346" w:type="dxa"/>
            <w:tcBorders/>
            <w:shd w:fill="CCEEFF" w:val="clear"/>
            <w:vAlign w:val="center"/>
          </w:tcPr>
          <w:p>
            <w:pPr>
              <w:pStyle w:val="TableContents"/>
              <w:bidi w:val="0"/>
              <w:spacing w:before="0" w:after="0"/>
              <w:ind w:left="0" w:right="0" w:hanging="0"/>
              <w:jc w:val="left"/>
              <w:rPr/>
            </w:pPr>
            <w:r>
              <w:rPr/>
              <w:t>​</w:t>
            </w:r>
          </w:p>
        </w:tc>
        <w:tc>
          <w:tcPr>
            <w:tcW w:w="236" w:type="dxa"/>
            <w:tcBorders/>
            <w:shd w:fill="CCEEFF" w:val="clear"/>
            <w:vAlign w:val="center"/>
          </w:tcPr>
          <w:p>
            <w:pPr>
              <w:pStyle w:val="TableContents"/>
              <w:bidi w:val="0"/>
              <w:spacing w:before="0" w:after="0"/>
              <w:ind w:left="0" w:right="0" w:hanging="0"/>
              <w:jc w:val="left"/>
              <w:rPr/>
            </w:pPr>
            <w:r>
              <w:rPr/>
              <w:t>​</w:t>
            </w:r>
          </w:p>
        </w:tc>
        <w:tc>
          <w:tcPr>
            <w:tcW w:w="834"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11,664</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w:t>
            </w:r>
          </w:p>
        </w:tc>
        <w:tc>
          <w:tcPr>
            <w:tcW w:w="753"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11,606</w:t>
            </w:r>
          </w:p>
        </w:tc>
        <w:tc>
          <w:tcPr>
            <w:tcW w:w="346" w:type="dxa"/>
            <w:tcBorders/>
            <w:shd w:fill="CCEEFF" w:val="clear"/>
            <w:vAlign w:val="center"/>
          </w:tcPr>
          <w:p>
            <w:pPr>
              <w:pStyle w:val="TableContents"/>
              <w:bidi w:val="0"/>
              <w:spacing w:before="0" w:after="0"/>
              <w:ind w:left="0" w:right="0" w:hanging="0"/>
              <w:jc w:val="left"/>
              <w:rPr/>
            </w:pPr>
            <w:r>
              <w:rPr/>
              <w:t>​</w:t>
            </w:r>
          </w:p>
        </w:tc>
        <w:tc>
          <w:tcPr>
            <w:tcW w:w="763"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11.00%</w:t>
            </w:r>
          </w:p>
        </w:tc>
        <w:tc>
          <w:tcPr>
            <w:tcW w:w="272" w:type="dxa"/>
            <w:tcBorders/>
            <w:shd w:fill="CCEEFF" w:val="clear"/>
            <w:vAlign w:val="center"/>
          </w:tcPr>
          <w:p>
            <w:pPr>
              <w:pStyle w:val="TableContents"/>
              <w:bidi w:val="0"/>
              <w:spacing w:before="0" w:after="0"/>
              <w:ind w:left="0" w:right="0" w:hanging="0"/>
              <w:jc w:val="center"/>
              <w:rPr/>
            </w:pPr>
            <w:r>
              <w:rPr/>
              <w:t>​</w:t>
            </w:r>
          </w:p>
        </w:tc>
      </w:tr>
      <w:tr>
        <w:trPr/>
        <w:tc>
          <w:tcPr>
            <w:tcW w:w="2019"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Construction Loan – Cornerstone Exchange – Daytona Beach, FL</w:t>
            </w:r>
          </w:p>
        </w:tc>
        <w:tc>
          <w:tcPr>
            <w:tcW w:w="346" w:type="dxa"/>
            <w:tcBorders/>
            <w:vAlign w:val="center"/>
          </w:tcPr>
          <w:p>
            <w:pPr>
              <w:pStyle w:val="TableContents"/>
              <w:bidi w:val="0"/>
              <w:spacing w:before="0" w:after="0"/>
              <w:ind w:left="0" w:right="0" w:hanging="0"/>
              <w:jc w:val="left"/>
              <w:rPr/>
            </w:pPr>
            <w:r>
              <w:rPr/>
              <w:t>​</w:t>
            </w:r>
          </w:p>
        </w:tc>
        <w:tc>
          <w:tcPr>
            <w:tcW w:w="1031"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May 2025</w:t>
            </w:r>
          </w:p>
        </w:tc>
        <w:tc>
          <w:tcPr>
            <w:tcW w:w="34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April 2027</w:t>
            </w:r>
          </w:p>
        </w:tc>
        <w:tc>
          <w:tcPr>
            <w:tcW w:w="346"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w:t>
            </w:r>
          </w:p>
        </w:tc>
        <w:tc>
          <w:tcPr>
            <w:tcW w:w="839"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23,905</w:t>
            </w:r>
          </w:p>
        </w:tc>
        <w:tc>
          <w:tcPr>
            <w:tcW w:w="346"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pPr>
            <w:r>
              <w:rPr/>
              <w:t>​</w:t>
            </w:r>
          </w:p>
        </w:tc>
        <w:tc>
          <w:tcPr>
            <w:tcW w:w="834"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8,588</w:t>
            </w:r>
          </w:p>
        </w:tc>
        <w:tc>
          <w:tcPr>
            <w:tcW w:w="34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w:t>
            </w:r>
          </w:p>
        </w:tc>
        <w:tc>
          <w:tcPr>
            <w:tcW w:w="753"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8,503</w:t>
            </w:r>
          </w:p>
        </w:tc>
        <w:tc>
          <w:tcPr>
            <w:tcW w:w="346" w:type="dxa"/>
            <w:tcBorders/>
            <w:vAlign w:val="center"/>
          </w:tcPr>
          <w:p>
            <w:pPr>
              <w:pStyle w:val="TableContents"/>
              <w:bidi w:val="0"/>
              <w:spacing w:before="0" w:after="0"/>
              <w:ind w:left="0" w:right="0" w:hanging="0"/>
              <w:jc w:val="left"/>
              <w:rPr/>
            </w:pPr>
            <w:r>
              <w:rPr/>
              <w:t>​</w:t>
            </w:r>
          </w:p>
        </w:tc>
        <w:tc>
          <w:tcPr>
            <w:tcW w:w="763"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10.00%</w:t>
            </w:r>
          </w:p>
        </w:tc>
        <w:tc>
          <w:tcPr>
            <w:tcW w:w="272" w:type="dxa"/>
            <w:tcBorders/>
            <w:vAlign w:val="center"/>
          </w:tcPr>
          <w:p>
            <w:pPr>
              <w:pStyle w:val="TableContents"/>
              <w:bidi w:val="0"/>
              <w:spacing w:before="0" w:after="0"/>
              <w:ind w:left="0" w:right="0" w:hanging="0"/>
              <w:jc w:val="center"/>
              <w:rPr/>
            </w:pPr>
            <w:r>
              <w:rPr/>
              <w:t>​</w:t>
            </w:r>
          </w:p>
        </w:tc>
      </w:tr>
      <w:tr>
        <w:trPr/>
        <w:tc>
          <w:tcPr>
            <w:tcW w:w="2019"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Mortgage Note – Industrial – Fremont, CA</w:t>
            </w:r>
          </w:p>
        </w:tc>
        <w:tc>
          <w:tcPr>
            <w:tcW w:w="346" w:type="dxa"/>
            <w:tcBorders/>
            <w:shd w:fill="CCEEFF" w:val="clear"/>
            <w:vAlign w:val="center"/>
          </w:tcPr>
          <w:p>
            <w:pPr>
              <w:pStyle w:val="TableContents"/>
              <w:bidi w:val="0"/>
              <w:spacing w:before="0" w:after="0"/>
              <w:ind w:left="0" w:right="0" w:hanging="0"/>
              <w:jc w:val="left"/>
              <w:rPr/>
            </w:pPr>
            <w:r>
              <w:rPr/>
              <w:t>​</w:t>
            </w:r>
          </w:p>
        </w:tc>
        <w:tc>
          <w:tcPr>
            <w:tcW w:w="1031"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August 2025</w:t>
            </w:r>
          </w:p>
        </w:tc>
        <w:tc>
          <w:tcPr>
            <w:tcW w:w="34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August 2027</w:t>
            </w:r>
          </w:p>
        </w:tc>
        <w:tc>
          <w:tcPr>
            <w:tcW w:w="346"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pPr>
            <w:r>
              <w:rPr/>
              <w:t>​</w:t>
            </w:r>
          </w:p>
        </w:tc>
        <w:tc>
          <w:tcPr>
            <w:tcW w:w="839"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24,000</w:t>
            </w:r>
          </w:p>
        </w:tc>
        <w:tc>
          <w:tcPr>
            <w:tcW w:w="346" w:type="dxa"/>
            <w:tcBorders/>
            <w:shd w:fill="CCEEFF" w:val="clear"/>
            <w:vAlign w:val="center"/>
          </w:tcPr>
          <w:p>
            <w:pPr>
              <w:pStyle w:val="TableContents"/>
              <w:bidi w:val="0"/>
              <w:spacing w:before="0" w:after="0"/>
              <w:ind w:left="0" w:right="0" w:hanging="0"/>
              <w:jc w:val="left"/>
              <w:rPr/>
            </w:pPr>
            <w:r>
              <w:rPr/>
              <w:t>​</w:t>
            </w:r>
          </w:p>
        </w:tc>
        <w:tc>
          <w:tcPr>
            <w:tcW w:w="236" w:type="dxa"/>
            <w:tcBorders/>
            <w:shd w:fill="CCEEFF" w:val="clear"/>
            <w:vAlign w:val="center"/>
          </w:tcPr>
          <w:p>
            <w:pPr>
              <w:pStyle w:val="TableContents"/>
              <w:bidi w:val="0"/>
              <w:spacing w:before="0" w:after="0"/>
              <w:ind w:left="0" w:right="0" w:hanging="0"/>
              <w:jc w:val="left"/>
              <w:rPr/>
            </w:pPr>
            <w:r>
              <w:rPr/>
              <w:t>​</w:t>
            </w:r>
          </w:p>
        </w:tc>
        <w:tc>
          <w:tcPr>
            <w:tcW w:w="834"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24,000</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w:t>
            </w:r>
          </w:p>
        </w:tc>
        <w:tc>
          <w:tcPr>
            <w:tcW w:w="753"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23,825</w:t>
            </w:r>
          </w:p>
        </w:tc>
        <w:tc>
          <w:tcPr>
            <w:tcW w:w="346" w:type="dxa"/>
            <w:tcBorders/>
            <w:shd w:fill="CCEEFF" w:val="clear"/>
            <w:vAlign w:val="center"/>
          </w:tcPr>
          <w:p>
            <w:pPr>
              <w:pStyle w:val="TableContents"/>
              <w:bidi w:val="0"/>
              <w:spacing w:before="0" w:after="0"/>
              <w:ind w:left="0" w:right="0" w:hanging="0"/>
              <w:jc w:val="left"/>
              <w:rPr/>
            </w:pPr>
            <w:r>
              <w:rPr/>
              <w:t>​</w:t>
            </w:r>
          </w:p>
        </w:tc>
        <w:tc>
          <w:tcPr>
            <w:tcW w:w="763"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11.00%</w:t>
            </w:r>
          </w:p>
        </w:tc>
        <w:tc>
          <w:tcPr>
            <w:tcW w:w="272" w:type="dxa"/>
            <w:tcBorders/>
            <w:shd w:fill="CCEEFF" w:val="clear"/>
            <w:vAlign w:val="center"/>
          </w:tcPr>
          <w:p>
            <w:pPr>
              <w:pStyle w:val="TableContents"/>
              <w:bidi w:val="0"/>
              <w:spacing w:before="0" w:after="0"/>
              <w:ind w:left="0" w:right="0" w:hanging="0"/>
              <w:jc w:val="center"/>
              <w:rPr/>
            </w:pPr>
            <w:r>
              <w:rPr/>
              <w:t>​</w:t>
            </w:r>
          </w:p>
        </w:tc>
      </w:tr>
      <w:tr>
        <w:trPr/>
        <w:tc>
          <w:tcPr>
            <w:tcW w:w="2019" w:type="dxa"/>
            <w:tcBorders/>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7"/>
              </w:rPr>
              <w:t xml:space="preserve">Mortgage Note – Luxury Residential Development – Austin, TX </w:t>
            </w:r>
            <w:r>
              <w:rPr>
                <w:rFonts w:ascii="Times New Roman;Times;serif" w:hAnsi="Times New Roman;Times;serif"/>
                <w:sz w:val="13"/>
              </w:rPr>
              <w:t>(3)</w:t>
            </w:r>
          </w:p>
        </w:tc>
        <w:tc>
          <w:tcPr>
            <w:tcW w:w="346" w:type="dxa"/>
            <w:tcBorders/>
            <w:vAlign w:val="center"/>
          </w:tcPr>
          <w:p>
            <w:pPr>
              <w:pStyle w:val="TableContents"/>
              <w:bidi w:val="0"/>
              <w:spacing w:before="0" w:after="0"/>
              <w:ind w:left="0" w:right="0" w:hanging="0"/>
              <w:jc w:val="left"/>
              <w:rPr/>
            </w:pPr>
            <w:r>
              <w:rPr/>
              <w:t>​</w:t>
            </w:r>
          </w:p>
        </w:tc>
        <w:tc>
          <w:tcPr>
            <w:tcW w:w="1031"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October 2025</w:t>
            </w:r>
          </w:p>
        </w:tc>
        <w:tc>
          <w:tcPr>
            <w:tcW w:w="34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October 2028</w:t>
            </w:r>
          </w:p>
        </w:tc>
        <w:tc>
          <w:tcPr>
            <w:tcW w:w="346"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w:t>
            </w:r>
          </w:p>
        </w:tc>
        <w:tc>
          <w:tcPr>
            <w:tcW w:w="839"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61,250</w:t>
            </w:r>
          </w:p>
        </w:tc>
        <w:tc>
          <w:tcPr>
            <w:tcW w:w="346"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pPr>
            <w:r>
              <w:rPr/>
              <w:t>​</w:t>
            </w:r>
          </w:p>
        </w:tc>
        <w:tc>
          <w:tcPr>
            <w:tcW w:w="834"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59,650</w:t>
            </w:r>
          </w:p>
        </w:tc>
        <w:tc>
          <w:tcPr>
            <w:tcW w:w="34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w:t>
            </w:r>
          </w:p>
        </w:tc>
        <w:tc>
          <w:tcPr>
            <w:tcW w:w="753"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58,632</w:t>
            </w:r>
          </w:p>
        </w:tc>
        <w:tc>
          <w:tcPr>
            <w:tcW w:w="346" w:type="dxa"/>
            <w:tcBorders/>
            <w:vAlign w:val="center"/>
          </w:tcPr>
          <w:p>
            <w:pPr>
              <w:pStyle w:val="TableContents"/>
              <w:bidi w:val="0"/>
              <w:spacing w:before="0" w:after="0"/>
              <w:ind w:left="0" w:right="0" w:hanging="0"/>
              <w:jc w:val="left"/>
              <w:rPr/>
            </w:pPr>
            <w:r>
              <w:rPr/>
              <w:t>​</w:t>
            </w:r>
          </w:p>
        </w:tc>
        <w:tc>
          <w:tcPr>
            <w:tcW w:w="763"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16.00%</w:t>
            </w:r>
          </w:p>
        </w:tc>
        <w:tc>
          <w:tcPr>
            <w:tcW w:w="272" w:type="dxa"/>
            <w:tcBorders/>
            <w:vAlign w:val="center"/>
          </w:tcPr>
          <w:p>
            <w:pPr>
              <w:pStyle w:val="TableContents"/>
              <w:bidi w:val="0"/>
              <w:spacing w:lineRule="auto" w:line="240" w:before="0" w:after="0"/>
              <w:ind w:left="0" w:right="0" w:hanging="0"/>
              <w:jc w:val="left"/>
              <w:rPr>
                <w:rFonts w:ascii="Times New Roman;Times;serif" w:hAnsi="Times New Roman;Times;serif"/>
                <w:sz w:val="13"/>
              </w:rPr>
            </w:pPr>
            <w:r>
              <w:rPr>
                <w:rFonts w:ascii="Times New Roman;Times;serif" w:hAnsi="Times New Roman;Times;serif"/>
                <w:sz w:val="13"/>
              </w:rPr>
              <w:t>(4)</w:t>
            </w:r>
          </w:p>
        </w:tc>
      </w:tr>
      <w:tr>
        <w:trPr/>
        <w:tc>
          <w:tcPr>
            <w:tcW w:w="2019"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Construction Loan – Mixed-Use Development – Lake Toxaway, NC</w:t>
            </w:r>
          </w:p>
        </w:tc>
        <w:tc>
          <w:tcPr>
            <w:tcW w:w="346" w:type="dxa"/>
            <w:tcBorders/>
            <w:shd w:fill="CCEEFF" w:val="clear"/>
            <w:vAlign w:val="center"/>
          </w:tcPr>
          <w:p>
            <w:pPr>
              <w:pStyle w:val="TableContents"/>
              <w:bidi w:val="0"/>
              <w:spacing w:before="0" w:after="0"/>
              <w:ind w:left="0" w:right="0" w:hanging="0"/>
              <w:jc w:val="left"/>
              <w:rPr/>
            </w:pPr>
            <w:r>
              <w:rPr/>
              <w:t>​</w:t>
            </w:r>
          </w:p>
        </w:tc>
        <w:tc>
          <w:tcPr>
            <w:tcW w:w="1031"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October 2025</w:t>
            </w:r>
          </w:p>
        </w:tc>
        <w:tc>
          <w:tcPr>
            <w:tcW w:w="34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October 2027</w:t>
            </w:r>
          </w:p>
        </w:tc>
        <w:tc>
          <w:tcPr>
            <w:tcW w:w="346"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pPr>
            <w:r>
              <w:rPr/>
              <w:t>​</w:t>
            </w:r>
          </w:p>
        </w:tc>
        <w:tc>
          <w:tcPr>
            <w:tcW w:w="839"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13,500</w:t>
            </w:r>
          </w:p>
        </w:tc>
        <w:tc>
          <w:tcPr>
            <w:tcW w:w="346" w:type="dxa"/>
            <w:tcBorders/>
            <w:shd w:fill="CCEEFF" w:val="clear"/>
            <w:vAlign w:val="center"/>
          </w:tcPr>
          <w:p>
            <w:pPr>
              <w:pStyle w:val="TableContents"/>
              <w:bidi w:val="0"/>
              <w:spacing w:before="0" w:after="0"/>
              <w:ind w:left="0" w:right="0" w:hanging="0"/>
              <w:jc w:val="left"/>
              <w:rPr/>
            </w:pPr>
            <w:r>
              <w:rPr/>
              <w:t>​</w:t>
            </w:r>
          </w:p>
        </w:tc>
        <w:tc>
          <w:tcPr>
            <w:tcW w:w="236" w:type="dxa"/>
            <w:tcBorders/>
            <w:shd w:fill="CCEEFF" w:val="clear"/>
            <w:vAlign w:val="center"/>
          </w:tcPr>
          <w:p>
            <w:pPr>
              <w:pStyle w:val="TableContents"/>
              <w:bidi w:val="0"/>
              <w:spacing w:before="0" w:after="0"/>
              <w:ind w:left="0" w:right="0" w:hanging="0"/>
              <w:jc w:val="left"/>
              <w:rPr/>
            </w:pPr>
            <w:r>
              <w:rPr/>
              <w:t>​</w:t>
            </w:r>
          </w:p>
        </w:tc>
        <w:tc>
          <w:tcPr>
            <w:tcW w:w="834"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9,406</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w:t>
            </w:r>
          </w:p>
        </w:tc>
        <w:tc>
          <w:tcPr>
            <w:tcW w:w="753"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9,315</w:t>
            </w:r>
          </w:p>
        </w:tc>
        <w:tc>
          <w:tcPr>
            <w:tcW w:w="346" w:type="dxa"/>
            <w:tcBorders/>
            <w:shd w:fill="CCEEFF" w:val="clear"/>
            <w:vAlign w:val="center"/>
          </w:tcPr>
          <w:p>
            <w:pPr>
              <w:pStyle w:val="TableContents"/>
              <w:bidi w:val="0"/>
              <w:spacing w:before="0" w:after="0"/>
              <w:ind w:left="0" w:right="0" w:hanging="0"/>
              <w:jc w:val="left"/>
              <w:rPr/>
            </w:pPr>
            <w:r>
              <w:rPr/>
              <w:t>​</w:t>
            </w:r>
          </w:p>
        </w:tc>
        <w:tc>
          <w:tcPr>
            <w:tcW w:w="763"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16.00%</w:t>
            </w:r>
          </w:p>
        </w:tc>
        <w:tc>
          <w:tcPr>
            <w:tcW w:w="272"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3"/>
              </w:rPr>
            </w:pPr>
            <w:r>
              <w:rPr>
                <w:rFonts w:ascii="Times New Roman;Times;serif" w:hAnsi="Times New Roman;Times;serif"/>
                <w:sz w:val="13"/>
              </w:rPr>
              <w:t>(5)</w:t>
            </w:r>
          </w:p>
        </w:tc>
      </w:tr>
      <w:tr>
        <w:trPr/>
        <w:tc>
          <w:tcPr>
            <w:tcW w:w="2019"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Construction Loan – Costco Mixed-Use Development – Atlanta, GA</w:t>
            </w:r>
          </w:p>
        </w:tc>
        <w:tc>
          <w:tcPr>
            <w:tcW w:w="346" w:type="dxa"/>
            <w:tcBorders/>
            <w:vAlign w:val="center"/>
          </w:tcPr>
          <w:p>
            <w:pPr>
              <w:pStyle w:val="TableContents"/>
              <w:bidi w:val="0"/>
              <w:spacing w:before="0" w:after="0"/>
              <w:ind w:left="0" w:right="0" w:hanging="0"/>
              <w:jc w:val="left"/>
              <w:rPr/>
            </w:pPr>
            <w:r>
              <w:rPr/>
              <w:t>​</w:t>
            </w:r>
          </w:p>
        </w:tc>
        <w:tc>
          <w:tcPr>
            <w:tcW w:w="1031"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October 2025</w:t>
            </w:r>
          </w:p>
        </w:tc>
        <w:tc>
          <w:tcPr>
            <w:tcW w:w="34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November 2027</w:t>
            </w:r>
          </w:p>
        </w:tc>
        <w:tc>
          <w:tcPr>
            <w:tcW w:w="346"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w:t>
            </w:r>
          </w:p>
        </w:tc>
        <w:tc>
          <w:tcPr>
            <w:tcW w:w="839"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4,500</w:t>
            </w:r>
          </w:p>
        </w:tc>
        <w:tc>
          <w:tcPr>
            <w:tcW w:w="346"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pPr>
            <w:r>
              <w:rPr/>
              <w:t>​</w:t>
            </w:r>
          </w:p>
        </w:tc>
        <w:tc>
          <w:tcPr>
            <w:tcW w:w="834"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2,452</w:t>
            </w:r>
          </w:p>
        </w:tc>
        <w:tc>
          <w:tcPr>
            <w:tcW w:w="34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w:t>
            </w:r>
          </w:p>
        </w:tc>
        <w:tc>
          <w:tcPr>
            <w:tcW w:w="753"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2,422</w:t>
            </w:r>
          </w:p>
        </w:tc>
        <w:tc>
          <w:tcPr>
            <w:tcW w:w="346" w:type="dxa"/>
            <w:tcBorders/>
            <w:vAlign w:val="center"/>
          </w:tcPr>
          <w:p>
            <w:pPr>
              <w:pStyle w:val="TableContents"/>
              <w:bidi w:val="0"/>
              <w:spacing w:before="0" w:after="0"/>
              <w:ind w:left="0" w:right="0" w:hanging="0"/>
              <w:jc w:val="left"/>
              <w:rPr/>
            </w:pPr>
            <w:r>
              <w:rPr/>
              <w:t>​</w:t>
            </w:r>
          </w:p>
        </w:tc>
        <w:tc>
          <w:tcPr>
            <w:tcW w:w="763"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11.00%</w:t>
            </w:r>
          </w:p>
        </w:tc>
        <w:tc>
          <w:tcPr>
            <w:tcW w:w="272" w:type="dxa"/>
            <w:tcBorders/>
            <w:vAlign w:val="center"/>
          </w:tcPr>
          <w:p>
            <w:pPr>
              <w:pStyle w:val="TableContents"/>
              <w:bidi w:val="0"/>
              <w:spacing w:before="0" w:after="0"/>
              <w:ind w:left="0" w:right="0" w:hanging="0"/>
              <w:jc w:val="left"/>
              <w:rPr/>
            </w:pPr>
            <w:r>
              <w:rPr/>
              <w:t>​</w:t>
            </w:r>
          </w:p>
        </w:tc>
      </w:tr>
      <w:tr>
        <w:trPr/>
        <w:tc>
          <w:tcPr>
            <w:tcW w:w="2019"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Redevelopment Loan – Mixed-Use Redevelopment – Denver, CO</w:t>
            </w:r>
          </w:p>
        </w:tc>
        <w:tc>
          <w:tcPr>
            <w:tcW w:w="346" w:type="dxa"/>
            <w:tcBorders/>
            <w:shd w:fill="CCEEFF" w:val="clear"/>
            <w:vAlign w:val="center"/>
          </w:tcPr>
          <w:p>
            <w:pPr>
              <w:pStyle w:val="TableContents"/>
              <w:bidi w:val="0"/>
              <w:spacing w:before="0" w:after="0"/>
              <w:ind w:left="0" w:right="0" w:hanging="0"/>
              <w:jc w:val="left"/>
              <w:rPr/>
            </w:pPr>
            <w:r>
              <w:rPr/>
              <w:t>​</w:t>
            </w:r>
          </w:p>
        </w:tc>
        <w:tc>
          <w:tcPr>
            <w:tcW w:w="1031"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December 2025</w:t>
            </w:r>
          </w:p>
        </w:tc>
        <w:tc>
          <w:tcPr>
            <w:tcW w:w="34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December 2028</w:t>
            </w:r>
          </w:p>
        </w:tc>
        <w:tc>
          <w:tcPr>
            <w:tcW w:w="346"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pPr>
            <w:r>
              <w:rPr/>
              <w:t>​</w:t>
            </w:r>
          </w:p>
        </w:tc>
        <w:tc>
          <w:tcPr>
            <w:tcW w:w="839"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13,500</w:t>
            </w:r>
          </w:p>
        </w:tc>
        <w:tc>
          <w:tcPr>
            <w:tcW w:w="346" w:type="dxa"/>
            <w:tcBorders/>
            <w:shd w:fill="CCEEFF" w:val="clear"/>
            <w:vAlign w:val="center"/>
          </w:tcPr>
          <w:p>
            <w:pPr>
              <w:pStyle w:val="TableContents"/>
              <w:bidi w:val="0"/>
              <w:spacing w:before="0" w:after="0"/>
              <w:ind w:left="0" w:right="0" w:hanging="0"/>
              <w:jc w:val="left"/>
              <w:rPr/>
            </w:pPr>
            <w:r>
              <w:rPr/>
              <w:t>​</w:t>
            </w:r>
          </w:p>
        </w:tc>
        <w:tc>
          <w:tcPr>
            <w:tcW w:w="236" w:type="dxa"/>
            <w:tcBorders/>
            <w:shd w:fill="CCEEFF" w:val="clear"/>
            <w:vAlign w:val="center"/>
          </w:tcPr>
          <w:p>
            <w:pPr>
              <w:pStyle w:val="TableContents"/>
              <w:bidi w:val="0"/>
              <w:spacing w:before="0" w:after="0"/>
              <w:ind w:left="0" w:right="0" w:hanging="0"/>
              <w:jc w:val="left"/>
              <w:rPr/>
            </w:pPr>
            <w:r>
              <w:rPr/>
              <w:t>​</w:t>
            </w:r>
          </w:p>
        </w:tc>
        <w:tc>
          <w:tcPr>
            <w:tcW w:w="834"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9,011</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w:t>
            </w:r>
          </w:p>
        </w:tc>
        <w:tc>
          <w:tcPr>
            <w:tcW w:w="753"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8,843</w:t>
            </w:r>
          </w:p>
        </w:tc>
        <w:tc>
          <w:tcPr>
            <w:tcW w:w="346" w:type="dxa"/>
            <w:tcBorders/>
            <w:shd w:fill="CCEEFF" w:val="clear"/>
            <w:vAlign w:val="center"/>
          </w:tcPr>
          <w:p>
            <w:pPr>
              <w:pStyle w:val="TableContents"/>
              <w:bidi w:val="0"/>
              <w:spacing w:before="0" w:after="0"/>
              <w:ind w:left="0" w:right="0" w:hanging="0"/>
              <w:jc w:val="left"/>
              <w:rPr/>
            </w:pPr>
            <w:r>
              <w:rPr/>
              <w:t>​</w:t>
            </w:r>
          </w:p>
        </w:tc>
        <w:tc>
          <w:tcPr>
            <w:tcW w:w="763"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12.00%</w:t>
            </w:r>
          </w:p>
        </w:tc>
        <w:tc>
          <w:tcPr>
            <w:tcW w:w="272"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3"/>
              </w:rPr>
            </w:pPr>
            <w:r>
              <w:rPr>
                <w:rFonts w:ascii="Times New Roman;Times;serif" w:hAnsi="Times New Roman;Times;serif"/>
                <w:sz w:val="13"/>
              </w:rPr>
              <w:t>(6)</w:t>
            </w:r>
          </w:p>
        </w:tc>
      </w:tr>
      <w:tr>
        <w:trPr/>
        <w:tc>
          <w:tcPr>
            <w:tcW w:w="2019"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Mortgage Note – Mixed-Use Development – Herndon, VA</w:t>
            </w:r>
          </w:p>
        </w:tc>
        <w:tc>
          <w:tcPr>
            <w:tcW w:w="346" w:type="dxa"/>
            <w:tcBorders/>
            <w:vAlign w:val="center"/>
          </w:tcPr>
          <w:p>
            <w:pPr>
              <w:pStyle w:val="TableContents"/>
              <w:bidi w:val="0"/>
              <w:spacing w:before="0" w:after="0"/>
              <w:ind w:left="0" w:right="0" w:hanging="0"/>
              <w:jc w:val="left"/>
              <w:rPr/>
            </w:pPr>
            <w:r>
              <w:rPr/>
              <w:t>​</w:t>
            </w:r>
          </w:p>
        </w:tc>
        <w:tc>
          <w:tcPr>
            <w:tcW w:w="1031"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December 2025</w:t>
            </w:r>
          </w:p>
        </w:tc>
        <w:tc>
          <w:tcPr>
            <w:tcW w:w="34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September 2028</w:t>
            </w:r>
          </w:p>
        </w:tc>
        <w:tc>
          <w:tcPr>
            <w:tcW w:w="346"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w:t>
            </w:r>
          </w:p>
        </w:tc>
        <w:tc>
          <w:tcPr>
            <w:tcW w:w="839"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20,000</w:t>
            </w:r>
          </w:p>
        </w:tc>
        <w:tc>
          <w:tcPr>
            <w:tcW w:w="346"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pPr>
            <w:r>
              <w:rPr/>
              <w:t>​</w:t>
            </w:r>
          </w:p>
        </w:tc>
        <w:tc>
          <w:tcPr>
            <w:tcW w:w="834"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20,203</w:t>
            </w:r>
          </w:p>
        </w:tc>
        <w:tc>
          <w:tcPr>
            <w:tcW w:w="34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w:t>
            </w:r>
          </w:p>
        </w:tc>
        <w:tc>
          <w:tcPr>
            <w:tcW w:w="753"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19,994</w:t>
            </w:r>
          </w:p>
        </w:tc>
        <w:tc>
          <w:tcPr>
            <w:tcW w:w="346" w:type="dxa"/>
            <w:tcBorders/>
            <w:vAlign w:val="center"/>
          </w:tcPr>
          <w:p>
            <w:pPr>
              <w:pStyle w:val="TableContents"/>
              <w:bidi w:val="0"/>
              <w:spacing w:before="0" w:after="0"/>
              <w:ind w:left="0" w:right="0" w:hanging="0"/>
              <w:jc w:val="left"/>
              <w:rPr/>
            </w:pPr>
            <w:r>
              <w:rPr/>
              <w:t>​</w:t>
            </w:r>
          </w:p>
        </w:tc>
        <w:tc>
          <w:tcPr>
            <w:tcW w:w="763"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12.00%</w:t>
            </w:r>
          </w:p>
        </w:tc>
        <w:tc>
          <w:tcPr>
            <w:tcW w:w="272" w:type="dxa"/>
            <w:tcBorders/>
            <w:vAlign w:val="center"/>
          </w:tcPr>
          <w:p>
            <w:pPr>
              <w:pStyle w:val="TableContents"/>
              <w:bidi w:val="0"/>
              <w:spacing w:lineRule="auto" w:line="240" w:before="0" w:after="0"/>
              <w:ind w:left="0" w:right="0" w:hanging="0"/>
              <w:jc w:val="left"/>
              <w:rPr>
                <w:rFonts w:ascii="Times New Roman;Times;serif" w:hAnsi="Times New Roman;Times;serif"/>
                <w:sz w:val="13"/>
              </w:rPr>
            </w:pPr>
            <w:r>
              <w:rPr>
                <w:rFonts w:ascii="Times New Roman;Times;serif" w:hAnsi="Times New Roman;Times;serif"/>
                <w:sz w:val="13"/>
              </w:rPr>
              <w:t>(7)</w:t>
            </w:r>
          </w:p>
        </w:tc>
      </w:tr>
      <w:tr>
        <w:trPr/>
        <w:tc>
          <w:tcPr>
            <w:tcW w:w="2019"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Sale-Leaseback – Aspen, CO</w:t>
            </w:r>
          </w:p>
        </w:tc>
        <w:tc>
          <w:tcPr>
            <w:tcW w:w="346" w:type="dxa"/>
            <w:tcBorders/>
            <w:shd w:fill="CCEEFF" w:val="clear"/>
            <w:vAlign w:val="center"/>
          </w:tcPr>
          <w:p>
            <w:pPr>
              <w:pStyle w:val="TableContents"/>
              <w:bidi w:val="0"/>
              <w:spacing w:before="0" w:after="0"/>
              <w:ind w:left="0" w:right="0" w:hanging="0"/>
              <w:jc w:val="left"/>
              <w:rPr/>
            </w:pPr>
            <w:r>
              <w:rPr/>
              <w:t>​</w:t>
            </w:r>
          </w:p>
        </w:tc>
        <w:tc>
          <w:tcPr>
            <w:tcW w:w="1031"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January 2026</w:t>
            </w:r>
          </w:p>
        </w:tc>
        <w:tc>
          <w:tcPr>
            <w:tcW w:w="34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June 2027</w:t>
            </w:r>
          </w:p>
        </w:tc>
        <w:tc>
          <w:tcPr>
            <w:tcW w:w="346"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pPr>
            <w:r>
              <w:rPr/>
              <w:t>​</w:t>
            </w:r>
          </w:p>
        </w:tc>
        <w:tc>
          <w:tcPr>
            <w:tcW w:w="839"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10,000</w:t>
            </w:r>
          </w:p>
        </w:tc>
        <w:tc>
          <w:tcPr>
            <w:tcW w:w="346" w:type="dxa"/>
            <w:tcBorders/>
            <w:shd w:fill="CCEEFF" w:val="clear"/>
            <w:vAlign w:val="center"/>
          </w:tcPr>
          <w:p>
            <w:pPr>
              <w:pStyle w:val="TableContents"/>
              <w:bidi w:val="0"/>
              <w:spacing w:before="0" w:after="0"/>
              <w:ind w:left="0" w:right="0" w:hanging="0"/>
              <w:jc w:val="left"/>
              <w:rPr/>
            </w:pPr>
            <w:r>
              <w:rPr/>
              <w:t>​</w:t>
            </w:r>
          </w:p>
        </w:tc>
        <w:tc>
          <w:tcPr>
            <w:tcW w:w="236" w:type="dxa"/>
            <w:tcBorders/>
            <w:shd w:fill="CCEEFF" w:val="clear"/>
            <w:vAlign w:val="center"/>
          </w:tcPr>
          <w:p>
            <w:pPr>
              <w:pStyle w:val="TableContents"/>
              <w:bidi w:val="0"/>
              <w:spacing w:before="0" w:after="0"/>
              <w:ind w:left="0" w:right="0" w:hanging="0"/>
              <w:jc w:val="left"/>
              <w:rPr/>
            </w:pPr>
            <w:r>
              <w:rPr/>
              <w:t>​</w:t>
            </w:r>
          </w:p>
        </w:tc>
        <w:tc>
          <w:tcPr>
            <w:tcW w:w="834"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9,995</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w:t>
            </w:r>
          </w:p>
        </w:tc>
        <w:tc>
          <w:tcPr>
            <w:tcW w:w="753"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9,995</w:t>
            </w:r>
          </w:p>
        </w:tc>
        <w:tc>
          <w:tcPr>
            <w:tcW w:w="346" w:type="dxa"/>
            <w:tcBorders/>
            <w:shd w:fill="CCEEFF" w:val="clear"/>
            <w:vAlign w:val="center"/>
          </w:tcPr>
          <w:p>
            <w:pPr>
              <w:pStyle w:val="TableContents"/>
              <w:bidi w:val="0"/>
              <w:spacing w:before="0" w:after="0"/>
              <w:ind w:left="0" w:right="0" w:hanging="0"/>
              <w:jc w:val="left"/>
              <w:rPr/>
            </w:pPr>
            <w:r>
              <w:rPr/>
              <w:t>​</w:t>
            </w:r>
          </w:p>
        </w:tc>
        <w:tc>
          <w:tcPr>
            <w:tcW w:w="763"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8.39%</w:t>
            </w:r>
          </w:p>
        </w:tc>
        <w:tc>
          <w:tcPr>
            <w:tcW w:w="272" w:type="dxa"/>
            <w:tcBorders/>
            <w:shd w:fill="CCEEFF" w:val="clear"/>
            <w:vAlign w:val="center"/>
          </w:tcPr>
          <w:p>
            <w:pPr>
              <w:pStyle w:val="TableContents"/>
              <w:bidi w:val="0"/>
              <w:spacing w:before="0" w:after="0"/>
              <w:ind w:left="0" w:right="0" w:hanging="0"/>
              <w:jc w:val="left"/>
              <w:rPr/>
            </w:pPr>
            <w:r>
              <w:rPr/>
              <w:t>​</w:t>
            </w:r>
          </w:p>
        </w:tc>
      </w:tr>
      <w:tr>
        <w:trPr/>
        <w:tc>
          <w:tcPr>
            <w:tcW w:w="2019"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Construction Loan – Retail Development – Covington, GA</w:t>
            </w:r>
          </w:p>
        </w:tc>
        <w:tc>
          <w:tcPr>
            <w:tcW w:w="346" w:type="dxa"/>
            <w:tcBorders/>
            <w:vAlign w:val="center"/>
          </w:tcPr>
          <w:p>
            <w:pPr>
              <w:pStyle w:val="TableContents"/>
              <w:bidi w:val="0"/>
              <w:spacing w:before="0" w:after="0"/>
              <w:ind w:left="0" w:right="0" w:hanging="0"/>
              <w:jc w:val="left"/>
              <w:rPr/>
            </w:pPr>
            <w:r>
              <w:rPr/>
              <w:t>​</w:t>
            </w:r>
          </w:p>
        </w:tc>
        <w:tc>
          <w:tcPr>
            <w:tcW w:w="1031"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March 2026</w:t>
            </w:r>
          </w:p>
        </w:tc>
        <w:tc>
          <w:tcPr>
            <w:tcW w:w="34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April 2028</w:t>
            </w:r>
          </w:p>
        </w:tc>
        <w:tc>
          <w:tcPr>
            <w:tcW w:w="346"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w:t>
            </w:r>
          </w:p>
        </w:tc>
        <w:tc>
          <w:tcPr>
            <w:tcW w:w="839"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32,000</w:t>
            </w:r>
          </w:p>
        </w:tc>
        <w:tc>
          <w:tcPr>
            <w:tcW w:w="346"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pPr>
            <w:r>
              <w:rPr/>
              <w:t>​</w:t>
            </w:r>
          </w:p>
        </w:tc>
        <w:tc>
          <w:tcPr>
            <w:tcW w:w="834"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9,642</w:t>
            </w:r>
          </w:p>
        </w:tc>
        <w:tc>
          <w:tcPr>
            <w:tcW w:w="34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w:t>
            </w:r>
          </w:p>
        </w:tc>
        <w:tc>
          <w:tcPr>
            <w:tcW w:w="753"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9,373</w:t>
            </w:r>
          </w:p>
        </w:tc>
        <w:tc>
          <w:tcPr>
            <w:tcW w:w="346" w:type="dxa"/>
            <w:tcBorders/>
            <w:vAlign w:val="center"/>
          </w:tcPr>
          <w:p>
            <w:pPr>
              <w:pStyle w:val="TableContents"/>
              <w:bidi w:val="0"/>
              <w:spacing w:before="0" w:after="0"/>
              <w:ind w:left="0" w:right="0" w:hanging="0"/>
              <w:jc w:val="left"/>
              <w:rPr/>
            </w:pPr>
            <w:r>
              <w:rPr/>
              <w:t>​</w:t>
            </w:r>
          </w:p>
        </w:tc>
        <w:tc>
          <w:tcPr>
            <w:tcW w:w="763"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13.00%</w:t>
            </w:r>
          </w:p>
        </w:tc>
        <w:tc>
          <w:tcPr>
            <w:tcW w:w="272" w:type="dxa"/>
            <w:tcBorders/>
            <w:vAlign w:val="center"/>
          </w:tcPr>
          <w:p>
            <w:pPr>
              <w:pStyle w:val="TableContents"/>
              <w:bidi w:val="0"/>
              <w:spacing w:lineRule="auto" w:line="240" w:before="0" w:after="0"/>
              <w:ind w:left="0" w:right="0" w:hanging="0"/>
              <w:jc w:val="left"/>
              <w:rPr>
                <w:rFonts w:ascii="Times New Roman;Times;serif" w:hAnsi="Times New Roman;Times;serif"/>
                <w:sz w:val="13"/>
              </w:rPr>
            </w:pPr>
            <w:r>
              <w:rPr>
                <w:rFonts w:ascii="Times New Roman;Times;serif" w:hAnsi="Times New Roman;Times;serif"/>
                <w:sz w:val="13"/>
              </w:rPr>
              <w:t>(8)</w:t>
            </w:r>
          </w:p>
        </w:tc>
      </w:tr>
      <w:tr>
        <w:trPr/>
        <w:tc>
          <w:tcPr>
            <w:tcW w:w="2019"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Construction Loan – Retail Development – Lexington, KY</w:t>
            </w:r>
          </w:p>
        </w:tc>
        <w:tc>
          <w:tcPr>
            <w:tcW w:w="346" w:type="dxa"/>
            <w:tcBorders/>
            <w:shd w:fill="CCEEFF" w:val="clear"/>
            <w:vAlign w:val="center"/>
          </w:tcPr>
          <w:p>
            <w:pPr>
              <w:pStyle w:val="TableContents"/>
              <w:bidi w:val="0"/>
              <w:spacing w:before="0" w:after="0"/>
              <w:ind w:left="0" w:right="0" w:hanging="0"/>
              <w:jc w:val="left"/>
              <w:rPr/>
            </w:pPr>
            <w:r>
              <w:rPr/>
              <w:t>​</w:t>
            </w:r>
          </w:p>
        </w:tc>
        <w:tc>
          <w:tcPr>
            <w:tcW w:w="1031"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May 2026</w:t>
            </w:r>
          </w:p>
        </w:tc>
        <w:tc>
          <w:tcPr>
            <w:tcW w:w="34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June 2028</w:t>
            </w:r>
          </w:p>
        </w:tc>
        <w:tc>
          <w:tcPr>
            <w:tcW w:w="346"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pPr>
            <w:r>
              <w:rPr/>
              <w:t>​</w:t>
            </w:r>
          </w:p>
        </w:tc>
        <w:tc>
          <w:tcPr>
            <w:tcW w:w="839"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40,000</w:t>
            </w:r>
          </w:p>
        </w:tc>
        <w:tc>
          <w:tcPr>
            <w:tcW w:w="346" w:type="dxa"/>
            <w:tcBorders/>
            <w:shd w:fill="CCEEFF" w:val="clear"/>
            <w:vAlign w:val="center"/>
          </w:tcPr>
          <w:p>
            <w:pPr>
              <w:pStyle w:val="TableContents"/>
              <w:bidi w:val="0"/>
              <w:spacing w:before="0" w:after="0"/>
              <w:ind w:left="0" w:right="0" w:hanging="0"/>
              <w:jc w:val="left"/>
              <w:rPr/>
            </w:pPr>
            <w:r>
              <w:rPr/>
              <w:t>​</w:t>
            </w:r>
          </w:p>
        </w:tc>
        <w:tc>
          <w:tcPr>
            <w:tcW w:w="236" w:type="dxa"/>
            <w:tcBorders/>
            <w:shd w:fill="CCEEFF" w:val="clear"/>
            <w:vAlign w:val="center"/>
          </w:tcPr>
          <w:p>
            <w:pPr>
              <w:pStyle w:val="TableContents"/>
              <w:bidi w:val="0"/>
              <w:spacing w:before="0" w:after="0"/>
              <w:ind w:left="0" w:right="0" w:hanging="0"/>
              <w:jc w:val="left"/>
              <w:rPr/>
            </w:pPr>
            <w:r>
              <w:rPr/>
              <w:t>​</w:t>
            </w:r>
          </w:p>
        </w:tc>
        <w:tc>
          <w:tcPr>
            <w:tcW w:w="834"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6,177</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w:t>
            </w:r>
          </w:p>
        </w:tc>
        <w:tc>
          <w:tcPr>
            <w:tcW w:w="753"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5,893</w:t>
            </w:r>
          </w:p>
        </w:tc>
        <w:tc>
          <w:tcPr>
            <w:tcW w:w="346" w:type="dxa"/>
            <w:tcBorders/>
            <w:shd w:fill="CCEEFF" w:val="clear"/>
            <w:vAlign w:val="center"/>
          </w:tcPr>
          <w:p>
            <w:pPr>
              <w:pStyle w:val="TableContents"/>
              <w:bidi w:val="0"/>
              <w:spacing w:before="0" w:after="0"/>
              <w:ind w:left="0" w:right="0" w:hanging="0"/>
              <w:jc w:val="left"/>
              <w:rPr/>
            </w:pPr>
            <w:r>
              <w:rPr/>
              <w:t>​</w:t>
            </w:r>
          </w:p>
        </w:tc>
        <w:tc>
          <w:tcPr>
            <w:tcW w:w="763"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10.00%</w:t>
            </w:r>
          </w:p>
        </w:tc>
        <w:tc>
          <w:tcPr>
            <w:tcW w:w="272" w:type="dxa"/>
            <w:tcBorders/>
            <w:shd w:fill="CCEEFF" w:val="clear"/>
            <w:vAlign w:val="center"/>
          </w:tcPr>
          <w:p>
            <w:pPr>
              <w:pStyle w:val="TableContents"/>
              <w:bidi w:val="0"/>
              <w:spacing w:before="0" w:after="0"/>
              <w:ind w:left="0" w:right="0" w:hanging="0"/>
              <w:jc w:val="left"/>
              <w:rPr/>
            </w:pPr>
            <w:r>
              <w:rPr/>
              <w:t>​</w:t>
            </w:r>
          </w:p>
        </w:tc>
      </w:tr>
      <w:tr>
        <w:trPr/>
        <w:tc>
          <w:tcPr>
            <w:tcW w:w="2019"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Sales-Type Lease – Denver, CO</w:t>
            </w:r>
          </w:p>
        </w:tc>
        <w:tc>
          <w:tcPr>
            <w:tcW w:w="346" w:type="dxa"/>
            <w:tcBorders/>
            <w:vAlign w:val="center"/>
          </w:tcPr>
          <w:p>
            <w:pPr>
              <w:pStyle w:val="TableContents"/>
              <w:bidi w:val="0"/>
              <w:spacing w:before="0" w:after="0"/>
              <w:ind w:left="0" w:right="0" w:hanging="0"/>
              <w:jc w:val="left"/>
              <w:rPr/>
            </w:pPr>
            <w:r>
              <w:rPr/>
              <w:t>​</w:t>
            </w:r>
          </w:p>
        </w:tc>
        <w:tc>
          <w:tcPr>
            <w:tcW w:w="1031"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June 2026</w:t>
            </w:r>
          </w:p>
        </w:tc>
        <w:tc>
          <w:tcPr>
            <w:tcW w:w="34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September 2039</w:t>
            </w:r>
          </w:p>
        </w:tc>
        <w:tc>
          <w:tcPr>
            <w:tcW w:w="346" w:type="dxa"/>
            <w:tcBorders/>
            <w:vAlign w:val="center"/>
          </w:tcPr>
          <w:p>
            <w:pPr>
              <w:pStyle w:val="TableContents"/>
              <w:bidi w:val="0"/>
              <w:spacing w:before="0" w:after="0"/>
              <w:ind w:left="0" w:right="0" w:hanging="0"/>
              <w:jc w:val="left"/>
              <w:rPr/>
            </w:pPr>
            <w:r>
              <w:rPr/>
              <w:t>​</w:t>
            </w:r>
          </w:p>
        </w:tc>
        <w:tc>
          <w:tcPr>
            <w:tcW w:w="23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3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16,257</w:t>
            </w:r>
          </w:p>
        </w:tc>
        <w:tc>
          <w:tcPr>
            <w:tcW w:w="346" w:type="dxa"/>
            <w:tcBorders/>
            <w:vAlign w:val="center"/>
          </w:tcPr>
          <w:p>
            <w:pPr>
              <w:pStyle w:val="TableContents"/>
              <w:bidi w:val="0"/>
              <w:spacing w:before="0" w:after="0"/>
              <w:ind w:left="0" w:right="0" w:hanging="0"/>
              <w:jc w:val="left"/>
              <w:rPr/>
            </w:pPr>
            <w:r>
              <w:rPr/>
              <w:t>​</w:t>
            </w:r>
          </w:p>
        </w:tc>
        <w:tc>
          <w:tcPr>
            <w:tcW w:w="23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3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16,254</w:t>
            </w:r>
          </w:p>
        </w:tc>
        <w:tc>
          <w:tcPr>
            <w:tcW w:w="346" w:type="dxa"/>
            <w:tcBorders/>
            <w:vAlign w:val="center"/>
          </w:tcPr>
          <w:p>
            <w:pPr>
              <w:pStyle w:val="TableContents"/>
              <w:bidi w:val="0"/>
              <w:spacing w:before="0" w:after="0"/>
              <w:ind w:left="0" w:right="0" w:hanging="0"/>
              <w:jc w:val="left"/>
              <w:rPr/>
            </w:pPr>
            <w:r>
              <w:rPr/>
              <w:t>​</w:t>
            </w:r>
          </w:p>
        </w:tc>
        <w:tc>
          <w:tcPr>
            <w:tcW w:w="21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5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16,254</w:t>
            </w:r>
          </w:p>
        </w:tc>
        <w:tc>
          <w:tcPr>
            <w:tcW w:w="346" w:type="dxa"/>
            <w:tcBorders/>
            <w:vAlign w:val="center"/>
          </w:tcPr>
          <w:p>
            <w:pPr>
              <w:pStyle w:val="TableContents"/>
              <w:bidi w:val="0"/>
              <w:spacing w:before="0" w:after="0"/>
              <w:ind w:left="0" w:right="0" w:hanging="0"/>
              <w:jc w:val="left"/>
              <w:rPr/>
            </w:pPr>
            <w:r>
              <w:rPr/>
              <w:t>​</w:t>
            </w:r>
          </w:p>
        </w:tc>
        <w:tc>
          <w:tcPr>
            <w:tcW w:w="763"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8.11%</w:t>
            </w:r>
          </w:p>
        </w:tc>
        <w:tc>
          <w:tcPr>
            <w:tcW w:w="272" w:type="dxa"/>
            <w:tcBorders/>
            <w:vAlign w:val="center"/>
          </w:tcPr>
          <w:p>
            <w:pPr>
              <w:pStyle w:val="TableContents"/>
              <w:bidi w:val="0"/>
              <w:spacing w:before="0" w:after="0"/>
              <w:ind w:left="0" w:right="0" w:hanging="0"/>
              <w:jc w:val="left"/>
              <w:rPr/>
            </w:pPr>
            <w:r>
              <w:rPr/>
              <w:t>​</w:t>
            </w:r>
          </w:p>
        </w:tc>
      </w:tr>
      <w:tr>
        <w:trPr/>
        <w:tc>
          <w:tcPr>
            <w:tcW w:w="2019"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3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83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334,441</w:t>
            </w:r>
          </w:p>
        </w:tc>
        <w:tc>
          <w:tcPr>
            <w:tcW w:w="346" w:type="dxa"/>
            <w:tcBorders/>
            <w:shd w:fill="CCEEFF" w:val="clear"/>
            <w:vAlign w:val="center"/>
          </w:tcPr>
          <w:p>
            <w:pPr>
              <w:pStyle w:val="TableContents"/>
              <w:bidi w:val="0"/>
              <w:spacing w:before="0" w:after="0"/>
              <w:ind w:left="0" w:right="0" w:hanging="0"/>
              <w:jc w:val="left"/>
              <w:rPr/>
            </w:pPr>
            <w:r>
              <w:rPr/>
              <w:t>​</w:t>
            </w:r>
          </w:p>
        </w:tc>
        <w:tc>
          <w:tcPr>
            <w:tcW w:w="23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83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243,347</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753"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241,008</w:t>
            </w:r>
          </w:p>
        </w:tc>
        <w:tc>
          <w:tcPr>
            <w:tcW w:w="346" w:type="dxa"/>
            <w:tcBorders/>
            <w:shd w:fill="CCEEFF" w:val="clear"/>
            <w:vAlign w:val="center"/>
          </w:tcPr>
          <w:p>
            <w:pPr>
              <w:pStyle w:val="TableContents"/>
              <w:bidi w:val="0"/>
              <w:spacing w:before="0" w:after="0"/>
              <w:ind w:left="0" w:right="0" w:hanging="0"/>
              <w:jc w:val="left"/>
              <w:rPr/>
            </w:pPr>
            <w:r>
              <w:rPr/>
              <w:t>​</w:t>
            </w:r>
          </w:p>
        </w:tc>
        <w:tc>
          <w:tcPr>
            <w:tcW w:w="763" w:type="dxa"/>
            <w:tcBorders/>
            <w:shd w:fill="CCEEFF" w:val="clear"/>
            <w:vAlign w:val="center"/>
          </w:tcPr>
          <w:p>
            <w:pPr>
              <w:pStyle w:val="TableContents"/>
              <w:bidi w:val="0"/>
              <w:spacing w:before="0" w:after="0"/>
              <w:ind w:left="0" w:right="0" w:hanging="0"/>
              <w:jc w:val="center"/>
              <w:rPr/>
            </w:pPr>
            <w:r>
              <w:rPr/>
              <w:t>​</w:t>
            </w:r>
          </w:p>
        </w:tc>
        <w:tc>
          <w:tcPr>
            <w:tcW w:w="272" w:type="dxa"/>
            <w:tcBorders/>
            <w:shd w:fill="CCEEFF" w:val="clear"/>
            <w:vAlign w:val="center"/>
          </w:tcPr>
          <w:p>
            <w:pPr>
              <w:pStyle w:val="TableContents"/>
              <w:bidi w:val="0"/>
              <w:spacing w:before="0" w:after="0"/>
              <w:ind w:left="0" w:right="0" w:hanging="0"/>
              <w:jc w:val="left"/>
              <w:rPr/>
            </w:pPr>
            <w:r>
              <w:rPr/>
              <w:t>​</w:t>
            </w:r>
          </w:p>
        </w:tc>
      </w:tr>
      <w:tr>
        <w:trPr/>
        <w:tc>
          <w:tcPr>
            <w:tcW w:w="2019"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CECL Reserve</w:t>
            </w:r>
          </w:p>
        </w:tc>
        <w:tc>
          <w:tcPr>
            <w:tcW w:w="346" w:type="dxa"/>
            <w:tcBorders/>
            <w:vAlign w:val="center"/>
          </w:tcPr>
          <w:p>
            <w:pPr>
              <w:pStyle w:val="TableContents"/>
              <w:bidi w:val="0"/>
              <w:spacing w:before="0" w:after="0"/>
              <w:ind w:left="0" w:right="0" w:hanging="0"/>
              <w:jc w:val="left"/>
              <w:rPr/>
            </w:pPr>
            <w:r>
              <w:rPr/>
              <w:t>​</w:t>
            </w:r>
          </w:p>
        </w:tc>
        <w:tc>
          <w:tcPr>
            <w:tcW w:w="10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w:t>
            </w:r>
          </w:p>
        </w:tc>
        <w:tc>
          <w:tcPr>
            <w:tcW w:w="83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pPr>
            <w:r>
              <w:rPr/>
              <w:t>​</w:t>
            </w:r>
          </w:p>
        </w:tc>
        <w:tc>
          <w:tcPr>
            <w:tcW w:w="83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5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(2,433)</w:t>
            </w:r>
          </w:p>
        </w:tc>
        <w:tc>
          <w:tcPr>
            <w:tcW w:w="346" w:type="dxa"/>
            <w:tcBorders/>
            <w:vAlign w:val="center"/>
          </w:tcPr>
          <w:p>
            <w:pPr>
              <w:pStyle w:val="TableContents"/>
              <w:bidi w:val="0"/>
              <w:spacing w:before="0" w:after="0"/>
              <w:ind w:left="0" w:right="0" w:hanging="0"/>
              <w:jc w:val="left"/>
              <w:rPr/>
            </w:pPr>
            <w:r>
              <w:rPr/>
              <w:t>​</w:t>
            </w:r>
          </w:p>
        </w:tc>
        <w:tc>
          <w:tcPr>
            <w:tcW w:w="763" w:type="dxa"/>
            <w:tcBorders/>
            <w:vAlign w:val="center"/>
          </w:tcPr>
          <w:p>
            <w:pPr>
              <w:pStyle w:val="TableContents"/>
              <w:bidi w:val="0"/>
              <w:spacing w:before="0" w:after="0"/>
              <w:ind w:left="0" w:right="0" w:hanging="0"/>
              <w:jc w:val="center"/>
              <w:rPr/>
            </w:pPr>
            <w:r>
              <w:rPr/>
              <w:t>​</w:t>
            </w:r>
          </w:p>
        </w:tc>
        <w:tc>
          <w:tcPr>
            <w:tcW w:w="272" w:type="dxa"/>
            <w:tcBorders/>
            <w:vAlign w:val="center"/>
          </w:tcPr>
          <w:p>
            <w:pPr>
              <w:pStyle w:val="TableContents"/>
              <w:bidi w:val="0"/>
              <w:spacing w:before="0" w:after="0"/>
              <w:ind w:left="0" w:right="0" w:hanging="0"/>
              <w:jc w:val="center"/>
              <w:rPr/>
            </w:pPr>
            <w:r>
              <w:rPr/>
              <w:t>​</w:t>
            </w:r>
          </w:p>
        </w:tc>
      </w:tr>
      <w:tr>
        <w:trPr/>
        <w:tc>
          <w:tcPr>
            <w:tcW w:w="2019"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Total Commercial Loans and Investments</w:t>
            </w:r>
          </w:p>
        </w:tc>
        <w:tc>
          <w:tcPr>
            <w:tcW w:w="346" w:type="dxa"/>
            <w:tcBorders/>
            <w:shd w:fill="CCEEFF" w:val="clear"/>
            <w:vAlign w:val="center"/>
          </w:tcPr>
          <w:p>
            <w:pPr>
              <w:pStyle w:val="TableContents"/>
              <w:bidi w:val="0"/>
              <w:spacing w:before="0" w:after="0"/>
              <w:ind w:left="0" w:right="0" w:hanging="0"/>
              <w:jc w:val="left"/>
              <w:rPr/>
            </w:pPr>
            <w:r>
              <w:rPr/>
              <w:t>​</w:t>
            </w:r>
          </w:p>
        </w:tc>
        <w:tc>
          <w:tcPr>
            <w:tcW w:w="103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pPr>
            <w:r>
              <w:rPr/>
              <w:t>​</w:t>
            </w:r>
          </w:p>
        </w:tc>
        <w:tc>
          <w:tcPr>
            <w:tcW w:w="839"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6" w:type="dxa"/>
            <w:tcBorders/>
            <w:shd w:fill="CCEEFF" w:val="clear"/>
            <w:vAlign w:val="center"/>
          </w:tcPr>
          <w:p>
            <w:pPr>
              <w:pStyle w:val="TableContents"/>
              <w:bidi w:val="0"/>
              <w:spacing w:before="0" w:after="0"/>
              <w:ind w:left="0" w:right="0" w:hanging="0"/>
              <w:jc w:val="left"/>
              <w:rPr/>
            </w:pPr>
            <w:r>
              <w:rPr/>
              <w:t>​</w:t>
            </w:r>
          </w:p>
        </w:tc>
        <w:tc>
          <w:tcPr>
            <w:tcW w:w="834"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75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238,575</w:t>
            </w:r>
          </w:p>
        </w:tc>
        <w:tc>
          <w:tcPr>
            <w:tcW w:w="346" w:type="dxa"/>
            <w:tcBorders/>
            <w:shd w:fill="CCEEFF" w:val="clear"/>
            <w:vAlign w:val="center"/>
          </w:tcPr>
          <w:p>
            <w:pPr>
              <w:pStyle w:val="TableContents"/>
              <w:bidi w:val="0"/>
              <w:spacing w:before="0" w:after="0"/>
              <w:ind w:left="0" w:right="0" w:hanging="0"/>
              <w:jc w:val="left"/>
              <w:rPr/>
            </w:pPr>
            <w:r>
              <w:rPr/>
              <w:t>​</w:t>
            </w:r>
          </w:p>
        </w:tc>
        <w:tc>
          <w:tcPr>
            <w:tcW w:w="763" w:type="dxa"/>
            <w:tcBorders/>
            <w:shd w:fill="CCEEFF" w:val="clear"/>
            <w:vAlign w:val="center"/>
          </w:tcPr>
          <w:p>
            <w:pPr>
              <w:pStyle w:val="TableContents"/>
              <w:bidi w:val="0"/>
              <w:spacing w:before="0" w:after="0"/>
              <w:ind w:left="0" w:right="0" w:hanging="0"/>
              <w:jc w:val="center"/>
              <w:rPr/>
            </w:pPr>
            <w:r>
              <w:rPr/>
              <w:t>​</w:t>
            </w:r>
          </w:p>
        </w:tc>
        <w:tc>
          <w:tcPr>
            <w:tcW w:w="272" w:type="dxa"/>
            <w:tcBorders/>
            <w:shd w:fill="CCEEFF" w:val="clear"/>
            <w:vAlign w:val="center"/>
          </w:tcPr>
          <w:p>
            <w:pPr>
              <w:pStyle w:val="TableContents"/>
              <w:bidi w:val="0"/>
              <w:spacing w:before="0" w:after="0"/>
              <w:ind w:left="0" w:right="0" w:hanging="0"/>
              <w:jc w:val="center"/>
              <w:rPr/>
            </w:pPr>
            <w:r>
              <w:rPr/>
              <w:t>​</w:t>
            </w:r>
          </w:p>
        </w:tc>
      </w:tr>
    </w:tbl>
    <w:tbl>
      <w:tblPr>
        <w:tblW w:w="8852" w:type="dxa"/>
        <w:jc w:val="left"/>
        <w:tblInd w:w="0" w:type="dxa"/>
        <w:tblLayout w:type="fixed"/>
        <w:tblCellMar>
          <w:top w:w="0" w:type="dxa"/>
          <w:left w:w="0" w:type="dxa"/>
          <w:bottom w:w="0" w:type="dxa"/>
          <w:right w:w="0" w:type="dxa"/>
        </w:tblCellMar>
      </w:tblPr>
      <w:tblGrid>
        <w:gridCol w:w="271"/>
        <w:gridCol w:w="8581"/>
      </w:tblGrid>
      <w:tr>
        <w:trPr/>
        <w:tc>
          <w:tcPr>
            <w:tcW w:w="271" w:type="dxa"/>
            <w:tcBorders/>
            <w:vAlign w:val="center"/>
          </w:tcPr>
          <w:p>
            <w:pPr>
              <w:pStyle w:val="TableContents"/>
              <w:bidi w:val="0"/>
              <w:spacing w:before="0" w:after="283"/>
              <w:jc w:val="left"/>
              <w:rPr>
                <w:rFonts w:ascii="Times New Roman;Times;serif" w:hAnsi="Times New Roman;Times;serif"/>
                <w:sz w:val="12"/>
              </w:rPr>
            </w:pPr>
            <w:r>
              <w:rPr>
                <w:rFonts w:ascii="Times New Roman;Times;serif" w:hAnsi="Times New Roman;Times;serif"/>
                <w:sz w:val="12"/>
              </w:rPr>
              <w:t>(1)</w:t>
            </w:r>
          </w:p>
        </w:tc>
        <w:tc>
          <w:tcPr>
            <w:tcW w:w="8581"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Subsequent to June 30, 2026, the loan was upsized to $16.7</w:t>
            </w:r>
            <w:r>
              <w:rPr>
                <w:caps w:val="false"/>
                <w:smallCaps w:val="false"/>
              </w:rPr>
              <w:t xml:space="preserve"> </w:t>
            </w:r>
            <w:r>
              <w:rPr>
                <w:rFonts w:ascii="Times New Roman;Times;serif" w:hAnsi="Times New Roman;Times;serif"/>
                <w:b w:val="false"/>
                <w:i w:val="false"/>
                <w:caps w:val="false"/>
                <w:smallCaps w:val="false"/>
                <w:sz w:val="16"/>
              </w:rPr>
              <w:t>million and the maturity date was extended to July 25, 2027.</w:t>
            </w:r>
          </w:p>
        </w:tc>
      </w:tr>
    </w:tbl>
    <w:tbl>
      <w:tblPr>
        <w:tblW w:w="8822" w:type="dxa"/>
        <w:jc w:val="left"/>
        <w:tblInd w:w="0" w:type="dxa"/>
        <w:tblLayout w:type="fixed"/>
        <w:tblCellMar>
          <w:top w:w="0" w:type="dxa"/>
          <w:left w:w="0" w:type="dxa"/>
          <w:bottom w:w="0" w:type="dxa"/>
          <w:right w:w="0" w:type="dxa"/>
        </w:tblCellMar>
      </w:tblPr>
      <w:tblGrid>
        <w:gridCol w:w="271"/>
        <w:gridCol w:w="8551"/>
      </w:tblGrid>
      <w:tr>
        <w:trPr/>
        <w:tc>
          <w:tcPr>
            <w:tcW w:w="271" w:type="dxa"/>
            <w:tcBorders/>
            <w:vAlign w:val="center"/>
          </w:tcPr>
          <w:p>
            <w:pPr>
              <w:pStyle w:val="TableContents"/>
              <w:bidi w:val="0"/>
              <w:spacing w:before="0" w:after="283"/>
              <w:jc w:val="left"/>
              <w:rPr>
                <w:rFonts w:ascii="Times New Roman;Times;serif" w:hAnsi="Times New Roman;Times;serif"/>
                <w:sz w:val="12"/>
              </w:rPr>
            </w:pPr>
            <w:r>
              <w:rPr>
                <w:rFonts w:ascii="Times New Roman;Times;serif" w:hAnsi="Times New Roman;Times;serif"/>
                <w:sz w:val="12"/>
              </w:rPr>
              <w:t>(2)</w:t>
            </w:r>
          </w:p>
        </w:tc>
        <w:tc>
          <w:tcPr>
            <w:tcW w:w="85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The maturity date reflects the date the tenant’s repurchase right first becomes exercisable pursuant to the lease agreement.</w:t>
            </w:r>
          </w:p>
        </w:tc>
      </w:tr>
    </w:tbl>
    <w:tbl>
      <w:tblPr>
        <w:tblW w:w="10205" w:type="dxa"/>
        <w:jc w:val="left"/>
        <w:tblInd w:w="0" w:type="dxa"/>
        <w:tblLayout w:type="fixed"/>
        <w:tblCellMar>
          <w:top w:w="0" w:type="dxa"/>
          <w:left w:w="0" w:type="dxa"/>
          <w:bottom w:w="0" w:type="dxa"/>
          <w:right w:w="0" w:type="dxa"/>
        </w:tblCellMar>
      </w:tblPr>
      <w:tblGrid>
        <w:gridCol w:w="251"/>
        <w:gridCol w:w="9954"/>
      </w:tblGrid>
      <w:tr>
        <w:trPr/>
        <w:tc>
          <w:tcPr>
            <w:tcW w:w="251" w:type="dxa"/>
            <w:tcBorders/>
            <w:vAlign w:val="center"/>
          </w:tcPr>
          <w:p>
            <w:pPr>
              <w:pStyle w:val="TableContents"/>
              <w:bidi w:val="0"/>
              <w:spacing w:before="0" w:after="283"/>
              <w:jc w:val="left"/>
              <w:rPr>
                <w:rFonts w:ascii="Times New Roman;Times;serif" w:hAnsi="Times New Roman;Times;serif"/>
                <w:sz w:val="12"/>
              </w:rPr>
            </w:pPr>
            <w:r>
              <w:rPr>
                <w:rFonts w:ascii="Times New Roman;Times;serif" w:hAnsi="Times New Roman;Times;serif"/>
                <w:sz w:val="12"/>
              </w:rPr>
              <w:t>(3)</w:t>
            </w:r>
          </w:p>
        </w:tc>
        <w:tc>
          <w:tcPr>
            <w:tcW w:w="9954"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As of June 30, 2026, after adjusting for the A-1 participation interests, as described in Note 12, “Obligation Under Participation Agreement”, the Company’s net remaining investment, at face value, in the 2025 Mortgage Note is $40.6</w:t>
            </w:r>
            <w:r>
              <w:rPr>
                <w:caps w:val="false"/>
                <w:smallCaps w:val="false"/>
              </w:rPr>
              <w:t xml:space="preserve"> </w:t>
            </w:r>
            <w:r>
              <w:rPr>
                <w:rFonts w:ascii="Times New Roman;Times;serif" w:hAnsi="Times New Roman;Times;serif"/>
                <w:b w:val="false"/>
                <w:i w:val="false"/>
                <w:caps w:val="false"/>
                <w:smallCaps w:val="false"/>
                <w:sz w:val="16"/>
              </w:rPr>
              <w:t>million.</w:t>
            </w:r>
          </w:p>
        </w:tc>
      </w:tr>
    </w:tbl>
    <w:tbl>
      <w:tblPr>
        <w:tblW w:w="5927" w:type="dxa"/>
        <w:jc w:val="left"/>
        <w:tblInd w:w="0" w:type="dxa"/>
        <w:tblLayout w:type="fixed"/>
        <w:tblCellMar>
          <w:top w:w="0" w:type="dxa"/>
          <w:left w:w="0" w:type="dxa"/>
          <w:bottom w:w="0" w:type="dxa"/>
          <w:right w:w="0" w:type="dxa"/>
        </w:tblCellMar>
      </w:tblPr>
      <w:tblGrid>
        <w:gridCol w:w="271"/>
        <w:gridCol w:w="5656"/>
      </w:tblGrid>
      <w:tr>
        <w:trPr/>
        <w:tc>
          <w:tcPr>
            <w:tcW w:w="271" w:type="dxa"/>
            <w:tcBorders/>
            <w:vAlign w:val="center"/>
          </w:tcPr>
          <w:p>
            <w:pPr>
              <w:pStyle w:val="TableContents"/>
              <w:bidi w:val="0"/>
              <w:spacing w:before="0" w:after="283"/>
              <w:jc w:val="left"/>
              <w:rPr>
                <w:rFonts w:ascii="Times New Roman;Times;serif" w:hAnsi="Times New Roman;Times;serif"/>
                <w:sz w:val="12"/>
              </w:rPr>
            </w:pPr>
            <w:r>
              <w:rPr>
                <w:rFonts w:ascii="Times New Roman;Times;serif" w:hAnsi="Times New Roman;Times;serif"/>
                <w:sz w:val="12"/>
              </w:rPr>
              <w:t>(4)</w:t>
            </w:r>
          </w:p>
        </w:tc>
        <w:tc>
          <w:tcPr>
            <w:tcW w:w="5656"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The coupon rate is comprised of 12.00%</w:t>
            </w:r>
            <w:r>
              <w:rPr>
                <w:caps w:val="false"/>
                <w:smallCaps w:val="false"/>
              </w:rPr>
              <w:t xml:space="preserve"> </w:t>
            </w:r>
            <w:r>
              <w:rPr>
                <w:rFonts w:ascii="Times New Roman;Times;serif" w:hAnsi="Times New Roman;Times;serif"/>
                <w:b w:val="false"/>
                <w:i w:val="false"/>
                <w:caps w:val="false"/>
                <w:smallCaps w:val="false"/>
                <w:sz w:val="16"/>
              </w:rPr>
              <w:t>cash interest and 4.00%</w:t>
            </w:r>
            <w:r>
              <w:rPr>
                <w:caps w:val="false"/>
                <w:smallCaps w:val="false"/>
              </w:rPr>
              <w:t xml:space="preserve"> </w:t>
            </w:r>
            <w:r>
              <w:rPr>
                <w:rFonts w:ascii="Times New Roman;Times;serif" w:hAnsi="Times New Roman;Times;serif"/>
                <w:b w:val="false"/>
                <w:i w:val="false"/>
                <w:caps w:val="false"/>
                <w:smallCaps w:val="false"/>
                <w:sz w:val="16"/>
              </w:rPr>
              <w:t>paid-in-kind.</w:t>
            </w:r>
          </w:p>
        </w:tc>
      </w:tr>
    </w:tbl>
    <w:tbl>
      <w:tblPr>
        <w:tblW w:w="5927" w:type="dxa"/>
        <w:jc w:val="left"/>
        <w:tblInd w:w="0" w:type="dxa"/>
        <w:tblLayout w:type="fixed"/>
        <w:tblCellMar>
          <w:top w:w="0" w:type="dxa"/>
          <w:left w:w="0" w:type="dxa"/>
          <w:bottom w:w="0" w:type="dxa"/>
          <w:right w:w="0" w:type="dxa"/>
        </w:tblCellMar>
      </w:tblPr>
      <w:tblGrid>
        <w:gridCol w:w="271"/>
        <w:gridCol w:w="5656"/>
      </w:tblGrid>
      <w:tr>
        <w:trPr/>
        <w:tc>
          <w:tcPr>
            <w:tcW w:w="271" w:type="dxa"/>
            <w:tcBorders/>
            <w:vAlign w:val="center"/>
          </w:tcPr>
          <w:p>
            <w:pPr>
              <w:pStyle w:val="TableContents"/>
              <w:bidi w:val="0"/>
              <w:spacing w:before="0" w:after="283"/>
              <w:jc w:val="left"/>
              <w:rPr>
                <w:rFonts w:ascii="Times New Roman;Times;serif" w:hAnsi="Times New Roman;Times;serif"/>
                <w:sz w:val="12"/>
              </w:rPr>
            </w:pPr>
            <w:r>
              <w:rPr>
                <w:rFonts w:ascii="Times New Roman;Times;serif" w:hAnsi="Times New Roman;Times;serif"/>
                <w:sz w:val="12"/>
              </w:rPr>
              <w:t>(5)</w:t>
            </w:r>
          </w:p>
        </w:tc>
        <w:tc>
          <w:tcPr>
            <w:tcW w:w="5656"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The coupon rate is comprised of 13.00%</w:t>
            </w:r>
            <w:r>
              <w:rPr>
                <w:caps w:val="false"/>
                <w:smallCaps w:val="false"/>
              </w:rPr>
              <w:t xml:space="preserve"> </w:t>
            </w:r>
            <w:r>
              <w:rPr>
                <w:rFonts w:ascii="Times New Roman;Times;serif" w:hAnsi="Times New Roman;Times;serif"/>
                <w:b w:val="false"/>
                <w:i w:val="false"/>
                <w:caps w:val="false"/>
                <w:smallCaps w:val="false"/>
                <w:sz w:val="16"/>
              </w:rPr>
              <w:t>cash interest and 3.00%</w:t>
            </w:r>
            <w:r>
              <w:rPr>
                <w:caps w:val="false"/>
                <w:smallCaps w:val="false"/>
              </w:rPr>
              <w:t xml:space="preserve"> </w:t>
            </w:r>
            <w:r>
              <w:rPr>
                <w:rFonts w:ascii="Times New Roman;Times;serif" w:hAnsi="Times New Roman;Times;serif"/>
                <w:b w:val="false"/>
                <w:i w:val="false"/>
                <w:caps w:val="false"/>
                <w:smallCaps w:val="false"/>
                <w:sz w:val="16"/>
              </w:rPr>
              <w:t>paid-in-kind.</w:t>
            </w:r>
          </w:p>
        </w:tc>
      </w:tr>
    </w:tbl>
    <w:tbl>
      <w:tblPr>
        <w:tblW w:w="5837" w:type="dxa"/>
        <w:jc w:val="left"/>
        <w:tblInd w:w="0" w:type="dxa"/>
        <w:tblLayout w:type="fixed"/>
        <w:tblCellMar>
          <w:top w:w="0" w:type="dxa"/>
          <w:left w:w="0" w:type="dxa"/>
          <w:bottom w:w="0" w:type="dxa"/>
          <w:right w:w="0" w:type="dxa"/>
        </w:tblCellMar>
      </w:tblPr>
      <w:tblGrid>
        <w:gridCol w:w="271"/>
        <w:gridCol w:w="5566"/>
      </w:tblGrid>
      <w:tr>
        <w:trPr/>
        <w:tc>
          <w:tcPr>
            <w:tcW w:w="271" w:type="dxa"/>
            <w:tcBorders/>
            <w:vAlign w:val="center"/>
          </w:tcPr>
          <w:p>
            <w:pPr>
              <w:pStyle w:val="TableContents"/>
              <w:bidi w:val="0"/>
              <w:spacing w:before="0" w:after="283"/>
              <w:jc w:val="left"/>
              <w:rPr>
                <w:rFonts w:ascii="Times New Roman;Times;serif" w:hAnsi="Times New Roman;Times;serif"/>
                <w:sz w:val="12"/>
              </w:rPr>
            </w:pPr>
            <w:r>
              <w:rPr>
                <w:rFonts w:ascii="Times New Roman;Times;serif" w:hAnsi="Times New Roman;Times;serif"/>
                <w:sz w:val="12"/>
              </w:rPr>
              <w:t>(6)</w:t>
            </w:r>
          </w:p>
        </w:tc>
        <w:tc>
          <w:tcPr>
            <w:tcW w:w="5566"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The coupon rate is comprised of 9.00%</w:t>
            </w:r>
            <w:r>
              <w:rPr>
                <w:caps w:val="false"/>
                <w:smallCaps w:val="false"/>
              </w:rPr>
              <w:t xml:space="preserve"> </w:t>
            </w:r>
            <w:r>
              <w:rPr>
                <w:rFonts w:ascii="Times New Roman;Times;serif" w:hAnsi="Times New Roman;Times;serif"/>
                <w:b w:val="false"/>
                <w:i w:val="false"/>
                <w:caps w:val="false"/>
                <w:smallCaps w:val="false"/>
                <w:sz w:val="16"/>
              </w:rPr>
              <w:t>cash interest and 3.00%</w:t>
            </w:r>
            <w:r>
              <w:rPr>
                <w:caps w:val="false"/>
                <w:smallCaps w:val="false"/>
              </w:rPr>
              <w:t xml:space="preserve"> </w:t>
            </w:r>
            <w:r>
              <w:rPr>
                <w:rFonts w:ascii="Times New Roman;Times;serif" w:hAnsi="Times New Roman;Times;serif"/>
                <w:b w:val="false"/>
                <w:i w:val="false"/>
                <w:caps w:val="false"/>
                <w:smallCaps w:val="false"/>
                <w:sz w:val="16"/>
              </w:rPr>
              <w:t>paid-in-kind.</w:t>
            </w:r>
          </w:p>
        </w:tc>
      </w:tr>
    </w:tbl>
    <w:tbl>
      <w:tblPr>
        <w:tblW w:w="5927" w:type="dxa"/>
        <w:jc w:val="left"/>
        <w:tblInd w:w="0" w:type="dxa"/>
        <w:tblLayout w:type="fixed"/>
        <w:tblCellMar>
          <w:top w:w="0" w:type="dxa"/>
          <w:left w:w="0" w:type="dxa"/>
          <w:bottom w:w="0" w:type="dxa"/>
          <w:right w:w="0" w:type="dxa"/>
        </w:tblCellMar>
      </w:tblPr>
      <w:tblGrid>
        <w:gridCol w:w="271"/>
        <w:gridCol w:w="5656"/>
      </w:tblGrid>
      <w:tr>
        <w:trPr/>
        <w:tc>
          <w:tcPr>
            <w:tcW w:w="271" w:type="dxa"/>
            <w:tcBorders/>
            <w:vAlign w:val="center"/>
          </w:tcPr>
          <w:p>
            <w:pPr>
              <w:pStyle w:val="TableContents"/>
              <w:bidi w:val="0"/>
              <w:spacing w:before="0" w:after="283"/>
              <w:jc w:val="left"/>
              <w:rPr>
                <w:rFonts w:ascii="Times New Roman;Times;serif" w:hAnsi="Times New Roman;Times;serif"/>
                <w:sz w:val="12"/>
              </w:rPr>
            </w:pPr>
            <w:r>
              <w:rPr>
                <w:rFonts w:ascii="Times New Roman;Times;serif" w:hAnsi="Times New Roman;Times;serif"/>
                <w:sz w:val="12"/>
              </w:rPr>
              <w:t>(7)</w:t>
            </w:r>
          </w:p>
        </w:tc>
        <w:tc>
          <w:tcPr>
            <w:tcW w:w="5656"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The coupon rate is comprised of 10.00%</w:t>
            </w:r>
            <w:r>
              <w:rPr>
                <w:caps w:val="false"/>
                <w:smallCaps w:val="false"/>
              </w:rPr>
              <w:t xml:space="preserve"> </w:t>
            </w:r>
            <w:r>
              <w:rPr>
                <w:rFonts w:ascii="Times New Roman;Times;serif" w:hAnsi="Times New Roman;Times;serif"/>
                <w:b w:val="false"/>
                <w:i w:val="false"/>
                <w:caps w:val="false"/>
                <w:smallCaps w:val="false"/>
                <w:sz w:val="16"/>
              </w:rPr>
              <w:t>cash interest and 2.00%</w:t>
            </w:r>
            <w:r>
              <w:rPr>
                <w:caps w:val="false"/>
                <w:smallCaps w:val="false"/>
              </w:rPr>
              <w:t xml:space="preserve"> </w:t>
            </w:r>
            <w:r>
              <w:rPr>
                <w:rFonts w:ascii="Times New Roman;Times;serif" w:hAnsi="Times New Roman;Times;serif"/>
                <w:b w:val="false"/>
                <w:i w:val="false"/>
                <w:caps w:val="false"/>
                <w:smallCaps w:val="false"/>
                <w:sz w:val="16"/>
              </w:rPr>
              <w:t>paid-in-kind.</w:t>
            </w:r>
          </w:p>
        </w:tc>
      </w:tr>
    </w:tbl>
    <w:tbl>
      <w:tblPr>
        <w:tblW w:w="5927" w:type="dxa"/>
        <w:jc w:val="left"/>
        <w:tblInd w:w="0" w:type="dxa"/>
        <w:tblLayout w:type="fixed"/>
        <w:tblCellMar>
          <w:top w:w="0" w:type="dxa"/>
          <w:left w:w="0" w:type="dxa"/>
          <w:bottom w:w="0" w:type="dxa"/>
          <w:right w:w="0" w:type="dxa"/>
        </w:tblCellMar>
      </w:tblPr>
      <w:tblGrid>
        <w:gridCol w:w="271"/>
        <w:gridCol w:w="5656"/>
      </w:tblGrid>
      <w:tr>
        <w:trPr/>
        <w:tc>
          <w:tcPr>
            <w:tcW w:w="271" w:type="dxa"/>
            <w:tcBorders/>
            <w:vAlign w:val="center"/>
          </w:tcPr>
          <w:p>
            <w:pPr>
              <w:pStyle w:val="TableContents"/>
              <w:bidi w:val="0"/>
              <w:spacing w:before="0" w:after="283"/>
              <w:jc w:val="left"/>
              <w:rPr>
                <w:rFonts w:ascii="Times New Roman;Times;serif" w:hAnsi="Times New Roman;Times;serif"/>
                <w:sz w:val="12"/>
              </w:rPr>
            </w:pPr>
            <w:r>
              <w:rPr>
                <w:rFonts w:ascii="Times New Roman;Times;serif" w:hAnsi="Times New Roman;Times;serif"/>
                <w:sz w:val="12"/>
              </w:rPr>
              <w:t>(8)</w:t>
            </w:r>
          </w:p>
        </w:tc>
        <w:tc>
          <w:tcPr>
            <w:tcW w:w="5656"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The coupon rate is comprised of 11.50%</w:t>
            </w:r>
            <w:r>
              <w:rPr>
                <w:caps w:val="false"/>
                <w:smallCaps w:val="false"/>
              </w:rPr>
              <w:t xml:space="preserve"> </w:t>
            </w:r>
            <w:r>
              <w:rPr>
                <w:rFonts w:ascii="Times New Roman;Times;serif" w:hAnsi="Times New Roman;Times;serif"/>
                <w:b w:val="false"/>
                <w:i w:val="false"/>
                <w:caps w:val="false"/>
                <w:smallCaps w:val="false"/>
                <w:sz w:val="16"/>
              </w:rPr>
              <w:t>cash interest and 1.50%</w:t>
            </w:r>
            <w:r>
              <w:rPr>
                <w:caps w:val="false"/>
                <w:smallCaps w:val="false"/>
              </w:rPr>
              <w:t xml:space="preserve"> </w:t>
            </w:r>
            <w:r>
              <w:rPr>
                <w:rFonts w:ascii="Times New Roman;Times;serif" w:hAnsi="Times New Roman;Times;serif"/>
                <w:b w:val="false"/>
                <w:i w:val="false"/>
                <w:caps w:val="false"/>
                <w:smallCaps w:val="false"/>
                <w:sz w:val="16"/>
              </w:rPr>
              <w:t>paid-in-kind.</w:t>
            </w:r>
          </w:p>
        </w:tc>
      </w:tr>
    </w:tbl>
    <w:p>
      <w:pPr>
        <w:pStyle w:val="TextBody"/>
        <w:bidi w:val="0"/>
        <w:spacing w:before="0" w:after="0"/>
        <w:ind w:left="0" w:right="0" w:firstLine="36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left"/>
        <w:rPr>
          <w:rFonts w:ascii="Times New Roman;Times;serif" w:hAnsi="Times New Roman;Times;serif"/>
          <w:sz w:val="20"/>
        </w:rPr>
      </w:pPr>
      <w:bookmarkStart w:id="1041" w:name="Tc_oz71-t30D0uK5Uv5lQHaeA_6_5"/>
      <w:bookmarkStart w:id="1042" w:name="Tc_5oWKUH0gh0iLim_hNpjlrQ_6_2"/>
      <w:bookmarkStart w:id="1043" w:name="Tc_RD56RLMD8UK64zBcK594iw_6_0"/>
      <w:bookmarkStart w:id="1044" w:name="Tc_EZ8Nlklflk61XIz0-eYxRQ_5_0"/>
      <w:bookmarkStart w:id="1045" w:name="Tc_cOYKmhkJME6gNn-n1QgcGw_4_0"/>
      <w:bookmarkStart w:id="1046" w:name="Tc_EI0a8zfrYUeRwI2ZlXhAeg_3_5"/>
      <w:bookmarkStart w:id="1047" w:name="Tc_FGEccAnYQk2luhEZhmMHew_3_2"/>
      <w:bookmarkStart w:id="1048" w:name="Tc_-smz5ECuQU2_LQeYp77kZw_3_0"/>
      <w:bookmarkStart w:id="1049" w:name="Tc_wqHSjyqwl0CDZAj_rGFF9A_2_5"/>
      <w:bookmarkStart w:id="1050" w:name="Tc_ROW16qJU1EeCKXtCoOz9Zg_2_2"/>
      <w:bookmarkStart w:id="1051" w:name="Tc_RXtzcYBdD0S3tuf-HzuZow_1_2"/>
      <w:bookmarkStart w:id="1052" w:name="_f1147354_6f40_4d0f_af5b_a56592e8a870"/>
      <w:bookmarkStart w:id="1053" w:name="Tc_2-axfPHpIUiYOUA13ZLenw_22_12"/>
      <w:bookmarkStart w:id="1054" w:name="Tc_N2geGEGJB0uXgrEtNyQAMg_22_0"/>
      <w:bookmarkStart w:id="1055" w:name="Tc_EJYp7g6BB0Ol51NX4GHu4g_21_0"/>
      <w:bookmarkStart w:id="1056" w:name="Tc_2d4FEgQRHUeYyB-Y134pLg_20_12"/>
      <w:bookmarkStart w:id="1057" w:name="Tc_csqa-N0p3E-X1KEaewMLoA_20_9"/>
      <w:bookmarkStart w:id="1058" w:name="Tc_cb20BXR43k6PKOWr-B7Mkw_20_6"/>
      <w:bookmarkStart w:id="1059" w:name="Tc_kAAwFOVsxUes4483rxqiwA_19_16"/>
      <w:bookmarkStart w:id="1060" w:name="Tc_0gU_GKnxz0-XsVj4clBP3w_19_4"/>
      <w:bookmarkStart w:id="1061" w:name="Tc_qNjhKJuSDkCAbpRvK_99cw_19_2"/>
      <w:bookmarkStart w:id="1062" w:name="Tc_BTG6xQ2QEEKXCljmbMEiFg_19_0"/>
      <w:bookmarkStart w:id="1063" w:name="Tc_hqkYhxhgwEG6uvu0VMIFGw_18_16"/>
      <w:bookmarkStart w:id="1064" w:name="Tc_Eqw7k8Qff0qeet7uMUGjCQ_18_4"/>
      <w:bookmarkStart w:id="1065" w:name="Tc_Yx675lVHgEyjgoFfiAd1IQ_18_2"/>
      <w:bookmarkStart w:id="1066" w:name="Tc_jpqxU1GyoUC97-UEhYqnCA_18_0"/>
      <w:bookmarkStart w:id="1067" w:name="Tc_8lgEGclnWEK6kVTbZWmztQ_17_4"/>
      <w:bookmarkStart w:id="1068" w:name="Tc_xFDXW6TOmkCFtML8efp5hw_17_2"/>
      <w:bookmarkStart w:id="1069" w:name="Tc_dYuM4Qnawk28-_bbmiot8Q_17_0"/>
      <w:bookmarkStart w:id="1070" w:name="Tc_7Zy26FDtLUaUg1YCEcBT8A_16_16"/>
      <w:bookmarkStart w:id="1071" w:name="Tc__NCUmU_VQEK9EhvoI2OS3Q_16_4"/>
      <w:bookmarkStart w:id="1072" w:name="Tc_1y-Zign1_kWq-3dTTM2dxQ_16_2"/>
      <w:bookmarkStart w:id="1073" w:name="Tc_4XuTvGr8YUKeVwpdm4_yRg_16_0"/>
      <w:bookmarkStart w:id="1074" w:name="Tc_FWG1f-ajA0ialrihi35DXw_15_16"/>
      <w:bookmarkStart w:id="1075" w:name="Tc_vVkuSmPEM0y9A1AuVR1TXg_15_4"/>
      <w:bookmarkStart w:id="1076" w:name="Tc_AkRbZTHVP06h9CR5ZgnK9w_15_2"/>
      <w:bookmarkStart w:id="1077" w:name="Tc_r0U8nW2uMEej0I4djMf26Q_15_0"/>
      <w:bookmarkStart w:id="1078" w:name="Tc_87qwUeCCik24Irsx9B8uxQ_14_4"/>
      <w:bookmarkStart w:id="1079" w:name="Tc_IdfovRL1QEuuZ10Wr2v_HQ_14_2"/>
      <w:bookmarkStart w:id="1080" w:name="Tc_XfFXiW46oUyp439RZADk2g_14_0"/>
      <w:bookmarkStart w:id="1081" w:name="Tc_g13DBPs9SU-i_kIOtOpqWw_13_4"/>
      <w:bookmarkStart w:id="1082" w:name="Tc_3p-oLV2HgE-reC2VsNLFVw_13_2"/>
      <w:bookmarkStart w:id="1083" w:name="Tc_5e1v95N-TEu__JYdq7ynrw_13_0"/>
      <w:bookmarkStart w:id="1084" w:name="Tc_Ix0igqp_k0SStEd24RWBYA_12_4"/>
      <w:bookmarkStart w:id="1085" w:name="Tc_Dq59dV-VW0CZhgYYOvsSlg_12_2"/>
      <w:bookmarkStart w:id="1086" w:name="Tc_5ctX8LttskmkAIVV5iwLzg_12_0"/>
      <w:bookmarkStart w:id="1087" w:name="Tc_FppZrl5YOkm1RhL68VhKyQ_11_4"/>
      <w:bookmarkStart w:id="1088" w:name="Tc_MwPwmdkqZEielhkbyQ09hg_11_2"/>
      <w:bookmarkStart w:id="1089" w:name="Tc_7PpiODRS1kiUapwEL3_L9w_11_0"/>
      <w:bookmarkStart w:id="1090" w:name="Tc_VjJeQa4MPEq5amOVyPrAeg_10_4"/>
      <w:bookmarkStart w:id="1091" w:name="Tc_1OMnc7cY706Kp6Q9YCdaig_10_2"/>
      <w:bookmarkStart w:id="1092" w:name="Tc_ZJX4uznC50iaA55dd7Tn1g_10_0"/>
      <w:bookmarkStart w:id="1093" w:name="Tc_AoYhUuRZukSc9dgCO2qjtg_9_4"/>
      <w:bookmarkStart w:id="1094" w:name="Tc_jXWlKU1k6022BsrKQy4LdQ_9_2"/>
      <w:bookmarkStart w:id="1095" w:name="Tc_itntGJlxm0unCAj_SFeJXQ_9_0"/>
      <w:bookmarkStart w:id="1096" w:name="Tc_NjYT_vgmN0u4QuIts0M6vg_8_4"/>
      <w:bookmarkStart w:id="1097" w:name="Tc_KuvxnGlalU-hJPvWjXnN2Q_8_2"/>
      <w:bookmarkStart w:id="1098" w:name="Tc_gz7m8YZbzECvi3-BR2AscQ_8_0"/>
      <w:bookmarkStart w:id="1099" w:name="Tc_kiPGUysmzEauvCUE1h_ptw_7_4"/>
      <w:bookmarkStart w:id="1100" w:name="Tc_r6oML2aw-EOrV_UBSpxgMA_7_2"/>
      <w:bookmarkStart w:id="1101" w:name="Tc_Z2tcfy6uaUykeMgBmzvKIA_7_0"/>
      <w:bookmarkStart w:id="1102" w:name="Tc_rpAih6hw6kedDqvbDJRQxg_6_4"/>
      <w:bookmarkStart w:id="1103" w:name="Tc_hwoSg3lQG0aezlBKEanxnQ_6_2"/>
      <w:bookmarkStart w:id="1104" w:name="Tc_9vkotd72Hk-zG_K1yYOyvQ_6_0"/>
      <w:bookmarkStart w:id="1105" w:name="Tc_Zhxk04jkT0WSa0NnDgCXbA_5_4"/>
      <w:bookmarkStart w:id="1106" w:name="Tc_CluiVcSzkEGZJT2QFhLEPw_5_2"/>
      <w:bookmarkStart w:id="1107" w:name="Tc_o3891ExsB0KhXlBxDQw7yA_5_0"/>
      <w:bookmarkStart w:id="1108" w:name="Tc_RY2xVKlSSEWYpyKRi1dz0A_4_4"/>
      <w:bookmarkStart w:id="1109" w:name="Tc_zhH6epQ3hE6lGyC_24As2A_4_2"/>
      <w:bookmarkStart w:id="1110" w:name="Tc_6-CL8WHyLkqrEFl83vn4ng_4_0"/>
      <w:bookmarkStart w:id="1111" w:name="Tc_evwxT4q5hUeQqALPaMqrTw_3_4"/>
      <w:bookmarkStart w:id="1112" w:name="Tc_IjqhGEADWU6PE1MEWwfrxw_3_2"/>
      <w:bookmarkStart w:id="1113" w:name="Tc_XWnTt33-DkeiCPXTeOzULg_3_0"/>
      <w:bookmarkStart w:id="1114" w:name="Tc_8cvhrbo-602FMYHSd_P81g_2_12"/>
      <w:bookmarkStart w:id="1115" w:name="Tc_FJ04-gNrWEGc2xKLZEtERA_2_9"/>
      <w:bookmarkStart w:id="1116" w:name="Tc_byXxNu28ykGKe21zyikTMA_2_6"/>
      <w:bookmarkStart w:id="1117" w:name="Tc_FJbKAUyjuUOxb6fXZ0yoIA_2_4"/>
      <w:bookmarkStart w:id="1118" w:name="Tc_XMBcZU1KxkCha1l1OrdrQg_2_2"/>
      <w:bookmarkStart w:id="1119" w:name="Tc_DXISQo04z0-bh0hW-dC0pQ_2_0"/>
      <w:bookmarkStart w:id="1120" w:name="Tc_xuW0XkVoAk6QW6kkHxT4rQ_1_15"/>
      <w:bookmarkStart w:id="1121" w:name="Tc_buL5i32-OU6sZgXMmpUjag_1_12"/>
      <w:bookmarkStart w:id="1122" w:name="Tc_tnpB_SeuYESqKPb_FqWUbQ_1_9"/>
      <w:bookmarkStart w:id="1123" w:name="Tc_yvAXXfvfNEmCQ_HRoEzT9A_1_6"/>
      <w:bookmarkStart w:id="1124" w:name="Tc_mHQVnbPfnEKjz1IS2anG9Q_1_4"/>
      <w:bookmarkStart w:id="1125" w:name="Tc_K2BMWO2UyE6Z9x63pM3W4g_1_2"/>
      <w:bookmarkStart w:id="1126" w:name="Tc_JrBIovhTSEuJapdI_ps6xg_1_0"/>
      <w:bookmarkStart w:id="1127" w:name="_cc3ff1ad_78de_4316_9946_a82910a4af2d"/>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r>
        <w:rPr>
          <w:rFonts w:ascii="Times New Roman;Times;serif" w:hAnsi="Times New Roman;Times;serif"/>
          <w:sz w:val="20"/>
        </w:rPr>
        <w:t>The Company’s commercial loans and investments were comprised of the following at December 31, 2025 (in thousands):</w:t>
      </w:r>
    </w:p>
    <w:p>
      <w:pPr>
        <w:pStyle w:val="TextBody"/>
        <w:bidi w:val="0"/>
        <w:spacing w:before="0" w:after="0"/>
        <w:ind w:left="0" w:right="0" w:firstLine="720"/>
        <w:jc w:val="left"/>
        <w:rPr/>
      </w:pPr>
      <w:r>
        <w:rPr/>
        <w:t>​</w:t>
      </w:r>
    </w:p>
    <w:tbl>
      <w:tblPr>
        <w:tblW w:w="10205" w:type="dxa"/>
        <w:jc w:val="left"/>
        <w:tblInd w:w="0" w:type="dxa"/>
        <w:tblLayout w:type="fixed"/>
        <w:tblCellMar>
          <w:top w:w="0" w:type="dxa"/>
          <w:left w:w="0" w:type="dxa"/>
          <w:bottom w:w="0" w:type="dxa"/>
          <w:right w:w="0" w:type="dxa"/>
        </w:tblCellMar>
      </w:tblPr>
      <w:tblGrid>
        <w:gridCol w:w="2053"/>
        <w:gridCol w:w="346"/>
        <w:gridCol w:w="1026"/>
        <w:gridCol w:w="346"/>
        <w:gridCol w:w="927"/>
        <w:gridCol w:w="346"/>
        <w:gridCol w:w="236"/>
        <w:gridCol w:w="833"/>
        <w:gridCol w:w="346"/>
        <w:gridCol w:w="234"/>
        <w:gridCol w:w="828"/>
        <w:gridCol w:w="346"/>
        <w:gridCol w:w="212"/>
        <w:gridCol w:w="750"/>
        <w:gridCol w:w="346"/>
        <w:gridCol w:w="759"/>
        <w:gridCol w:w="271"/>
      </w:tblGrid>
      <w:tr>
        <w:trPr/>
        <w:tc>
          <w:tcPr>
            <w:tcW w:w="205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51510" cy="175260"/>
                      <wp:effectExtent l="0" t="0" r="0" b="0"/>
                      <wp:wrapNone/>
                      <wp:docPr id="172" name="Frame172"/>
                      <a:graphic xmlns:a="http://schemas.openxmlformats.org/drawingml/2006/main">
                        <a:graphicData uri="http://schemas.microsoft.com/office/word/2010/wordprocessingShape">
                          <wps:wsp>
                            <wps:cNvSpPr txBox="1"/>
                            <wps:spPr>
                              <a:xfrm>
                                <a:off x="0" y="0"/>
                                <a:ext cx="651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219710" cy="175260"/>
                      <wp:effectExtent l="0" t="0" r="0" b="0"/>
                      <wp:wrapNone/>
                      <wp:docPr id="173" name="Frame17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588645" cy="175260"/>
                      <wp:effectExtent l="0" t="0" r="0" b="0"/>
                      <wp:wrapNone/>
                      <wp:docPr id="174" name="Frame174"/>
                      <a:graphic xmlns:a="http://schemas.openxmlformats.org/drawingml/2006/main">
                        <a:graphicData uri="http://schemas.microsoft.com/office/word/2010/wordprocessingShape">
                          <wps:wsp>
                            <wps:cNvSpPr txBox="1"/>
                            <wps:spPr>
                              <a:xfrm>
                                <a:off x="0" y="0"/>
                                <a:ext cx="5886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219710" cy="175260"/>
                      <wp:effectExtent l="0" t="0" r="0" b="0"/>
                      <wp:wrapNone/>
                      <wp:docPr id="175" name="Frame17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149860" cy="175260"/>
                      <wp:effectExtent l="0" t="0" r="0" b="0"/>
                      <wp:wrapNone/>
                      <wp:docPr id="176" name="Frame176"/>
                      <a:graphic xmlns:a="http://schemas.openxmlformats.org/drawingml/2006/main">
                        <a:graphicData uri="http://schemas.microsoft.com/office/word/2010/wordprocessingShape">
                          <wps:wsp>
                            <wps:cNvSpPr txBox="1"/>
                            <wps:spPr>
                              <a:xfrm>
                                <a:off x="0" y="0"/>
                                <a:ext cx="149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528955" cy="175260"/>
                      <wp:effectExtent l="0" t="0" r="0" b="0"/>
                      <wp:wrapNone/>
                      <wp:docPr id="177" name="Frame177"/>
                      <a:graphic xmlns:a="http://schemas.openxmlformats.org/drawingml/2006/main">
                        <a:graphicData uri="http://schemas.microsoft.com/office/word/2010/wordprocessingShape">
                          <wps:wsp>
                            <wps:cNvSpPr txBox="1"/>
                            <wps:spPr>
                              <a:xfrm>
                                <a:off x="0" y="0"/>
                                <a:ext cx="5289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219710" cy="175260"/>
                      <wp:effectExtent l="0" t="0" r="0" b="0"/>
                      <wp:wrapNone/>
                      <wp:docPr id="178" name="Frame17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148590" cy="175260"/>
                      <wp:effectExtent l="0" t="0" r="0" b="0"/>
                      <wp:wrapNone/>
                      <wp:docPr id="179" name="Frame179"/>
                      <a:graphic xmlns:a="http://schemas.openxmlformats.org/drawingml/2006/main">
                        <a:graphicData uri="http://schemas.microsoft.com/office/word/2010/wordprocessingShape">
                          <wps:wsp>
                            <wps:cNvSpPr txBox="1"/>
                            <wps:spPr>
                              <a:xfrm>
                                <a:off x="0" y="0"/>
                                <a:ext cx="1485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525780" cy="175260"/>
                      <wp:effectExtent l="0" t="0" r="0" b="0"/>
                      <wp:wrapNone/>
                      <wp:docPr id="180" name="Frame180"/>
                      <a:graphic xmlns:a="http://schemas.openxmlformats.org/drawingml/2006/main">
                        <a:graphicData uri="http://schemas.microsoft.com/office/word/2010/wordprocessingShape">
                          <wps:wsp>
                            <wps:cNvSpPr txBox="1"/>
                            <wps:spPr>
                              <a:xfrm>
                                <a:off x="0" y="0"/>
                                <a:ext cx="5257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219710" cy="175260"/>
                      <wp:effectExtent l="0" t="0" r="0" b="0"/>
                      <wp:wrapNone/>
                      <wp:docPr id="181" name="Frame18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134620" cy="175260"/>
                      <wp:effectExtent l="0" t="0" r="0" b="0"/>
                      <wp:wrapNone/>
                      <wp:docPr id="182" name="Frame182"/>
                      <a:graphic xmlns:a="http://schemas.openxmlformats.org/drawingml/2006/main">
                        <a:graphicData uri="http://schemas.microsoft.com/office/word/2010/wordprocessingShape">
                          <wps:wsp>
                            <wps:cNvSpPr txBox="1"/>
                            <wps:spPr>
                              <a:xfrm>
                                <a:off x="0" y="0"/>
                                <a:ext cx="1346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476250" cy="175260"/>
                      <wp:effectExtent l="0" t="0" r="0" b="0"/>
                      <wp:wrapNone/>
                      <wp:docPr id="183" name="Frame183"/>
                      <a:graphic xmlns:a="http://schemas.openxmlformats.org/drawingml/2006/main">
                        <a:graphicData uri="http://schemas.microsoft.com/office/word/2010/wordprocessingShape">
                          <wps:wsp>
                            <wps:cNvSpPr txBox="1"/>
                            <wps:spPr>
                              <a:xfrm>
                                <a:off x="0" y="0"/>
                                <a:ext cx="4762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219710" cy="175260"/>
                      <wp:effectExtent l="0" t="0" r="0" b="0"/>
                      <wp:wrapNone/>
                      <wp:docPr id="184" name="Frame18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481965" cy="175260"/>
                      <wp:effectExtent l="0" t="0" r="0" b="0"/>
                      <wp:wrapNone/>
                      <wp:docPr id="185" name="Frame185"/>
                      <a:graphic xmlns:a="http://schemas.openxmlformats.org/drawingml/2006/main">
                        <a:graphicData uri="http://schemas.microsoft.com/office/word/2010/wordprocessingShape">
                          <wps:wsp>
                            <wps:cNvSpPr txBox="1"/>
                            <wps:spPr>
                              <a:xfrm>
                                <a:off x="0" y="0"/>
                                <a:ext cx="4819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172085" cy="175260"/>
                      <wp:effectExtent l="0" t="0" r="0" b="0"/>
                      <wp:wrapNone/>
                      <wp:docPr id="186" name="Frame186"/>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053"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7"/>
              </w:rPr>
            </w:pPr>
            <w:r>
              <w:rPr>
                <w:rFonts w:ascii="Times New Roman;Times;serif" w:hAnsi="Times New Roman;Times;serif"/>
                <w:b/>
                <w:sz w:val="17"/>
              </w:rPr>
              <w:t>Description</w:t>
            </w:r>
          </w:p>
        </w:tc>
        <w:tc>
          <w:tcPr>
            <w:tcW w:w="346" w:type="dxa"/>
            <w:tcBorders/>
            <w:vAlign w:val="center"/>
          </w:tcPr>
          <w:p>
            <w:pPr>
              <w:pStyle w:val="TableContents"/>
              <w:bidi w:val="0"/>
              <w:spacing w:before="0" w:after="0"/>
              <w:ind w:left="0" w:right="0" w:hanging="0"/>
              <w:jc w:val="left"/>
              <w:rPr/>
            </w:pPr>
            <w:r>
              <w:rPr/>
              <w:t>  ​ ​ ​</w:t>
            </w:r>
          </w:p>
        </w:tc>
        <w:tc>
          <w:tcPr>
            <w:tcW w:w="10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7"/>
              </w:rPr>
            </w:pPr>
            <w:r>
              <w:rPr>
                <w:rFonts w:ascii="Times New Roman;Times;serif" w:hAnsi="Times New Roman;Times;serif"/>
                <w:b/>
                <w:sz w:val="17"/>
              </w:rPr>
              <w:t>Date of Investment</w:t>
            </w:r>
          </w:p>
        </w:tc>
        <w:tc>
          <w:tcPr>
            <w:tcW w:w="346" w:type="dxa"/>
            <w:tcBorders/>
            <w:vAlign w:val="center"/>
          </w:tcPr>
          <w:p>
            <w:pPr>
              <w:pStyle w:val="TableContents"/>
              <w:bidi w:val="0"/>
              <w:spacing w:before="0" w:after="0"/>
              <w:ind w:left="0" w:right="0" w:hanging="0"/>
              <w:jc w:val="left"/>
              <w:rPr/>
            </w:pPr>
            <w:r>
              <w:rPr/>
              <w:t>  ​ ​ ​</w:t>
            </w:r>
          </w:p>
        </w:tc>
        <w:tc>
          <w:tcPr>
            <w:tcW w:w="92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7"/>
              </w:rPr>
            </w:pPr>
            <w:r>
              <w:rPr>
                <w:rFonts w:ascii="Times New Roman;Times;serif" w:hAnsi="Times New Roman;Times;serif"/>
                <w:b/>
                <w:sz w:val="17"/>
              </w:rPr>
              <w:t>Maturity Date</w:t>
            </w:r>
          </w:p>
        </w:tc>
        <w:tc>
          <w:tcPr>
            <w:tcW w:w="346" w:type="dxa"/>
            <w:tcBorders/>
            <w:vAlign w:val="center"/>
          </w:tcPr>
          <w:p>
            <w:pPr>
              <w:pStyle w:val="TableContents"/>
              <w:bidi w:val="0"/>
              <w:spacing w:before="0" w:after="0"/>
              <w:ind w:left="0" w:right="0" w:hanging="0"/>
              <w:jc w:val="left"/>
              <w:rPr/>
            </w:pPr>
            <w:r>
              <w:rPr/>
              <w:t>  ​ ​ ​</w:t>
            </w:r>
          </w:p>
        </w:tc>
        <w:tc>
          <w:tcPr>
            <w:tcW w:w="106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7"/>
              </w:rPr>
            </w:pPr>
            <w:r>
              <w:rPr>
                <w:rFonts w:ascii="Times New Roman;Times;serif" w:hAnsi="Times New Roman;Times;serif"/>
                <w:b/>
                <w:sz w:val="17"/>
              </w:rPr>
              <w:t>Original Face Amount</w:t>
            </w:r>
          </w:p>
        </w:tc>
        <w:tc>
          <w:tcPr>
            <w:tcW w:w="346" w:type="dxa"/>
            <w:tcBorders/>
            <w:vAlign w:val="center"/>
          </w:tcPr>
          <w:p>
            <w:pPr>
              <w:pStyle w:val="TableContents"/>
              <w:bidi w:val="0"/>
              <w:spacing w:before="0" w:after="0"/>
              <w:ind w:left="0" w:right="0" w:hanging="0"/>
              <w:jc w:val="left"/>
              <w:rPr/>
            </w:pPr>
            <w:r>
              <w:rPr/>
              <w:t>  ​ ​ ​</w:t>
            </w:r>
          </w:p>
        </w:tc>
        <w:tc>
          <w:tcPr>
            <w:tcW w:w="106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7"/>
              </w:rPr>
            </w:pPr>
            <w:r>
              <w:rPr>
                <w:rFonts w:ascii="Times New Roman;Times;serif" w:hAnsi="Times New Roman;Times;serif"/>
                <w:b/>
                <w:sz w:val="17"/>
              </w:rPr>
              <w:t>Current Face Amount</w:t>
            </w:r>
          </w:p>
        </w:tc>
        <w:tc>
          <w:tcPr>
            <w:tcW w:w="346" w:type="dxa"/>
            <w:tcBorders/>
            <w:vAlign w:val="center"/>
          </w:tcPr>
          <w:p>
            <w:pPr>
              <w:pStyle w:val="TableContents"/>
              <w:bidi w:val="0"/>
              <w:spacing w:before="0" w:after="0"/>
              <w:ind w:left="0" w:right="0" w:hanging="0"/>
              <w:jc w:val="left"/>
              <w:rPr/>
            </w:pPr>
            <w:r>
              <w:rPr/>
              <w:t>  ​ ​ ​</w:t>
            </w:r>
          </w:p>
        </w:tc>
        <w:tc>
          <w:tcPr>
            <w:tcW w:w="96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7"/>
              </w:rPr>
            </w:pPr>
            <w:r>
              <w:rPr>
                <w:rFonts w:ascii="Times New Roman;Times;serif" w:hAnsi="Times New Roman;Times;serif"/>
                <w:b/>
                <w:sz w:val="17"/>
              </w:rPr>
              <w:t>Carrying Value</w:t>
            </w:r>
          </w:p>
        </w:tc>
        <w:tc>
          <w:tcPr>
            <w:tcW w:w="346" w:type="dxa"/>
            <w:tcBorders/>
            <w:vAlign w:val="center"/>
          </w:tcPr>
          <w:p>
            <w:pPr>
              <w:pStyle w:val="TableContents"/>
              <w:bidi w:val="0"/>
              <w:spacing w:before="0" w:after="0"/>
              <w:ind w:left="0" w:right="0" w:hanging="0"/>
              <w:jc w:val="left"/>
              <w:rPr/>
            </w:pPr>
            <w:r>
              <w:rPr/>
              <w:t>  ​ ​ ​</w:t>
            </w:r>
          </w:p>
        </w:tc>
        <w:tc>
          <w:tcPr>
            <w:tcW w:w="75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7"/>
              </w:rPr>
            </w:pPr>
            <w:r>
              <w:rPr>
                <w:rFonts w:ascii="Times New Roman;Times;serif" w:hAnsi="Times New Roman;Times;serif"/>
                <w:b/>
                <w:sz w:val="17"/>
              </w:rPr>
              <w:t>Coupon Rate</w:t>
            </w:r>
          </w:p>
        </w:tc>
        <w:tc>
          <w:tcPr>
            <w:tcW w:w="271" w:type="dxa"/>
            <w:tcBorders/>
            <w:vAlign w:val="center"/>
          </w:tcPr>
          <w:p>
            <w:pPr>
              <w:pStyle w:val="TableContents"/>
              <w:bidi w:val="0"/>
              <w:spacing w:before="0" w:after="0"/>
              <w:ind w:left="0" w:right="0" w:hanging="0"/>
              <w:jc w:val="center"/>
              <w:rPr/>
            </w:pPr>
            <w:r>
              <w:rPr/>
              <w:t>​</w:t>
            </w:r>
          </w:p>
        </w:tc>
      </w:tr>
      <w:tr>
        <w:trPr/>
        <w:tc>
          <w:tcPr>
            <w:tcW w:w="2053"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Construction Loan – Wawa Land Development – Greenwood, IN</w:t>
            </w:r>
          </w:p>
        </w:tc>
        <w:tc>
          <w:tcPr>
            <w:tcW w:w="346" w:type="dxa"/>
            <w:tcBorders/>
            <w:shd w:fill="CCEEFF" w:val="clear"/>
            <w:vAlign w:val="center"/>
          </w:tcPr>
          <w:p>
            <w:pPr>
              <w:pStyle w:val="TableContents"/>
              <w:bidi w:val="0"/>
              <w:spacing w:before="0" w:after="0"/>
              <w:ind w:left="0" w:right="0" w:hanging="0"/>
              <w:jc w:val="left"/>
              <w:rPr/>
            </w:pPr>
            <w:r>
              <w:rPr/>
              <w:t>​</w:t>
            </w:r>
          </w:p>
        </w:tc>
        <w:tc>
          <w:tcPr>
            <w:tcW w:w="1026"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July 2023</w:t>
            </w:r>
          </w:p>
        </w:tc>
        <w:tc>
          <w:tcPr>
            <w:tcW w:w="346" w:type="dxa"/>
            <w:tcBorders/>
            <w:shd w:fill="CCEEFF" w:val="clear"/>
            <w:vAlign w:val="center"/>
          </w:tcPr>
          <w:p>
            <w:pPr>
              <w:pStyle w:val="TableContents"/>
              <w:bidi w:val="0"/>
              <w:spacing w:before="0" w:after="0"/>
              <w:ind w:left="0" w:right="0" w:hanging="0"/>
              <w:jc w:val="left"/>
              <w:rPr/>
            </w:pPr>
            <w:r>
              <w:rPr/>
              <w:t>​</w:t>
            </w:r>
          </w:p>
        </w:tc>
        <w:tc>
          <w:tcPr>
            <w:tcW w:w="927"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July 2026</w:t>
            </w:r>
          </w:p>
        </w:tc>
        <w:tc>
          <w:tcPr>
            <w:tcW w:w="346" w:type="dxa"/>
            <w:tcBorders/>
            <w:shd w:fill="CCEEFF" w:val="clear"/>
            <w:vAlign w:val="center"/>
          </w:tcPr>
          <w:p>
            <w:pPr>
              <w:pStyle w:val="TableContents"/>
              <w:bidi w:val="0"/>
              <w:spacing w:before="0" w:after="0"/>
              <w:ind w:left="0" w:right="0" w:hanging="0"/>
              <w:jc w:val="left"/>
              <w:rPr/>
            </w:pPr>
            <w:r>
              <w:rPr/>
              <w:t>​</w:t>
            </w:r>
          </w:p>
        </w:tc>
        <w:tc>
          <w:tcPr>
            <w:tcW w:w="236"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833"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14,800</w:t>
            </w:r>
          </w:p>
        </w:tc>
        <w:tc>
          <w:tcPr>
            <w:tcW w:w="346"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828"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9,144</w:t>
            </w:r>
          </w:p>
        </w:tc>
        <w:tc>
          <w:tcPr>
            <w:tcW w:w="34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750"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9,165</w:t>
            </w:r>
          </w:p>
        </w:tc>
        <w:tc>
          <w:tcPr>
            <w:tcW w:w="346" w:type="dxa"/>
            <w:tcBorders/>
            <w:shd w:fill="CCEEFF" w:val="clear"/>
            <w:vAlign w:val="center"/>
          </w:tcPr>
          <w:p>
            <w:pPr>
              <w:pStyle w:val="TableContents"/>
              <w:bidi w:val="0"/>
              <w:spacing w:before="0" w:after="0"/>
              <w:ind w:left="0" w:right="0" w:hanging="0"/>
              <w:jc w:val="left"/>
              <w:rPr/>
            </w:pPr>
            <w:r>
              <w:rPr/>
              <w:t>​</w:t>
            </w:r>
          </w:p>
        </w:tc>
        <w:tc>
          <w:tcPr>
            <w:tcW w:w="759"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9.50%</w:t>
            </w:r>
          </w:p>
        </w:tc>
        <w:tc>
          <w:tcPr>
            <w:tcW w:w="271" w:type="dxa"/>
            <w:tcBorders/>
            <w:shd w:fill="CCEEFF" w:val="clear"/>
            <w:vAlign w:val="center"/>
          </w:tcPr>
          <w:p>
            <w:pPr>
              <w:pStyle w:val="TableContents"/>
              <w:bidi w:val="0"/>
              <w:spacing w:before="0" w:after="0"/>
              <w:ind w:left="0" w:right="0" w:hanging="0"/>
              <w:jc w:val="center"/>
              <w:rPr/>
            </w:pPr>
            <w:r>
              <w:rPr/>
              <w:t>​</w:t>
            </w:r>
          </w:p>
        </w:tc>
      </w:tr>
      <w:tr>
        <w:trPr/>
        <w:tc>
          <w:tcPr>
            <w:tcW w:w="2053"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Construction Loan – Wawa Land Development – Antioch, TN</w:t>
            </w:r>
          </w:p>
        </w:tc>
        <w:tc>
          <w:tcPr>
            <w:tcW w:w="346" w:type="dxa"/>
            <w:tcBorders/>
            <w:vAlign w:val="center"/>
          </w:tcPr>
          <w:p>
            <w:pPr>
              <w:pStyle w:val="TableContents"/>
              <w:bidi w:val="0"/>
              <w:spacing w:before="0" w:after="0"/>
              <w:ind w:left="0" w:right="0" w:hanging="0"/>
              <w:jc w:val="left"/>
              <w:rPr/>
            </w:pPr>
            <w:r>
              <w:rPr/>
              <w:t>​</w:t>
            </w:r>
          </w:p>
        </w:tc>
        <w:tc>
          <w:tcPr>
            <w:tcW w:w="1026"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October 2023</w:t>
            </w:r>
          </w:p>
        </w:tc>
        <w:tc>
          <w:tcPr>
            <w:tcW w:w="346" w:type="dxa"/>
            <w:tcBorders/>
            <w:vAlign w:val="center"/>
          </w:tcPr>
          <w:p>
            <w:pPr>
              <w:pStyle w:val="TableContents"/>
              <w:bidi w:val="0"/>
              <w:spacing w:before="0" w:after="0"/>
              <w:ind w:left="0" w:right="0" w:hanging="0"/>
              <w:jc w:val="left"/>
              <w:rPr/>
            </w:pPr>
            <w:r>
              <w:rPr/>
              <w:t>​</w:t>
            </w:r>
          </w:p>
        </w:tc>
        <w:tc>
          <w:tcPr>
            <w:tcW w:w="927"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October 2026</w:t>
            </w:r>
          </w:p>
        </w:tc>
        <w:tc>
          <w:tcPr>
            <w:tcW w:w="346"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pPr>
            <w:r>
              <w:rPr/>
              <w:t>​</w:t>
            </w:r>
          </w:p>
        </w:tc>
        <w:tc>
          <w:tcPr>
            <w:tcW w:w="833"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7,425</w:t>
            </w:r>
          </w:p>
        </w:tc>
        <w:tc>
          <w:tcPr>
            <w:tcW w:w="346" w:type="dxa"/>
            <w:tcBorders/>
            <w:vAlign w:val="center"/>
          </w:tcPr>
          <w:p>
            <w:pPr>
              <w:pStyle w:val="TableContents"/>
              <w:bidi w:val="0"/>
              <w:spacing w:before="0" w:after="0"/>
              <w:ind w:left="0" w:right="0" w:hanging="0"/>
              <w:jc w:val="left"/>
              <w:rPr/>
            </w:pPr>
            <w:r>
              <w:rPr/>
              <w:t>​</w:t>
            </w:r>
          </w:p>
        </w:tc>
        <w:tc>
          <w:tcPr>
            <w:tcW w:w="234" w:type="dxa"/>
            <w:tcBorders/>
            <w:vAlign w:val="center"/>
          </w:tcPr>
          <w:p>
            <w:pPr>
              <w:pStyle w:val="TableContents"/>
              <w:bidi w:val="0"/>
              <w:spacing w:before="0" w:after="0"/>
              <w:ind w:left="0" w:right="0" w:hanging="0"/>
              <w:jc w:val="left"/>
              <w:rPr/>
            </w:pPr>
            <w:r>
              <w:rPr/>
              <w:t>​</w:t>
            </w:r>
          </w:p>
        </w:tc>
        <w:tc>
          <w:tcPr>
            <w:tcW w:w="828"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6,309</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750"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6,317</w:t>
            </w:r>
          </w:p>
        </w:tc>
        <w:tc>
          <w:tcPr>
            <w:tcW w:w="346" w:type="dxa"/>
            <w:tcBorders/>
            <w:vAlign w:val="center"/>
          </w:tcPr>
          <w:p>
            <w:pPr>
              <w:pStyle w:val="TableContents"/>
              <w:bidi w:val="0"/>
              <w:spacing w:before="0" w:after="0"/>
              <w:ind w:left="0" w:right="0" w:hanging="0"/>
              <w:jc w:val="left"/>
              <w:rPr/>
            </w:pPr>
            <w:r>
              <w:rPr/>
              <w:t>​</w:t>
            </w:r>
          </w:p>
        </w:tc>
        <w:tc>
          <w:tcPr>
            <w:tcW w:w="759"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10.25%</w:t>
            </w:r>
          </w:p>
        </w:tc>
        <w:tc>
          <w:tcPr>
            <w:tcW w:w="271" w:type="dxa"/>
            <w:tcBorders/>
            <w:vAlign w:val="center"/>
          </w:tcPr>
          <w:p>
            <w:pPr>
              <w:pStyle w:val="TableContents"/>
              <w:bidi w:val="0"/>
              <w:spacing w:before="0" w:after="0"/>
              <w:ind w:left="0" w:right="0" w:hanging="0"/>
              <w:jc w:val="center"/>
              <w:rPr/>
            </w:pPr>
            <w:r>
              <w:rPr/>
              <w:t>​</w:t>
            </w:r>
          </w:p>
        </w:tc>
      </w:tr>
      <w:tr>
        <w:trPr/>
        <w:tc>
          <w:tcPr>
            <w:tcW w:w="2053"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Construction Loan – Retail Outparcels – Lawrenceville, GA</w:t>
            </w:r>
          </w:p>
        </w:tc>
        <w:tc>
          <w:tcPr>
            <w:tcW w:w="346" w:type="dxa"/>
            <w:tcBorders/>
            <w:shd w:fill="CCEEFF" w:val="clear"/>
            <w:vAlign w:val="center"/>
          </w:tcPr>
          <w:p>
            <w:pPr>
              <w:pStyle w:val="TableContents"/>
              <w:bidi w:val="0"/>
              <w:spacing w:before="0" w:after="0"/>
              <w:ind w:left="0" w:right="0" w:hanging="0"/>
              <w:jc w:val="left"/>
              <w:rPr/>
            </w:pPr>
            <w:r>
              <w:rPr/>
              <w:t>​</w:t>
            </w:r>
          </w:p>
        </w:tc>
        <w:tc>
          <w:tcPr>
            <w:tcW w:w="1026"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January 2024</w:t>
            </w:r>
          </w:p>
        </w:tc>
        <w:tc>
          <w:tcPr>
            <w:tcW w:w="346" w:type="dxa"/>
            <w:tcBorders/>
            <w:shd w:fill="CCEEFF" w:val="clear"/>
            <w:vAlign w:val="center"/>
          </w:tcPr>
          <w:p>
            <w:pPr>
              <w:pStyle w:val="TableContents"/>
              <w:bidi w:val="0"/>
              <w:spacing w:before="0" w:after="0"/>
              <w:ind w:left="0" w:right="0" w:hanging="0"/>
              <w:jc w:val="left"/>
              <w:rPr/>
            </w:pPr>
            <w:r>
              <w:rPr/>
              <w:t>​</w:t>
            </w:r>
          </w:p>
        </w:tc>
        <w:tc>
          <w:tcPr>
            <w:tcW w:w="927"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January 2026</w:t>
            </w:r>
          </w:p>
        </w:tc>
        <w:tc>
          <w:tcPr>
            <w:tcW w:w="346" w:type="dxa"/>
            <w:tcBorders/>
            <w:shd w:fill="CCEEFF" w:val="clear"/>
            <w:vAlign w:val="center"/>
          </w:tcPr>
          <w:p>
            <w:pPr>
              <w:pStyle w:val="TableContents"/>
              <w:bidi w:val="0"/>
              <w:spacing w:before="0" w:after="0"/>
              <w:ind w:left="0" w:right="0" w:hanging="0"/>
              <w:jc w:val="left"/>
              <w:rPr/>
            </w:pPr>
            <w:r>
              <w:rPr/>
              <w:t>​</w:t>
            </w:r>
          </w:p>
        </w:tc>
        <w:tc>
          <w:tcPr>
            <w:tcW w:w="236" w:type="dxa"/>
            <w:tcBorders/>
            <w:shd w:fill="CCEEFF" w:val="clear"/>
            <w:vAlign w:val="center"/>
          </w:tcPr>
          <w:p>
            <w:pPr>
              <w:pStyle w:val="TableContents"/>
              <w:bidi w:val="0"/>
              <w:spacing w:before="0" w:after="0"/>
              <w:ind w:left="0" w:right="0" w:hanging="0"/>
              <w:jc w:val="left"/>
              <w:rPr/>
            </w:pPr>
            <w:r>
              <w:rPr/>
              <w:t>​</w:t>
            </w:r>
          </w:p>
        </w:tc>
        <w:tc>
          <w:tcPr>
            <w:tcW w:w="833"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7,200</w:t>
            </w:r>
          </w:p>
        </w:tc>
        <w:tc>
          <w:tcPr>
            <w:tcW w:w="346"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left"/>
              <w:rPr/>
            </w:pPr>
            <w:r>
              <w:rPr/>
              <w:t>​</w:t>
            </w:r>
          </w:p>
        </w:tc>
        <w:tc>
          <w:tcPr>
            <w:tcW w:w="828"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1,099</w:t>
            </w:r>
          </w:p>
        </w:tc>
        <w:tc>
          <w:tcPr>
            <w:tcW w:w="34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w:t>
            </w:r>
          </w:p>
        </w:tc>
        <w:tc>
          <w:tcPr>
            <w:tcW w:w="750"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1,095</w:t>
            </w:r>
          </w:p>
        </w:tc>
        <w:tc>
          <w:tcPr>
            <w:tcW w:w="346" w:type="dxa"/>
            <w:tcBorders/>
            <w:shd w:fill="CCEEFF" w:val="clear"/>
            <w:vAlign w:val="center"/>
          </w:tcPr>
          <w:p>
            <w:pPr>
              <w:pStyle w:val="TableContents"/>
              <w:bidi w:val="0"/>
              <w:spacing w:before="0" w:after="0"/>
              <w:ind w:left="0" w:right="0" w:hanging="0"/>
              <w:jc w:val="left"/>
              <w:rPr/>
            </w:pPr>
            <w:r>
              <w:rPr/>
              <w:t>​</w:t>
            </w:r>
          </w:p>
        </w:tc>
        <w:tc>
          <w:tcPr>
            <w:tcW w:w="759"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11.25%</w:t>
            </w:r>
          </w:p>
        </w:tc>
        <w:tc>
          <w:tcPr>
            <w:tcW w:w="271" w:type="dxa"/>
            <w:tcBorders/>
            <w:shd w:fill="CCEEFF" w:val="clear"/>
            <w:vAlign w:val="center"/>
          </w:tcPr>
          <w:p>
            <w:pPr>
              <w:pStyle w:val="TableContents"/>
              <w:bidi w:val="0"/>
              <w:spacing w:before="0" w:after="0"/>
              <w:ind w:left="0" w:right="0" w:hanging="0"/>
              <w:jc w:val="center"/>
              <w:rPr/>
            </w:pPr>
            <w:r>
              <w:rPr/>
              <w:t>​</w:t>
            </w:r>
          </w:p>
        </w:tc>
      </w:tr>
      <w:tr>
        <w:trPr/>
        <w:tc>
          <w:tcPr>
            <w:tcW w:w="2053"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Construction Loan – Wawa Land Development – Mount Carmel, OH</w:t>
            </w:r>
          </w:p>
        </w:tc>
        <w:tc>
          <w:tcPr>
            <w:tcW w:w="346" w:type="dxa"/>
            <w:tcBorders/>
            <w:vAlign w:val="center"/>
          </w:tcPr>
          <w:p>
            <w:pPr>
              <w:pStyle w:val="TableContents"/>
              <w:bidi w:val="0"/>
              <w:spacing w:before="0" w:after="0"/>
              <w:ind w:left="0" w:right="0" w:hanging="0"/>
              <w:jc w:val="left"/>
              <w:rPr/>
            </w:pPr>
            <w:r>
              <w:rPr/>
              <w:t>​</w:t>
            </w:r>
          </w:p>
        </w:tc>
        <w:tc>
          <w:tcPr>
            <w:tcW w:w="1026"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June 2024</w:t>
            </w:r>
          </w:p>
        </w:tc>
        <w:tc>
          <w:tcPr>
            <w:tcW w:w="346" w:type="dxa"/>
            <w:tcBorders/>
            <w:vAlign w:val="center"/>
          </w:tcPr>
          <w:p>
            <w:pPr>
              <w:pStyle w:val="TableContents"/>
              <w:bidi w:val="0"/>
              <w:spacing w:before="0" w:after="0"/>
              <w:ind w:left="0" w:right="0" w:hanging="0"/>
              <w:jc w:val="left"/>
              <w:rPr/>
            </w:pPr>
            <w:r>
              <w:rPr/>
              <w:t>​</w:t>
            </w:r>
          </w:p>
        </w:tc>
        <w:tc>
          <w:tcPr>
            <w:tcW w:w="927"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September 2026</w:t>
            </w:r>
          </w:p>
        </w:tc>
        <w:tc>
          <w:tcPr>
            <w:tcW w:w="346"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pPr>
            <w:r>
              <w:rPr/>
              <w:t>​</w:t>
            </w:r>
          </w:p>
        </w:tc>
        <w:tc>
          <w:tcPr>
            <w:tcW w:w="833"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6,127</w:t>
            </w:r>
          </w:p>
        </w:tc>
        <w:tc>
          <w:tcPr>
            <w:tcW w:w="346" w:type="dxa"/>
            <w:tcBorders/>
            <w:vAlign w:val="center"/>
          </w:tcPr>
          <w:p>
            <w:pPr>
              <w:pStyle w:val="TableContents"/>
              <w:bidi w:val="0"/>
              <w:spacing w:before="0" w:after="0"/>
              <w:ind w:left="0" w:right="0" w:hanging="0"/>
              <w:jc w:val="left"/>
              <w:rPr/>
            </w:pPr>
            <w:r>
              <w:rPr/>
              <w:t>​</w:t>
            </w:r>
          </w:p>
        </w:tc>
        <w:tc>
          <w:tcPr>
            <w:tcW w:w="234" w:type="dxa"/>
            <w:tcBorders/>
            <w:vAlign w:val="center"/>
          </w:tcPr>
          <w:p>
            <w:pPr>
              <w:pStyle w:val="TableContents"/>
              <w:bidi w:val="0"/>
              <w:spacing w:before="0" w:after="0"/>
              <w:ind w:left="0" w:right="0" w:hanging="0"/>
              <w:jc w:val="left"/>
              <w:rPr/>
            </w:pPr>
            <w:r>
              <w:rPr/>
              <w:t>​</w:t>
            </w:r>
          </w:p>
        </w:tc>
        <w:tc>
          <w:tcPr>
            <w:tcW w:w="828"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6,127</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750"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6,127</w:t>
            </w:r>
          </w:p>
        </w:tc>
        <w:tc>
          <w:tcPr>
            <w:tcW w:w="346" w:type="dxa"/>
            <w:tcBorders/>
            <w:vAlign w:val="center"/>
          </w:tcPr>
          <w:p>
            <w:pPr>
              <w:pStyle w:val="TableContents"/>
              <w:bidi w:val="0"/>
              <w:spacing w:before="0" w:after="0"/>
              <w:ind w:left="0" w:right="0" w:hanging="0"/>
              <w:jc w:val="left"/>
              <w:rPr/>
            </w:pPr>
            <w:r>
              <w:rPr/>
              <w:t>​</w:t>
            </w:r>
          </w:p>
        </w:tc>
        <w:tc>
          <w:tcPr>
            <w:tcW w:w="759"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11.50%</w:t>
            </w:r>
          </w:p>
        </w:tc>
        <w:tc>
          <w:tcPr>
            <w:tcW w:w="271" w:type="dxa"/>
            <w:tcBorders/>
            <w:vAlign w:val="center"/>
          </w:tcPr>
          <w:p>
            <w:pPr>
              <w:pStyle w:val="TableContents"/>
              <w:bidi w:val="0"/>
              <w:spacing w:before="0" w:after="0"/>
              <w:ind w:left="0" w:right="0" w:hanging="0"/>
              <w:jc w:val="center"/>
              <w:rPr/>
            </w:pPr>
            <w:r>
              <w:rPr/>
              <w:t>​</w:t>
            </w:r>
          </w:p>
        </w:tc>
      </w:tr>
      <w:tr>
        <w:trPr/>
        <w:tc>
          <w:tcPr>
            <w:tcW w:w="2053"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Sale-Leaseback – Bradenton Beach, FL</w:t>
            </w:r>
          </w:p>
        </w:tc>
        <w:tc>
          <w:tcPr>
            <w:tcW w:w="346" w:type="dxa"/>
            <w:tcBorders/>
            <w:shd w:fill="CCEEFF" w:val="clear"/>
            <w:vAlign w:val="center"/>
          </w:tcPr>
          <w:p>
            <w:pPr>
              <w:pStyle w:val="TableContents"/>
              <w:bidi w:val="0"/>
              <w:spacing w:before="0" w:after="0"/>
              <w:ind w:left="0" w:right="0" w:hanging="0"/>
              <w:jc w:val="left"/>
              <w:rPr/>
            </w:pPr>
            <w:r>
              <w:rPr/>
              <w:t>​</w:t>
            </w:r>
          </w:p>
        </w:tc>
        <w:tc>
          <w:tcPr>
            <w:tcW w:w="1026"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August 2024</w:t>
            </w:r>
          </w:p>
        </w:tc>
        <w:tc>
          <w:tcPr>
            <w:tcW w:w="346" w:type="dxa"/>
            <w:tcBorders/>
            <w:shd w:fill="CCEEFF" w:val="clear"/>
            <w:vAlign w:val="center"/>
          </w:tcPr>
          <w:p>
            <w:pPr>
              <w:pStyle w:val="TableContents"/>
              <w:bidi w:val="0"/>
              <w:spacing w:before="0" w:after="0"/>
              <w:ind w:left="0" w:right="0" w:hanging="0"/>
              <w:jc w:val="left"/>
              <w:rPr/>
            </w:pPr>
            <w:r>
              <w:rPr/>
              <w:t>​</w:t>
            </w:r>
          </w:p>
        </w:tc>
        <w:tc>
          <w:tcPr>
            <w:tcW w:w="927" w:type="dxa"/>
            <w:tcBorders/>
            <w:shd w:fill="CCEEFF" w:val="cle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sz w:val="17"/>
              </w:rPr>
              <w:t xml:space="preserve">August 2029 </w:t>
            </w:r>
            <w:r>
              <w:rPr>
                <w:rFonts w:ascii="Times New Roman;Times;serif" w:hAnsi="Times New Roman;Times;serif"/>
                <w:sz w:val="13"/>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236" w:type="dxa"/>
            <w:tcBorders/>
            <w:shd w:fill="CCEEFF" w:val="clear"/>
            <w:vAlign w:val="center"/>
          </w:tcPr>
          <w:p>
            <w:pPr>
              <w:pStyle w:val="TableContents"/>
              <w:bidi w:val="0"/>
              <w:spacing w:before="0" w:after="0"/>
              <w:ind w:left="0" w:right="0" w:hanging="0"/>
              <w:jc w:val="left"/>
              <w:rPr/>
            </w:pPr>
            <w:r>
              <w:rPr/>
              <w:t>​</w:t>
            </w:r>
          </w:p>
        </w:tc>
        <w:tc>
          <w:tcPr>
            <w:tcW w:w="833"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9,608</w:t>
            </w:r>
          </w:p>
        </w:tc>
        <w:tc>
          <w:tcPr>
            <w:tcW w:w="346"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left"/>
              <w:rPr/>
            </w:pPr>
            <w:r>
              <w:rPr/>
              <w:t>​</w:t>
            </w:r>
          </w:p>
        </w:tc>
        <w:tc>
          <w:tcPr>
            <w:tcW w:w="828"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9,519</w:t>
            </w:r>
          </w:p>
        </w:tc>
        <w:tc>
          <w:tcPr>
            <w:tcW w:w="34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w:t>
            </w:r>
          </w:p>
        </w:tc>
        <w:tc>
          <w:tcPr>
            <w:tcW w:w="750"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9,519</w:t>
            </w:r>
          </w:p>
        </w:tc>
        <w:tc>
          <w:tcPr>
            <w:tcW w:w="346" w:type="dxa"/>
            <w:tcBorders/>
            <w:shd w:fill="CCEEFF" w:val="clear"/>
            <w:vAlign w:val="center"/>
          </w:tcPr>
          <w:p>
            <w:pPr>
              <w:pStyle w:val="TableContents"/>
              <w:bidi w:val="0"/>
              <w:spacing w:before="0" w:after="0"/>
              <w:ind w:left="0" w:right="0" w:hanging="0"/>
              <w:jc w:val="left"/>
              <w:rPr/>
            </w:pPr>
            <w:r>
              <w:rPr/>
              <w:t>​</w:t>
            </w:r>
          </w:p>
        </w:tc>
        <w:tc>
          <w:tcPr>
            <w:tcW w:w="759"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8.30%</w:t>
            </w:r>
          </w:p>
        </w:tc>
        <w:tc>
          <w:tcPr>
            <w:tcW w:w="271" w:type="dxa"/>
            <w:tcBorders/>
            <w:shd w:fill="CCEEFF" w:val="clear"/>
            <w:vAlign w:val="center"/>
          </w:tcPr>
          <w:p>
            <w:pPr>
              <w:pStyle w:val="TableContents"/>
              <w:bidi w:val="0"/>
              <w:spacing w:before="0" w:after="0"/>
              <w:ind w:left="0" w:right="0" w:hanging="0"/>
              <w:jc w:val="center"/>
              <w:rPr/>
            </w:pPr>
            <w:r>
              <w:rPr/>
              <w:t>​</w:t>
            </w:r>
          </w:p>
        </w:tc>
      </w:tr>
      <w:tr>
        <w:trPr/>
        <w:tc>
          <w:tcPr>
            <w:tcW w:w="2053"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Sale-Leaseback – Anna Maria, FL</w:t>
            </w:r>
          </w:p>
        </w:tc>
        <w:tc>
          <w:tcPr>
            <w:tcW w:w="346" w:type="dxa"/>
            <w:tcBorders/>
            <w:vAlign w:val="center"/>
          </w:tcPr>
          <w:p>
            <w:pPr>
              <w:pStyle w:val="TableContents"/>
              <w:bidi w:val="0"/>
              <w:spacing w:before="0" w:after="0"/>
              <w:ind w:left="0" w:right="0" w:hanging="0"/>
              <w:jc w:val="left"/>
              <w:rPr/>
            </w:pPr>
            <w:r>
              <w:rPr/>
              <w:t>​</w:t>
            </w:r>
          </w:p>
        </w:tc>
        <w:tc>
          <w:tcPr>
            <w:tcW w:w="1026"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August 2024</w:t>
            </w:r>
          </w:p>
        </w:tc>
        <w:tc>
          <w:tcPr>
            <w:tcW w:w="346" w:type="dxa"/>
            <w:tcBorders/>
            <w:vAlign w:val="center"/>
          </w:tcPr>
          <w:p>
            <w:pPr>
              <w:pStyle w:val="TableContents"/>
              <w:bidi w:val="0"/>
              <w:spacing w:before="0" w:after="0"/>
              <w:ind w:left="0" w:right="0" w:hanging="0"/>
              <w:jc w:val="left"/>
              <w:rPr/>
            </w:pPr>
            <w:r>
              <w:rPr/>
              <w:t>​</w:t>
            </w:r>
          </w:p>
        </w:tc>
        <w:tc>
          <w:tcPr>
            <w:tcW w:w="927" w:type="dxa"/>
            <w:tcBorders/>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sz w:val="17"/>
              </w:rPr>
              <w:t xml:space="preserve">August 2029 </w:t>
            </w:r>
            <w:r>
              <w:rPr>
                <w:rFonts w:ascii="Times New Roman;Times;serif" w:hAnsi="Times New Roman;Times;serif"/>
                <w:sz w:val="13"/>
              </w:rPr>
              <w:t>(1)</w:t>
            </w:r>
          </w:p>
        </w:tc>
        <w:tc>
          <w:tcPr>
            <w:tcW w:w="346"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pPr>
            <w:r>
              <w:rPr/>
              <w:t>​</w:t>
            </w:r>
          </w:p>
        </w:tc>
        <w:tc>
          <w:tcPr>
            <w:tcW w:w="833"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16,408</w:t>
            </w:r>
          </w:p>
        </w:tc>
        <w:tc>
          <w:tcPr>
            <w:tcW w:w="346" w:type="dxa"/>
            <w:tcBorders/>
            <w:vAlign w:val="center"/>
          </w:tcPr>
          <w:p>
            <w:pPr>
              <w:pStyle w:val="TableContents"/>
              <w:bidi w:val="0"/>
              <w:spacing w:before="0" w:after="0"/>
              <w:ind w:left="0" w:right="0" w:hanging="0"/>
              <w:jc w:val="left"/>
              <w:rPr/>
            </w:pPr>
            <w:r>
              <w:rPr/>
              <w:t>​</w:t>
            </w:r>
          </w:p>
        </w:tc>
        <w:tc>
          <w:tcPr>
            <w:tcW w:w="234" w:type="dxa"/>
            <w:tcBorders/>
            <w:vAlign w:val="center"/>
          </w:tcPr>
          <w:p>
            <w:pPr>
              <w:pStyle w:val="TableContents"/>
              <w:bidi w:val="0"/>
              <w:spacing w:before="0" w:after="0"/>
              <w:ind w:left="0" w:right="0" w:hanging="0"/>
              <w:jc w:val="left"/>
              <w:rPr/>
            </w:pPr>
            <w:r>
              <w:rPr/>
              <w:t>​</w:t>
            </w:r>
          </w:p>
        </w:tc>
        <w:tc>
          <w:tcPr>
            <w:tcW w:w="828"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16,256</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750"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16,256</w:t>
            </w:r>
          </w:p>
        </w:tc>
        <w:tc>
          <w:tcPr>
            <w:tcW w:w="346" w:type="dxa"/>
            <w:tcBorders/>
            <w:vAlign w:val="center"/>
          </w:tcPr>
          <w:p>
            <w:pPr>
              <w:pStyle w:val="TableContents"/>
              <w:bidi w:val="0"/>
              <w:spacing w:before="0" w:after="0"/>
              <w:ind w:left="0" w:right="0" w:hanging="0"/>
              <w:jc w:val="left"/>
              <w:rPr/>
            </w:pPr>
            <w:r>
              <w:rPr/>
              <w:t>​</w:t>
            </w:r>
          </w:p>
        </w:tc>
        <w:tc>
          <w:tcPr>
            <w:tcW w:w="759"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8.30%</w:t>
            </w:r>
          </w:p>
        </w:tc>
        <w:tc>
          <w:tcPr>
            <w:tcW w:w="271" w:type="dxa"/>
            <w:tcBorders/>
            <w:vAlign w:val="center"/>
          </w:tcPr>
          <w:p>
            <w:pPr>
              <w:pStyle w:val="TableContents"/>
              <w:bidi w:val="0"/>
              <w:spacing w:before="0" w:after="0"/>
              <w:ind w:left="0" w:right="0" w:hanging="0"/>
              <w:jc w:val="center"/>
              <w:rPr/>
            </w:pPr>
            <w:r>
              <w:rPr/>
              <w:t>​</w:t>
            </w:r>
          </w:p>
        </w:tc>
      </w:tr>
      <w:tr>
        <w:trPr/>
        <w:tc>
          <w:tcPr>
            <w:tcW w:w="2053"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Sale-Leaseback – Long Boat Key, FL</w:t>
            </w:r>
          </w:p>
        </w:tc>
        <w:tc>
          <w:tcPr>
            <w:tcW w:w="346" w:type="dxa"/>
            <w:tcBorders/>
            <w:shd w:fill="CCEEFF" w:val="clear"/>
            <w:vAlign w:val="center"/>
          </w:tcPr>
          <w:p>
            <w:pPr>
              <w:pStyle w:val="TableContents"/>
              <w:bidi w:val="0"/>
              <w:spacing w:before="0" w:after="0"/>
              <w:ind w:left="0" w:right="0" w:hanging="0"/>
              <w:jc w:val="left"/>
              <w:rPr/>
            </w:pPr>
            <w:r>
              <w:rPr/>
              <w:t>​</w:t>
            </w:r>
          </w:p>
        </w:tc>
        <w:tc>
          <w:tcPr>
            <w:tcW w:w="1026"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August 2024</w:t>
            </w:r>
          </w:p>
        </w:tc>
        <w:tc>
          <w:tcPr>
            <w:tcW w:w="346" w:type="dxa"/>
            <w:tcBorders/>
            <w:shd w:fill="CCEEFF" w:val="clear"/>
            <w:vAlign w:val="center"/>
          </w:tcPr>
          <w:p>
            <w:pPr>
              <w:pStyle w:val="TableContents"/>
              <w:bidi w:val="0"/>
              <w:spacing w:before="0" w:after="0"/>
              <w:ind w:left="0" w:right="0" w:hanging="0"/>
              <w:jc w:val="left"/>
              <w:rPr/>
            </w:pPr>
            <w:r>
              <w:rPr/>
              <w:t>​</w:t>
            </w:r>
          </w:p>
        </w:tc>
        <w:tc>
          <w:tcPr>
            <w:tcW w:w="927" w:type="dxa"/>
            <w:tcBorders/>
            <w:shd w:fill="CCEEFF" w:val="cle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sz w:val="17"/>
              </w:rPr>
              <w:t xml:space="preserve">August 2029 </w:t>
            </w:r>
            <w:r>
              <w:rPr>
                <w:rFonts w:ascii="Times New Roman;Times;serif" w:hAnsi="Times New Roman;Times;serif"/>
                <w:sz w:val="13"/>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236" w:type="dxa"/>
            <w:tcBorders/>
            <w:shd w:fill="CCEEFF" w:val="clear"/>
            <w:vAlign w:val="center"/>
          </w:tcPr>
          <w:p>
            <w:pPr>
              <w:pStyle w:val="TableContents"/>
              <w:bidi w:val="0"/>
              <w:spacing w:before="0" w:after="0"/>
              <w:ind w:left="0" w:right="0" w:hanging="0"/>
              <w:jc w:val="left"/>
              <w:rPr/>
            </w:pPr>
            <w:r>
              <w:rPr/>
              <w:t>​</w:t>
            </w:r>
          </w:p>
        </w:tc>
        <w:tc>
          <w:tcPr>
            <w:tcW w:w="833"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5,408</w:t>
            </w:r>
          </w:p>
        </w:tc>
        <w:tc>
          <w:tcPr>
            <w:tcW w:w="346"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left"/>
              <w:rPr/>
            </w:pPr>
            <w:r>
              <w:rPr/>
              <w:t>​</w:t>
            </w:r>
          </w:p>
        </w:tc>
        <w:tc>
          <w:tcPr>
            <w:tcW w:w="828"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5,358</w:t>
            </w:r>
          </w:p>
        </w:tc>
        <w:tc>
          <w:tcPr>
            <w:tcW w:w="34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w:t>
            </w:r>
          </w:p>
        </w:tc>
        <w:tc>
          <w:tcPr>
            <w:tcW w:w="750"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5,358</w:t>
            </w:r>
          </w:p>
        </w:tc>
        <w:tc>
          <w:tcPr>
            <w:tcW w:w="346" w:type="dxa"/>
            <w:tcBorders/>
            <w:shd w:fill="CCEEFF" w:val="clear"/>
            <w:vAlign w:val="center"/>
          </w:tcPr>
          <w:p>
            <w:pPr>
              <w:pStyle w:val="TableContents"/>
              <w:bidi w:val="0"/>
              <w:spacing w:before="0" w:after="0"/>
              <w:ind w:left="0" w:right="0" w:hanging="0"/>
              <w:jc w:val="left"/>
              <w:rPr/>
            </w:pPr>
            <w:r>
              <w:rPr/>
              <w:t>​</w:t>
            </w:r>
          </w:p>
        </w:tc>
        <w:tc>
          <w:tcPr>
            <w:tcW w:w="759"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8.30%</w:t>
            </w:r>
          </w:p>
        </w:tc>
        <w:tc>
          <w:tcPr>
            <w:tcW w:w="271" w:type="dxa"/>
            <w:tcBorders/>
            <w:shd w:fill="CCEEFF" w:val="clear"/>
            <w:vAlign w:val="center"/>
          </w:tcPr>
          <w:p>
            <w:pPr>
              <w:pStyle w:val="TableContents"/>
              <w:bidi w:val="0"/>
              <w:spacing w:before="0" w:after="0"/>
              <w:ind w:left="0" w:right="0" w:hanging="0"/>
              <w:jc w:val="center"/>
              <w:rPr/>
            </w:pPr>
            <w:r>
              <w:rPr/>
              <w:t>​</w:t>
            </w:r>
          </w:p>
        </w:tc>
      </w:tr>
      <w:tr>
        <w:trPr/>
        <w:tc>
          <w:tcPr>
            <w:tcW w:w="2053"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Mortgage Note – At Home Plaza – North Canton, OH</w:t>
            </w:r>
          </w:p>
        </w:tc>
        <w:tc>
          <w:tcPr>
            <w:tcW w:w="346" w:type="dxa"/>
            <w:tcBorders/>
            <w:vAlign w:val="center"/>
          </w:tcPr>
          <w:p>
            <w:pPr>
              <w:pStyle w:val="TableContents"/>
              <w:bidi w:val="0"/>
              <w:spacing w:before="0" w:after="0"/>
              <w:ind w:left="0" w:right="0" w:hanging="0"/>
              <w:jc w:val="left"/>
              <w:rPr/>
            </w:pPr>
            <w:r>
              <w:rPr/>
              <w:t>​</w:t>
            </w:r>
          </w:p>
        </w:tc>
        <w:tc>
          <w:tcPr>
            <w:tcW w:w="1026"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March 2025</w:t>
            </w:r>
          </w:p>
        </w:tc>
        <w:tc>
          <w:tcPr>
            <w:tcW w:w="346" w:type="dxa"/>
            <w:tcBorders/>
            <w:vAlign w:val="center"/>
          </w:tcPr>
          <w:p>
            <w:pPr>
              <w:pStyle w:val="TableContents"/>
              <w:bidi w:val="0"/>
              <w:spacing w:before="0" w:after="0"/>
              <w:ind w:left="0" w:right="0" w:hanging="0"/>
              <w:jc w:val="left"/>
              <w:rPr/>
            </w:pPr>
            <w:r>
              <w:rPr/>
              <w:t>​</w:t>
            </w:r>
          </w:p>
        </w:tc>
        <w:tc>
          <w:tcPr>
            <w:tcW w:w="927"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March 2028</w:t>
            </w:r>
          </w:p>
        </w:tc>
        <w:tc>
          <w:tcPr>
            <w:tcW w:w="346"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pPr>
            <w:r>
              <w:rPr/>
              <w:t>​</w:t>
            </w:r>
          </w:p>
        </w:tc>
        <w:tc>
          <w:tcPr>
            <w:tcW w:w="833"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6,200</w:t>
            </w:r>
          </w:p>
        </w:tc>
        <w:tc>
          <w:tcPr>
            <w:tcW w:w="346" w:type="dxa"/>
            <w:tcBorders/>
            <w:vAlign w:val="center"/>
          </w:tcPr>
          <w:p>
            <w:pPr>
              <w:pStyle w:val="TableContents"/>
              <w:bidi w:val="0"/>
              <w:spacing w:before="0" w:after="0"/>
              <w:ind w:left="0" w:right="0" w:hanging="0"/>
              <w:jc w:val="left"/>
              <w:rPr/>
            </w:pPr>
            <w:r>
              <w:rPr/>
              <w:t>​</w:t>
            </w:r>
          </w:p>
        </w:tc>
        <w:tc>
          <w:tcPr>
            <w:tcW w:w="234" w:type="dxa"/>
            <w:tcBorders/>
            <w:vAlign w:val="center"/>
          </w:tcPr>
          <w:p>
            <w:pPr>
              <w:pStyle w:val="TableContents"/>
              <w:bidi w:val="0"/>
              <w:spacing w:before="0" w:after="0"/>
              <w:ind w:left="0" w:right="0" w:hanging="0"/>
              <w:jc w:val="left"/>
              <w:rPr/>
            </w:pPr>
            <w:r>
              <w:rPr/>
              <w:t>​</w:t>
            </w:r>
          </w:p>
        </w:tc>
        <w:tc>
          <w:tcPr>
            <w:tcW w:w="828"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6,200</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750"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6,200</w:t>
            </w:r>
          </w:p>
        </w:tc>
        <w:tc>
          <w:tcPr>
            <w:tcW w:w="346" w:type="dxa"/>
            <w:tcBorders/>
            <w:vAlign w:val="center"/>
          </w:tcPr>
          <w:p>
            <w:pPr>
              <w:pStyle w:val="TableContents"/>
              <w:bidi w:val="0"/>
              <w:spacing w:before="0" w:after="0"/>
              <w:ind w:left="0" w:right="0" w:hanging="0"/>
              <w:jc w:val="left"/>
              <w:rPr/>
            </w:pPr>
            <w:r>
              <w:rPr/>
              <w:t>​</w:t>
            </w:r>
          </w:p>
        </w:tc>
        <w:tc>
          <w:tcPr>
            <w:tcW w:w="759"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8.65%</w:t>
            </w:r>
          </w:p>
        </w:tc>
        <w:tc>
          <w:tcPr>
            <w:tcW w:w="271" w:type="dxa"/>
            <w:tcBorders/>
            <w:vAlign w:val="center"/>
          </w:tcPr>
          <w:p>
            <w:pPr>
              <w:pStyle w:val="TableContents"/>
              <w:bidi w:val="0"/>
              <w:spacing w:before="0" w:after="0"/>
              <w:ind w:left="0" w:right="0" w:hanging="0"/>
              <w:jc w:val="center"/>
              <w:rPr/>
            </w:pPr>
            <w:r>
              <w:rPr/>
              <w:t>​</w:t>
            </w:r>
          </w:p>
        </w:tc>
      </w:tr>
      <w:tr>
        <w:trPr/>
        <w:tc>
          <w:tcPr>
            <w:tcW w:w="2053"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Construction Loan – Retail Land Development – Stuart, FL</w:t>
            </w:r>
          </w:p>
        </w:tc>
        <w:tc>
          <w:tcPr>
            <w:tcW w:w="346" w:type="dxa"/>
            <w:tcBorders/>
            <w:shd w:fill="CCEEFF" w:val="clear"/>
            <w:vAlign w:val="center"/>
          </w:tcPr>
          <w:p>
            <w:pPr>
              <w:pStyle w:val="TableContents"/>
              <w:bidi w:val="0"/>
              <w:spacing w:before="0" w:after="0"/>
              <w:ind w:left="0" w:right="0" w:hanging="0"/>
              <w:jc w:val="left"/>
              <w:rPr/>
            </w:pPr>
            <w:r>
              <w:rPr/>
              <w:t>​</w:t>
            </w:r>
          </w:p>
        </w:tc>
        <w:tc>
          <w:tcPr>
            <w:tcW w:w="1026"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March 2025</w:t>
            </w:r>
          </w:p>
        </w:tc>
        <w:tc>
          <w:tcPr>
            <w:tcW w:w="346" w:type="dxa"/>
            <w:tcBorders/>
            <w:shd w:fill="CCEEFF" w:val="clear"/>
            <w:vAlign w:val="center"/>
          </w:tcPr>
          <w:p>
            <w:pPr>
              <w:pStyle w:val="TableContents"/>
              <w:bidi w:val="0"/>
              <w:spacing w:before="0" w:after="0"/>
              <w:ind w:left="0" w:right="0" w:hanging="0"/>
              <w:jc w:val="left"/>
              <w:rPr/>
            </w:pPr>
            <w:r>
              <w:rPr/>
              <w:t>​</w:t>
            </w:r>
          </w:p>
        </w:tc>
        <w:tc>
          <w:tcPr>
            <w:tcW w:w="927"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March 2027</w:t>
            </w:r>
          </w:p>
        </w:tc>
        <w:tc>
          <w:tcPr>
            <w:tcW w:w="346" w:type="dxa"/>
            <w:tcBorders/>
            <w:shd w:fill="CCEEFF" w:val="clear"/>
            <w:vAlign w:val="center"/>
          </w:tcPr>
          <w:p>
            <w:pPr>
              <w:pStyle w:val="TableContents"/>
              <w:bidi w:val="0"/>
              <w:spacing w:before="0" w:after="0"/>
              <w:ind w:left="0" w:right="0" w:hanging="0"/>
              <w:jc w:val="left"/>
              <w:rPr/>
            </w:pPr>
            <w:r>
              <w:rPr/>
              <w:t>​</w:t>
            </w:r>
          </w:p>
        </w:tc>
        <w:tc>
          <w:tcPr>
            <w:tcW w:w="236" w:type="dxa"/>
            <w:tcBorders/>
            <w:shd w:fill="CCEEFF" w:val="clear"/>
            <w:vAlign w:val="center"/>
          </w:tcPr>
          <w:p>
            <w:pPr>
              <w:pStyle w:val="TableContents"/>
              <w:bidi w:val="0"/>
              <w:spacing w:before="0" w:after="0"/>
              <w:ind w:left="0" w:right="0" w:hanging="0"/>
              <w:jc w:val="left"/>
              <w:rPr/>
            </w:pPr>
            <w:r>
              <w:rPr/>
              <w:t>​</w:t>
            </w:r>
          </w:p>
        </w:tc>
        <w:tc>
          <w:tcPr>
            <w:tcW w:w="833"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15,500</w:t>
            </w:r>
          </w:p>
        </w:tc>
        <w:tc>
          <w:tcPr>
            <w:tcW w:w="346"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left"/>
              <w:rPr/>
            </w:pPr>
            <w:r>
              <w:rPr/>
              <w:t>​</w:t>
            </w:r>
          </w:p>
        </w:tc>
        <w:tc>
          <w:tcPr>
            <w:tcW w:w="828"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7,084</w:t>
            </w:r>
          </w:p>
        </w:tc>
        <w:tc>
          <w:tcPr>
            <w:tcW w:w="34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w:t>
            </w:r>
          </w:p>
        </w:tc>
        <w:tc>
          <w:tcPr>
            <w:tcW w:w="750"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6,987</w:t>
            </w:r>
          </w:p>
        </w:tc>
        <w:tc>
          <w:tcPr>
            <w:tcW w:w="346" w:type="dxa"/>
            <w:tcBorders/>
            <w:shd w:fill="CCEEFF" w:val="clear"/>
            <w:vAlign w:val="center"/>
          </w:tcPr>
          <w:p>
            <w:pPr>
              <w:pStyle w:val="TableContents"/>
              <w:bidi w:val="0"/>
              <w:spacing w:before="0" w:after="0"/>
              <w:ind w:left="0" w:right="0" w:hanging="0"/>
              <w:jc w:val="left"/>
              <w:rPr/>
            </w:pPr>
            <w:r>
              <w:rPr/>
              <w:t>​</w:t>
            </w:r>
          </w:p>
        </w:tc>
        <w:tc>
          <w:tcPr>
            <w:tcW w:w="759"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10.00%</w:t>
            </w:r>
          </w:p>
        </w:tc>
        <w:tc>
          <w:tcPr>
            <w:tcW w:w="271" w:type="dxa"/>
            <w:tcBorders/>
            <w:shd w:fill="CCEEFF" w:val="clear"/>
            <w:vAlign w:val="center"/>
          </w:tcPr>
          <w:p>
            <w:pPr>
              <w:pStyle w:val="TableContents"/>
              <w:bidi w:val="0"/>
              <w:spacing w:before="0" w:after="0"/>
              <w:ind w:left="0" w:right="0" w:hanging="0"/>
              <w:jc w:val="center"/>
              <w:rPr/>
            </w:pPr>
            <w:r>
              <w:rPr/>
              <w:t>​</w:t>
            </w:r>
          </w:p>
        </w:tc>
      </w:tr>
      <w:tr>
        <w:trPr/>
        <w:tc>
          <w:tcPr>
            <w:tcW w:w="2053"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Construction Loan – Cornerstone Exchange – Daytona Beach, FL</w:t>
            </w:r>
          </w:p>
        </w:tc>
        <w:tc>
          <w:tcPr>
            <w:tcW w:w="346" w:type="dxa"/>
            <w:tcBorders/>
            <w:vAlign w:val="center"/>
          </w:tcPr>
          <w:p>
            <w:pPr>
              <w:pStyle w:val="TableContents"/>
              <w:bidi w:val="0"/>
              <w:spacing w:before="0" w:after="0"/>
              <w:ind w:left="0" w:right="0" w:hanging="0"/>
              <w:jc w:val="left"/>
              <w:rPr/>
            </w:pPr>
            <w:r>
              <w:rPr/>
              <w:t>​</w:t>
            </w:r>
          </w:p>
        </w:tc>
        <w:tc>
          <w:tcPr>
            <w:tcW w:w="1026"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May 2025</w:t>
            </w:r>
          </w:p>
        </w:tc>
        <w:tc>
          <w:tcPr>
            <w:tcW w:w="346" w:type="dxa"/>
            <w:tcBorders/>
            <w:vAlign w:val="center"/>
          </w:tcPr>
          <w:p>
            <w:pPr>
              <w:pStyle w:val="TableContents"/>
              <w:bidi w:val="0"/>
              <w:spacing w:before="0" w:after="0"/>
              <w:ind w:left="0" w:right="0" w:hanging="0"/>
              <w:jc w:val="left"/>
              <w:rPr/>
            </w:pPr>
            <w:r>
              <w:rPr/>
              <w:t>​</w:t>
            </w:r>
          </w:p>
        </w:tc>
        <w:tc>
          <w:tcPr>
            <w:tcW w:w="927"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April 2027</w:t>
            </w:r>
          </w:p>
        </w:tc>
        <w:tc>
          <w:tcPr>
            <w:tcW w:w="346"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pPr>
            <w:r>
              <w:rPr/>
              <w:t>​</w:t>
            </w:r>
          </w:p>
        </w:tc>
        <w:tc>
          <w:tcPr>
            <w:tcW w:w="833"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23,905</w:t>
            </w:r>
          </w:p>
        </w:tc>
        <w:tc>
          <w:tcPr>
            <w:tcW w:w="346" w:type="dxa"/>
            <w:tcBorders/>
            <w:vAlign w:val="center"/>
          </w:tcPr>
          <w:p>
            <w:pPr>
              <w:pStyle w:val="TableContents"/>
              <w:bidi w:val="0"/>
              <w:spacing w:before="0" w:after="0"/>
              <w:ind w:left="0" w:right="0" w:hanging="0"/>
              <w:jc w:val="left"/>
              <w:rPr/>
            </w:pPr>
            <w:r>
              <w:rPr/>
              <w:t>​</w:t>
            </w:r>
          </w:p>
        </w:tc>
        <w:tc>
          <w:tcPr>
            <w:tcW w:w="234" w:type="dxa"/>
            <w:tcBorders/>
            <w:vAlign w:val="center"/>
          </w:tcPr>
          <w:p>
            <w:pPr>
              <w:pStyle w:val="TableContents"/>
              <w:bidi w:val="0"/>
              <w:spacing w:before="0" w:after="0"/>
              <w:ind w:left="0" w:right="0" w:hanging="0"/>
              <w:jc w:val="left"/>
              <w:rPr/>
            </w:pPr>
            <w:r>
              <w:rPr/>
              <w:t>​</w:t>
            </w:r>
          </w:p>
        </w:tc>
        <w:tc>
          <w:tcPr>
            <w:tcW w:w="828"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6,886</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750"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6,747</w:t>
            </w:r>
          </w:p>
        </w:tc>
        <w:tc>
          <w:tcPr>
            <w:tcW w:w="346" w:type="dxa"/>
            <w:tcBorders/>
            <w:vAlign w:val="center"/>
          </w:tcPr>
          <w:p>
            <w:pPr>
              <w:pStyle w:val="TableContents"/>
              <w:bidi w:val="0"/>
              <w:spacing w:before="0" w:after="0"/>
              <w:ind w:left="0" w:right="0" w:hanging="0"/>
              <w:jc w:val="left"/>
              <w:rPr/>
            </w:pPr>
            <w:r>
              <w:rPr/>
              <w:t>​</w:t>
            </w:r>
          </w:p>
        </w:tc>
        <w:tc>
          <w:tcPr>
            <w:tcW w:w="759"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10.00%</w:t>
            </w:r>
          </w:p>
        </w:tc>
        <w:tc>
          <w:tcPr>
            <w:tcW w:w="271" w:type="dxa"/>
            <w:tcBorders/>
            <w:vAlign w:val="center"/>
          </w:tcPr>
          <w:p>
            <w:pPr>
              <w:pStyle w:val="TableContents"/>
              <w:bidi w:val="0"/>
              <w:spacing w:before="0" w:after="0"/>
              <w:ind w:left="0" w:right="0" w:hanging="0"/>
              <w:jc w:val="center"/>
              <w:rPr/>
            </w:pPr>
            <w:r>
              <w:rPr/>
              <w:t>​</w:t>
            </w:r>
          </w:p>
        </w:tc>
      </w:tr>
      <w:tr>
        <w:trPr/>
        <w:tc>
          <w:tcPr>
            <w:tcW w:w="2053"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Mortgage Note – Old Time Pottery – Orange Park, FL</w:t>
            </w:r>
          </w:p>
        </w:tc>
        <w:tc>
          <w:tcPr>
            <w:tcW w:w="346" w:type="dxa"/>
            <w:tcBorders/>
            <w:shd w:fill="CCEEFF" w:val="clear"/>
            <w:vAlign w:val="center"/>
          </w:tcPr>
          <w:p>
            <w:pPr>
              <w:pStyle w:val="TableContents"/>
              <w:bidi w:val="0"/>
              <w:spacing w:before="0" w:after="0"/>
              <w:ind w:left="0" w:right="0" w:hanging="0"/>
              <w:jc w:val="left"/>
              <w:rPr/>
            </w:pPr>
            <w:r>
              <w:rPr/>
              <w:t>​</w:t>
            </w:r>
          </w:p>
        </w:tc>
        <w:tc>
          <w:tcPr>
            <w:tcW w:w="1026"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June 2025</w:t>
            </w:r>
          </w:p>
        </w:tc>
        <w:tc>
          <w:tcPr>
            <w:tcW w:w="346" w:type="dxa"/>
            <w:tcBorders/>
            <w:shd w:fill="CCEEFF" w:val="clear"/>
            <w:vAlign w:val="center"/>
          </w:tcPr>
          <w:p>
            <w:pPr>
              <w:pStyle w:val="TableContents"/>
              <w:bidi w:val="0"/>
              <w:spacing w:before="0" w:after="0"/>
              <w:ind w:left="0" w:right="0" w:hanging="0"/>
              <w:jc w:val="left"/>
              <w:rPr/>
            </w:pPr>
            <w:r>
              <w:rPr/>
              <w:t>​</w:t>
            </w:r>
          </w:p>
        </w:tc>
        <w:tc>
          <w:tcPr>
            <w:tcW w:w="927"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June 2028</w:t>
            </w:r>
          </w:p>
        </w:tc>
        <w:tc>
          <w:tcPr>
            <w:tcW w:w="346" w:type="dxa"/>
            <w:tcBorders/>
            <w:shd w:fill="CCEEFF" w:val="clear"/>
            <w:vAlign w:val="center"/>
          </w:tcPr>
          <w:p>
            <w:pPr>
              <w:pStyle w:val="TableContents"/>
              <w:bidi w:val="0"/>
              <w:spacing w:before="0" w:after="0"/>
              <w:ind w:left="0" w:right="0" w:hanging="0"/>
              <w:jc w:val="left"/>
              <w:rPr/>
            </w:pPr>
            <w:r>
              <w:rPr/>
              <w:t>​</w:t>
            </w:r>
          </w:p>
        </w:tc>
        <w:tc>
          <w:tcPr>
            <w:tcW w:w="236" w:type="dxa"/>
            <w:tcBorders/>
            <w:shd w:fill="CCEEFF" w:val="clear"/>
            <w:vAlign w:val="center"/>
          </w:tcPr>
          <w:p>
            <w:pPr>
              <w:pStyle w:val="TableContents"/>
              <w:bidi w:val="0"/>
              <w:spacing w:before="0" w:after="0"/>
              <w:ind w:left="0" w:right="0" w:hanging="0"/>
              <w:jc w:val="left"/>
              <w:rPr/>
            </w:pPr>
            <w:r>
              <w:rPr/>
              <w:t>​</w:t>
            </w:r>
          </w:p>
        </w:tc>
        <w:tc>
          <w:tcPr>
            <w:tcW w:w="833"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4,000</w:t>
            </w:r>
          </w:p>
        </w:tc>
        <w:tc>
          <w:tcPr>
            <w:tcW w:w="346"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left"/>
              <w:rPr/>
            </w:pPr>
            <w:r>
              <w:rPr/>
              <w:t>​</w:t>
            </w:r>
          </w:p>
        </w:tc>
        <w:tc>
          <w:tcPr>
            <w:tcW w:w="828"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4,000</w:t>
            </w:r>
          </w:p>
        </w:tc>
        <w:tc>
          <w:tcPr>
            <w:tcW w:w="34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w:t>
            </w:r>
          </w:p>
        </w:tc>
        <w:tc>
          <w:tcPr>
            <w:tcW w:w="750"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4,000</w:t>
            </w:r>
          </w:p>
        </w:tc>
        <w:tc>
          <w:tcPr>
            <w:tcW w:w="346" w:type="dxa"/>
            <w:tcBorders/>
            <w:shd w:fill="CCEEFF" w:val="clear"/>
            <w:vAlign w:val="center"/>
          </w:tcPr>
          <w:p>
            <w:pPr>
              <w:pStyle w:val="TableContents"/>
              <w:bidi w:val="0"/>
              <w:spacing w:before="0" w:after="0"/>
              <w:ind w:left="0" w:right="0" w:hanging="0"/>
              <w:jc w:val="left"/>
              <w:rPr/>
            </w:pPr>
            <w:r>
              <w:rPr/>
              <w:t>​</w:t>
            </w:r>
          </w:p>
        </w:tc>
        <w:tc>
          <w:tcPr>
            <w:tcW w:w="759"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8.00%</w:t>
            </w:r>
          </w:p>
        </w:tc>
        <w:tc>
          <w:tcPr>
            <w:tcW w:w="271" w:type="dxa"/>
            <w:tcBorders/>
            <w:shd w:fill="CCEEFF" w:val="clear"/>
            <w:vAlign w:val="center"/>
          </w:tcPr>
          <w:p>
            <w:pPr>
              <w:pStyle w:val="TableContents"/>
              <w:bidi w:val="0"/>
              <w:spacing w:before="0" w:after="0"/>
              <w:ind w:left="0" w:right="0" w:hanging="0"/>
              <w:jc w:val="center"/>
              <w:rPr/>
            </w:pPr>
            <w:r>
              <w:rPr/>
              <w:t>​</w:t>
            </w:r>
          </w:p>
        </w:tc>
      </w:tr>
      <w:tr>
        <w:trPr/>
        <w:tc>
          <w:tcPr>
            <w:tcW w:w="2053"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Mortgage Note – Industrial – Fremont, CA</w:t>
            </w:r>
          </w:p>
        </w:tc>
        <w:tc>
          <w:tcPr>
            <w:tcW w:w="346" w:type="dxa"/>
            <w:tcBorders/>
            <w:vAlign w:val="center"/>
          </w:tcPr>
          <w:p>
            <w:pPr>
              <w:pStyle w:val="TableContents"/>
              <w:bidi w:val="0"/>
              <w:spacing w:before="0" w:after="0"/>
              <w:ind w:left="0" w:right="0" w:hanging="0"/>
              <w:jc w:val="left"/>
              <w:rPr/>
            </w:pPr>
            <w:r>
              <w:rPr/>
              <w:t>​</w:t>
            </w:r>
          </w:p>
        </w:tc>
        <w:tc>
          <w:tcPr>
            <w:tcW w:w="1026"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August 2025</w:t>
            </w:r>
          </w:p>
        </w:tc>
        <w:tc>
          <w:tcPr>
            <w:tcW w:w="346" w:type="dxa"/>
            <w:tcBorders/>
            <w:vAlign w:val="center"/>
          </w:tcPr>
          <w:p>
            <w:pPr>
              <w:pStyle w:val="TableContents"/>
              <w:bidi w:val="0"/>
              <w:spacing w:before="0" w:after="0"/>
              <w:ind w:left="0" w:right="0" w:hanging="0"/>
              <w:jc w:val="left"/>
              <w:rPr/>
            </w:pPr>
            <w:r>
              <w:rPr/>
              <w:t>​</w:t>
            </w:r>
          </w:p>
        </w:tc>
        <w:tc>
          <w:tcPr>
            <w:tcW w:w="927"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August 2027</w:t>
            </w:r>
          </w:p>
        </w:tc>
        <w:tc>
          <w:tcPr>
            <w:tcW w:w="346"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pPr>
            <w:r>
              <w:rPr/>
              <w:t>​</w:t>
            </w:r>
          </w:p>
        </w:tc>
        <w:tc>
          <w:tcPr>
            <w:tcW w:w="833"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24,000</w:t>
            </w:r>
          </w:p>
        </w:tc>
        <w:tc>
          <w:tcPr>
            <w:tcW w:w="346" w:type="dxa"/>
            <w:tcBorders/>
            <w:vAlign w:val="center"/>
          </w:tcPr>
          <w:p>
            <w:pPr>
              <w:pStyle w:val="TableContents"/>
              <w:bidi w:val="0"/>
              <w:spacing w:before="0" w:after="0"/>
              <w:ind w:left="0" w:right="0" w:hanging="0"/>
              <w:jc w:val="left"/>
              <w:rPr/>
            </w:pPr>
            <w:r>
              <w:rPr/>
              <w:t>​</w:t>
            </w:r>
          </w:p>
        </w:tc>
        <w:tc>
          <w:tcPr>
            <w:tcW w:w="234" w:type="dxa"/>
            <w:tcBorders/>
            <w:vAlign w:val="center"/>
          </w:tcPr>
          <w:p>
            <w:pPr>
              <w:pStyle w:val="TableContents"/>
              <w:bidi w:val="0"/>
              <w:spacing w:before="0" w:after="0"/>
              <w:ind w:left="0" w:right="0" w:hanging="0"/>
              <w:jc w:val="left"/>
              <w:rPr/>
            </w:pPr>
            <w:r>
              <w:rPr/>
              <w:t>​</w:t>
            </w:r>
          </w:p>
        </w:tc>
        <w:tc>
          <w:tcPr>
            <w:tcW w:w="828"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24,000</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750"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23,751</w:t>
            </w:r>
          </w:p>
        </w:tc>
        <w:tc>
          <w:tcPr>
            <w:tcW w:w="346" w:type="dxa"/>
            <w:tcBorders/>
            <w:vAlign w:val="center"/>
          </w:tcPr>
          <w:p>
            <w:pPr>
              <w:pStyle w:val="TableContents"/>
              <w:bidi w:val="0"/>
              <w:spacing w:before="0" w:after="0"/>
              <w:ind w:left="0" w:right="0" w:hanging="0"/>
              <w:jc w:val="left"/>
              <w:rPr/>
            </w:pPr>
            <w:r>
              <w:rPr/>
              <w:t>​</w:t>
            </w:r>
          </w:p>
        </w:tc>
        <w:tc>
          <w:tcPr>
            <w:tcW w:w="759"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11.00%</w:t>
            </w:r>
          </w:p>
        </w:tc>
        <w:tc>
          <w:tcPr>
            <w:tcW w:w="271" w:type="dxa"/>
            <w:tcBorders/>
            <w:vAlign w:val="center"/>
          </w:tcPr>
          <w:p>
            <w:pPr>
              <w:pStyle w:val="TableContents"/>
              <w:bidi w:val="0"/>
              <w:spacing w:before="0" w:after="0"/>
              <w:ind w:left="0" w:right="0" w:hanging="0"/>
              <w:jc w:val="center"/>
              <w:rPr/>
            </w:pPr>
            <w:r>
              <w:rPr/>
              <w:t>​</w:t>
            </w:r>
          </w:p>
        </w:tc>
      </w:tr>
      <w:tr>
        <w:trPr/>
        <w:tc>
          <w:tcPr>
            <w:tcW w:w="2053"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Mortgage Note – Commercial Building – Reno, NV</w:t>
            </w:r>
          </w:p>
        </w:tc>
        <w:tc>
          <w:tcPr>
            <w:tcW w:w="346" w:type="dxa"/>
            <w:tcBorders/>
            <w:shd w:fill="CCEEFF" w:val="clear"/>
            <w:vAlign w:val="center"/>
          </w:tcPr>
          <w:p>
            <w:pPr>
              <w:pStyle w:val="TableContents"/>
              <w:bidi w:val="0"/>
              <w:spacing w:before="0" w:after="0"/>
              <w:ind w:left="0" w:right="0" w:hanging="0"/>
              <w:jc w:val="left"/>
              <w:rPr/>
            </w:pPr>
            <w:r>
              <w:rPr/>
              <w:t>​</w:t>
            </w:r>
          </w:p>
        </w:tc>
        <w:tc>
          <w:tcPr>
            <w:tcW w:w="1026"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September 2025</w:t>
            </w:r>
          </w:p>
        </w:tc>
        <w:tc>
          <w:tcPr>
            <w:tcW w:w="346" w:type="dxa"/>
            <w:tcBorders/>
            <w:shd w:fill="CCEEFF" w:val="clear"/>
            <w:vAlign w:val="center"/>
          </w:tcPr>
          <w:p>
            <w:pPr>
              <w:pStyle w:val="TableContents"/>
              <w:bidi w:val="0"/>
              <w:spacing w:before="0" w:after="0"/>
              <w:ind w:left="0" w:right="0" w:hanging="0"/>
              <w:jc w:val="left"/>
              <w:rPr/>
            </w:pPr>
            <w:r>
              <w:rPr/>
              <w:t>​</w:t>
            </w:r>
          </w:p>
        </w:tc>
        <w:tc>
          <w:tcPr>
            <w:tcW w:w="927"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September 2027</w:t>
            </w:r>
          </w:p>
        </w:tc>
        <w:tc>
          <w:tcPr>
            <w:tcW w:w="346" w:type="dxa"/>
            <w:tcBorders/>
            <w:shd w:fill="CCEEFF" w:val="clear"/>
            <w:vAlign w:val="center"/>
          </w:tcPr>
          <w:p>
            <w:pPr>
              <w:pStyle w:val="TableContents"/>
              <w:bidi w:val="0"/>
              <w:spacing w:before="0" w:after="0"/>
              <w:ind w:left="0" w:right="0" w:hanging="0"/>
              <w:jc w:val="left"/>
              <w:rPr/>
            </w:pPr>
            <w:r>
              <w:rPr/>
              <w:t>​</w:t>
            </w:r>
          </w:p>
        </w:tc>
        <w:tc>
          <w:tcPr>
            <w:tcW w:w="236" w:type="dxa"/>
            <w:tcBorders/>
            <w:shd w:fill="CCEEFF" w:val="clear"/>
            <w:vAlign w:val="center"/>
          </w:tcPr>
          <w:p>
            <w:pPr>
              <w:pStyle w:val="TableContents"/>
              <w:bidi w:val="0"/>
              <w:spacing w:before="0" w:after="0"/>
              <w:ind w:left="0" w:right="0" w:hanging="0"/>
              <w:jc w:val="left"/>
              <w:rPr/>
            </w:pPr>
            <w:r>
              <w:rPr/>
              <w:t>​</w:t>
            </w:r>
          </w:p>
        </w:tc>
        <w:tc>
          <w:tcPr>
            <w:tcW w:w="833"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4,000</w:t>
            </w:r>
          </w:p>
        </w:tc>
        <w:tc>
          <w:tcPr>
            <w:tcW w:w="346"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left"/>
              <w:rPr/>
            </w:pPr>
            <w:r>
              <w:rPr/>
              <w:t>​</w:t>
            </w:r>
          </w:p>
        </w:tc>
        <w:tc>
          <w:tcPr>
            <w:tcW w:w="828"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4,000</w:t>
            </w:r>
          </w:p>
        </w:tc>
        <w:tc>
          <w:tcPr>
            <w:tcW w:w="34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w:t>
            </w:r>
          </w:p>
        </w:tc>
        <w:tc>
          <w:tcPr>
            <w:tcW w:w="750"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4,000</w:t>
            </w:r>
          </w:p>
        </w:tc>
        <w:tc>
          <w:tcPr>
            <w:tcW w:w="346" w:type="dxa"/>
            <w:tcBorders/>
            <w:shd w:fill="CCEEFF" w:val="clear"/>
            <w:vAlign w:val="center"/>
          </w:tcPr>
          <w:p>
            <w:pPr>
              <w:pStyle w:val="TableContents"/>
              <w:bidi w:val="0"/>
              <w:spacing w:before="0" w:after="0"/>
              <w:ind w:left="0" w:right="0" w:hanging="0"/>
              <w:jc w:val="left"/>
              <w:rPr/>
            </w:pPr>
            <w:r>
              <w:rPr/>
              <w:t>​</w:t>
            </w:r>
          </w:p>
        </w:tc>
        <w:tc>
          <w:tcPr>
            <w:tcW w:w="759"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8.00%</w:t>
            </w:r>
          </w:p>
        </w:tc>
        <w:tc>
          <w:tcPr>
            <w:tcW w:w="271" w:type="dxa"/>
            <w:tcBorders/>
            <w:shd w:fill="CCEEFF" w:val="clear"/>
            <w:vAlign w:val="center"/>
          </w:tcPr>
          <w:p>
            <w:pPr>
              <w:pStyle w:val="TableContents"/>
              <w:bidi w:val="0"/>
              <w:spacing w:before="0" w:after="0"/>
              <w:ind w:left="0" w:right="0" w:hanging="0"/>
              <w:jc w:val="center"/>
              <w:rPr/>
            </w:pPr>
            <w:r>
              <w:rPr/>
              <w:t>​</w:t>
            </w:r>
          </w:p>
        </w:tc>
      </w:tr>
      <w:tr>
        <w:trPr/>
        <w:tc>
          <w:tcPr>
            <w:tcW w:w="2053" w:type="dxa"/>
            <w:tcBorders/>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7"/>
              </w:rPr>
              <w:t xml:space="preserve">Mortgage Note – Luxury Residential Development – Austin, TX </w:t>
            </w:r>
            <w:r>
              <w:rPr>
                <w:rFonts w:ascii="Times New Roman;Times;serif" w:hAnsi="Times New Roman;Times;serif"/>
                <w:sz w:val="13"/>
              </w:rPr>
              <w:t>(2)</w:t>
            </w:r>
          </w:p>
        </w:tc>
        <w:tc>
          <w:tcPr>
            <w:tcW w:w="346" w:type="dxa"/>
            <w:tcBorders/>
            <w:vAlign w:val="center"/>
          </w:tcPr>
          <w:p>
            <w:pPr>
              <w:pStyle w:val="TableContents"/>
              <w:bidi w:val="0"/>
              <w:spacing w:before="0" w:after="0"/>
              <w:ind w:left="0" w:right="0" w:hanging="0"/>
              <w:jc w:val="left"/>
              <w:rPr/>
            </w:pPr>
            <w:r>
              <w:rPr/>
              <w:t>​</w:t>
            </w:r>
          </w:p>
        </w:tc>
        <w:tc>
          <w:tcPr>
            <w:tcW w:w="1026"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October 2025</w:t>
            </w:r>
          </w:p>
        </w:tc>
        <w:tc>
          <w:tcPr>
            <w:tcW w:w="346" w:type="dxa"/>
            <w:tcBorders/>
            <w:vAlign w:val="center"/>
          </w:tcPr>
          <w:p>
            <w:pPr>
              <w:pStyle w:val="TableContents"/>
              <w:bidi w:val="0"/>
              <w:spacing w:before="0" w:after="0"/>
              <w:ind w:left="0" w:right="0" w:hanging="0"/>
              <w:jc w:val="left"/>
              <w:rPr/>
            </w:pPr>
            <w:r>
              <w:rPr/>
              <w:t>​</w:t>
            </w:r>
          </w:p>
        </w:tc>
        <w:tc>
          <w:tcPr>
            <w:tcW w:w="927"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October 2028</w:t>
            </w:r>
          </w:p>
        </w:tc>
        <w:tc>
          <w:tcPr>
            <w:tcW w:w="346"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pPr>
            <w:r>
              <w:rPr/>
              <w:t>​</w:t>
            </w:r>
          </w:p>
        </w:tc>
        <w:tc>
          <w:tcPr>
            <w:tcW w:w="833"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29,500</w:t>
            </w:r>
          </w:p>
        </w:tc>
        <w:tc>
          <w:tcPr>
            <w:tcW w:w="346" w:type="dxa"/>
            <w:tcBorders/>
            <w:vAlign w:val="center"/>
          </w:tcPr>
          <w:p>
            <w:pPr>
              <w:pStyle w:val="TableContents"/>
              <w:bidi w:val="0"/>
              <w:spacing w:before="0" w:after="0"/>
              <w:ind w:left="0" w:right="0" w:hanging="0"/>
              <w:jc w:val="left"/>
              <w:rPr/>
            </w:pPr>
            <w:r>
              <w:rPr/>
              <w:t>​</w:t>
            </w:r>
          </w:p>
        </w:tc>
        <w:tc>
          <w:tcPr>
            <w:tcW w:w="234" w:type="dxa"/>
            <w:tcBorders/>
            <w:vAlign w:val="center"/>
          </w:tcPr>
          <w:p>
            <w:pPr>
              <w:pStyle w:val="TableContents"/>
              <w:bidi w:val="0"/>
              <w:spacing w:before="0" w:after="0"/>
              <w:ind w:left="0" w:right="0" w:hanging="0"/>
              <w:jc w:val="left"/>
              <w:rPr/>
            </w:pPr>
            <w:r>
              <w:rPr/>
              <w:t>​</w:t>
            </w:r>
          </w:p>
        </w:tc>
        <w:tc>
          <w:tcPr>
            <w:tcW w:w="828"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28,627</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750"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28,070</w:t>
            </w:r>
          </w:p>
        </w:tc>
        <w:tc>
          <w:tcPr>
            <w:tcW w:w="346" w:type="dxa"/>
            <w:tcBorders/>
            <w:vAlign w:val="center"/>
          </w:tcPr>
          <w:p>
            <w:pPr>
              <w:pStyle w:val="TableContents"/>
              <w:bidi w:val="0"/>
              <w:spacing w:before="0" w:after="0"/>
              <w:ind w:left="0" w:right="0" w:hanging="0"/>
              <w:jc w:val="left"/>
              <w:rPr/>
            </w:pPr>
            <w:r>
              <w:rPr/>
              <w:t>​</w:t>
            </w:r>
          </w:p>
        </w:tc>
        <w:tc>
          <w:tcPr>
            <w:tcW w:w="759"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17.00%</w:t>
            </w:r>
          </w:p>
        </w:tc>
        <w:tc>
          <w:tcPr>
            <w:tcW w:w="271" w:type="dxa"/>
            <w:tcBorders/>
            <w:vAlign w:val="center"/>
          </w:tcPr>
          <w:p>
            <w:pPr>
              <w:pStyle w:val="TableContents"/>
              <w:bidi w:val="0"/>
              <w:spacing w:lineRule="auto" w:line="240" w:before="0" w:after="0"/>
              <w:ind w:left="0" w:right="0" w:hanging="0"/>
              <w:jc w:val="left"/>
              <w:rPr>
                <w:rFonts w:ascii="Times New Roman;Times;serif" w:hAnsi="Times New Roman;Times;serif"/>
                <w:sz w:val="13"/>
              </w:rPr>
            </w:pPr>
            <w:r>
              <w:rPr>
                <w:rFonts w:ascii="Times New Roman;Times;serif" w:hAnsi="Times New Roman;Times;serif"/>
                <w:sz w:val="13"/>
              </w:rPr>
              <w:t>(3)</w:t>
            </w:r>
          </w:p>
        </w:tc>
      </w:tr>
      <w:tr>
        <w:trPr/>
        <w:tc>
          <w:tcPr>
            <w:tcW w:w="2053"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Construction Loan – Mixed-Use Development – Lake Toxaway, NC</w:t>
            </w:r>
          </w:p>
        </w:tc>
        <w:tc>
          <w:tcPr>
            <w:tcW w:w="346" w:type="dxa"/>
            <w:tcBorders/>
            <w:shd w:fill="CCEEFF" w:val="clear"/>
            <w:vAlign w:val="center"/>
          </w:tcPr>
          <w:p>
            <w:pPr>
              <w:pStyle w:val="TableContents"/>
              <w:bidi w:val="0"/>
              <w:spacing w:before="0" w:after="0"/>
              <w:ind w:left="0" w:right="0" w:hanging="0"/>
              <w:jc w:val="left"/>
              <w:rPr/>
            </w:pPr>
            <w:r>
              <w:rPr/>
              <w:t>​</w:t>
            </w:r>
          </w:p>
        </w:tc>
        <w:tc>
          <w:tcPr>
            <w:tcW w:w="1026"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October 2025</w:t>
            </w:r>
          </w:p>
        </w:tc>
        <w:tc>
          <w:tcPr>
            <w:tcW w:w="346" w:type="dxa"/>
            <w:tcBorders/>
            <w:shd w:fill="CCEEFF" w:val="clear"/>
            <w:vAlign w:val="center"/>
          </w:tcPr>
          <w:p>
            <w:pPr>
              <w:pStyle w:val="TableContents"/>
              <w:bidi w:val="0"/>
              <w:spacing w:before="0" w:after="0"/>
              <w:ind w:left="0" w:right="0" w:hanging="0"/>
              <w:jc w:val="left"/>
              <w:rPr/>
            </w:pPr>
            <w:r>
              <w:rPr/>
              <w:t>​</w:t>
            </w:r>
          </w:p>
        </w:tc>
        <w:tc>
          <w:tcPr>
            <w:tcW w:w="927"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October 2027</w:t>
            </w:r>
          </w:p>
        </w:tc>
        <w:tc>
          <w:tcPr>
            <w:tcW w:w="346" w:type="dxa"/>
            <w:tcBorders/>
            <w:shd w:fill="CCEEFF" w:val="clear"/>
            <w:vAlign w:val="center"/>
          </w:tcPr>
          <w:p>
            <w:pPr>
              <w:pStyle w:val="TableContents"/>
              <w:bidi w:val="0"/>
              <w:spacing w:before="0" w:after="0"/>
              <w:ind w:left="0" w:right="0" w:hanging="0"/>
              <w:jc w:val="left"/>
              <w:rPr/>
            </w:pPr>
            <w:r>
              <w:rPr/>
              <w:t>​</w:t>
            </w:r>
          </w:p>
        </w:tc>
        <w:tc>
          <w:tcPr>
            <w:tcW w:w="236" w:type="dxa"/>
            <w:tcBorders/>
            <w:shd w:fill="CCEEFF" w:val="clear"/>
            <w:vAlign w:val="center"/>
          </w:tcPr>
          <w:p>
            <w:pPr>
              <w:pStyle w:val="TableContents"/>
              <w:bidi w:val="0"/>
              <w:spacing w:before="0" w:after="0"/>
              <w:ind w:left="0" w:right="0" w:hanging="0"/>
              <w:jc w:val="left"/>
              <w:rPr/>
            </w:pPr>
            <w:r>
              <w:rPr/>
              <w:t>​</w:t>
            </w:r>
          </w:p>
        </w:tc>
        <w:tc>
          <w:tcPr>
            <w:tcW w:w="833"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13,500</w:t>
            </w:r>
          </w:p>
        </w:tc>
        <w:tc>
          <w:tcPr>
            <w:tcW w:w="346"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left"/>
              <w:rPr/>
            </w:pPr>
            <w:r>
              <w:rPr/>
              <w:t>​</w:t>
            </w:r>
          </w:p>
        </w:tc>
        <w:tc>
          <w:tcPr>
            <w:tcW w:w="828"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6,938</w:t>
            </w:r>
          </w:p>
        </w:tc>
        <w:tc>
          <w:tcPr>
            <w:tcW w:w="34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w:t>
            </w:r>
          </w:p>
        </w:tc>
        <w:tc>
          <w:tcPr>
            <w:tcW w:w="750"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6,813</w:t>
            </w:r>
          </w:p>
        </w:tc>
        <w:tc>
          <w:tcPr>
            <w:tcW w:w="346" w:type="dxa"/>
            <w:tcBorders/>
            <w:shd w:fill="CCEEFF" w:val="clear"/>
            <w:vAlign w:val="center"/>
          </w:tcPr>
          <w:p>
            <w:pPr>
              <w:pStyle w:val="TableContents"/>
              <w:bidi w:val="0"/>
              <w:spacing w:before="0" w:after="0"/>
              <w:ind w:left="0" w:right="0" w:hanging="0"/>
              <w:jc w:val="left"/>
              <w:rPr/>
            </w:pPr>
            <w:r>
              <w:rPr/>
              <w:t>​</w:t>
            </w:r>
          </w:p>
        </w:tc>
        <w:tc>
          <w:tcPr>
            <w:tcW w:w="759"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16.00%</w:t>
            </w:r>
          </w:p>
        </w:tc>
        <w:tc>
          <w:tcPr>
            <w:tcW w:w="27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3"/>
              </w:rPr>
            </w:pPr>
            <w:r>
              <w:rPr>
                <w:rFonts w:ascii="Times New Roman;Times;serif" w:hAnsi="Times New Roman;Times;serif"/>
                <w:sz w:val="13"/>
              </w:rPr>
              <w:t>(4)</w:t>
            </w:r>
          </w:p>
        </w:tc>
      </w:tr>
      <w:tr>
        <w:trPr/>
        <w:tc>
          <w:tcPr>
            <w:tcW w:w="2053"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Construction Loan – Costco Mixed-Use Development – Atlanta, GA</w:t>
            </w:r>
          </w:p>
        </w:tc>
        <w:tc>
          <w:tcPr>
            <w:tcW w:w="346" w:type="dxa"/>
            <w:tcBorders/>
            <w:vAlign w:val="center"/>
          </w:tcPr>
          <w:p>
            <w:pPr>
              <w:pStyle w:val="TableContents"/>
              <w:bidi w:val="0"/>
              <w:spacing w:before="0" w:after="0"/>
              <w:ind w:left="0" w:right="0" w:hanging="0"/>
              <w:jc w:val="left"/>
              <w:rPr/>
            </w:pPr>
            <w:r>
              <w:rPr/>
              <w:t>​</w:t>
            </w:r>
          </w:p>
        </w:tc>
        <w:tc>
          <w:tcPr>
            <w:tcW w:w="1026"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October 2025</w:t>
            </w:r>
          </w:p>
        </w:tc>
        <w:tc>
          <w:tcPr>
            <w:tcW w:w="346" w:type="dxa"/>
            <w:tcBorders/>
            <w:vAlign w:val="center"/>
          </w:tcPr>
          <w:p>
            <w:pPr>
              <w:pStyle w:val="TableContents"/>
              <w:bidi w:val="0"/>
              <w:spacing w:before="0" w:after="0"/>
              <w:ind w:left="0" w:right="0" w:hanging="0"/>
              <w:jc w:val="left"/>
              <w:rPr/>
            </w:pPr>
            <w:r>
              <w:rPr/>
              <w:t>​</w:t>
            </w:r>
          </w:p>
        </w:tc>
        <w:tc>
          <w:tcPr>
            <w:tcW w:w="927"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November 2027</w:t>
            </w:r>
          </w:p>
        </w:tc>
        <w:tc>
          <w:tcPr>
            <w:tcW w:w="346"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pPr>
            <w:r>
              <w:rPr/>
              <w:t>​</w:t>
            </w:r>
          </w:p>
        </w:tc>
        <w:tc>
          <w:tcPr>
            <w:tcW w:w="833"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4,500</w:t>
            </w:r>
          </w:p>
        </w:tc>
        <w:tc>
          <w:tcPr>
            <w:tcW w:w="346" w:type="dxa"/>
            <w:tcBorders/>
            <w:vAlign w:val="center"/>
          </w:tcPr>
          <w:p>
            <w:pPr>
              <w:pStyle w:val="TableContents"/>
              <w:bidi w:val="0"/>
              <w:spacing w:before="0" w:after="0"/>
              <w:ind w:left="0" w:right="0" w:hanging="0"/>
              <w:jc w:val="left"/>
              <w:rPr/>
            </w:pPr>
            <w:r>
              <w:rPr/>
              <w:t>​</w:t>
            </w:r>
          </w:p>
        </w:tc>
        <w:tc>
          <w:tcPr>
            <w:tcW w:w="234" w:type="dxa"/>
            <w:tcBorders/>
            <w:vAlign w:val="center"/>
          </w:tcPr>
          <w:p>
            <w:pPr>
              <w:pStyle w:val="TableContents"/>
              <w:bidi w:val="0"/>
              <w:spacing w:before="0" w:after="0"/>
              <w:ind w:left="0" w:right="0" w:hanging="0"/>
              <w:jc w:val="left"/>
              <w:rPr/>
            </w:pPr>
            <w:r>
              <w:rPr/>
              <w:t>​</w:t>
            </w:r>
          </w:p>
        </w:tc>
        <w:tc>
          <w:tcPr>
            <w:tcW w:w="828"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879</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750"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838</w:t>
            </w:r>
          </w:p>
        </w:tc>
        <w:tc>
          <w:tcPr>
            <w:tcW w:w="346" w:type="dxa"/>
            <w:tcBorders/>
            <w:vAlign w:val="center"/>
          </w:tcPr>
          <w:p>
            <w:pPr>
              <w:pStyle w:val="TableContents"/>
              <w:bidi w:val="0"/>
              <w:spacing w:before="0" w:after="0"/>
              <w:ind w:left="0" w:right="0" w:hanging="0"/>
              <w:jc w:val="left"/>
              <w:rPr/>
            </w:pPr>
            <w:r>
              <w:rPr/>
              <w:t>​</w:t>
            </w:r>
          </w:p>
        </w:tc>
        <w:tc>
          <w:tcPr>
            <w:tcW w:w="759"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11.00%</w:t>
            </w:r>
          </w:p>
        </w:tc>
        <w:tc>
          <w:tcPr>
            <w:tcW w:w="271" w:type="dxa"/>
            <w:tcBorders/>
            <w:vAlign w:val="center"/>
          </w:tcPr>
          <w:p>
            <w:pPr>
              <w:pStyle w:val="TableContents"/>
              <w:bidi w:val="0"/>
              <w:spacing w:before="0" w:after="0"/>
              <w:ind w:left="0" w:right="0" w:hanging="0"/>
              <w:jc w:val="left"/>
              <w:rPr/>
            </w:pPr>
            <w:r>
              <w:rPr/>
              <w:t>​</w:t>
            </w:r>
          </w:p>
        </w:tc>
      </w:tr>
      <w:tr>
        <w:trPr/>
        <w:tc>
          <w:tcPr>
            <w:tcW w:w="2053"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Redevelopment Loan – Mixed-Use Redevelopment – Denver, CO</w:t>
            </w:r>
          </w:p>
        </w:tc>
        <w:tc>
          <w:tcPr>
            <w:tcW w:w="346" w:type="dxa"/>
            <w:tcBorders/>
            <w:shd w:fill="CCEEFF" w:val="clear"/>
            <w:vAlign w:val="center"/>
          </w:tcPr>
          <w:p>
            <w:pPr>
              <w:pStyle w:val="TableContents"/>
              <w:bidi w:val="0"/>
              <w:spacing w:before="0" w:after="0"/>
              <w:ind w:left="0" w:right="0" w:hanging="0"/>
              <w:jc w:val="left"/>
              <w:rPr/>
            </w:pPr>
            <w:r>
              <w:rPr/>
              <w:t>​</w:t>
            </w:r>
          </w:p>
        </w:tc>
        <w:tc>
          <w:tcPr>
            <w:tcW w:w="1026"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December 2025</w:t>
            </w:r>
          </w:p>
        </w:tc>
        <w:tc>
          <w:tcPr>
            <w:tcW w:w="346" w:type="dxa"/>
            <w:tcBorders/>
            <w:shd w:fill="CCEEFF" w:val="clear"/>
            <w:vAlign w:val="center"/>
          </w:tcPr>
          <w:p>
            <w:pPr>
              <w:pStyle w:val="TableContents"/>
              <w:bidi w:val="0"/>
              <w:spacing w:before="0" w:after="0"/>
              <w:ind w:left="0" w:right="0" w:hanging="0"/>
              <w:jc w:val="left"/>
              <w:rPr/>
            </w:pPr>
            <w:r>
              <w:rPr/>
              <w:t>​</w:t>
            </w:r>
          </w:p>
        </w:tc>
        <w:tc>
          <w:tcPr>
            <w:tcW w:w="927"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December 2028</w:t>
            </w:r>
          </w:p>
        </w:tc>
        <w:tc>
          <w:tcPr>
            <w:tcW w:w="346" w:type="dxa"/>
            <w:tcBorders/>
            <w:shd w:fill="CCEEFF" w:val="clear"/>
            <w:vAlign w:val="center"/>
          </w:tcPr>
          <w:p>
            <w:pPr>
              <w:pStyle w:val="TableContents"/>
              <w:bidi w:val="0"/>
              <w:spacing w:before="0" w:after="0"/>
              <w:ind w:left="0" w:right="0" w:hanging="0"/>
              <w:jc w:val="left"/>
              <w:rPr/>
            </w:pPr>
            <w:r>
              <w:rPr/>
              <w:t>​</w:t>
            </w:r>
          </w:p>
        </w:tc>
        <w:tc>
          <w:tcPr>
            <w:tcW w:w="236" w:type="dxa"/>
            <w:tcBorders/>
            <w:shd w:fill="CCEEFF" w:val="clear"/>
            <w:vAlign w:val="center"/>
          </w:tcPr>
          <w:p>
            <w:pPr>
              <w:pStyle w:val="TableContents"/>
              <w:bidi w:val="0"/>
              <w:spacing w:before="0" w:after="0"/>
              <w:ind w:left="0" w:right="0" w:hanging="0"/>
              <w:jc w:val="left"/>
              <w:rPr/>
            </w:pPr>
            <w:r>
              <w:rPr/>
              <w:t>​</w:t>
            </w:r>
          </w:p>
        </w:tc>
        <w:tc>
          <w:tcPr>
            <w:tcW w:w="833"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13,500</w:t>
            </w:r>
          </w:p>
        </w:tc>
        <w:tc>
          <w:tcPr>
            <w:tcW w:w="346"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left"/>
              <w:rPr/>
            </w:pPr>
            <w:r>
              <w:rPr/>
              <w:t>​</w:t>
            </w:r>
          </w:p>
        </w:tc>
        <w:tc>
          <w:tcPr>
            <w:tcW w:w="828"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8,519</w:t>
            </w:r>
          </w:p>
        </w:tc>
        <w:tc>
          <w:tcPr>
            <w:tcW w:w="34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w:t>
            </w:r>
          </w:p>
        </w:tc>
        <w:tc>
          <w:tcPr>
            <w:tcW w:w="750"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8,317</w:t>
            </w:r>
          </w:p>
        </w:tc>
        <w:tc>
          <w:tcPr>
            <w:tcW w:w="346" w:type="dxa"/>
            <w:tcBorders/>
            <w:shd w:fill="CCEEFF" w:val="clear"/>
            <w:vAlign w:val="center"/>
          </w:tcPr>
          <w:p>
            <w:pPr>
              <w:pStyle w:val="TableContents"/>
              <w:bidi w:val="0"/>
              <w:spacing w:before="0" w:after="0"/>
              <w:ind w:left="0" w:right="0" w:hanging="0"/>
              <w:jc w:val="left"/>
              <w:rPr/>
            </w:pPr>
            <w:r>
              <w:rPr/>
              <w:t>​</w:t>
            </w:r>
          </w:p>
        </w:tc>
        <w:tc>
          <w:tcPr>
            <w:tcW w:w="759"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12.00%</w:t>
            </w:r>
          </w:p>
        </w:tc>
        <w:tc>
          <w:tcPr>
            <w:tcW w:w="27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3"/>
              </w:rPr>
            </w:pPr>
            <w:r>
              <w:rPr>
                <w:rFonts w:ascii="Times New Roman;Times;serif" w:hAnsi="Times New Roman;Times;serif"/>
                <w:sz w:val="13"/>
              </w:rPr>
              <w:t>(5)</w:t>
            </w:r>
          </w:p>
        </w:tc>
      </w:tr>
      <w:tr>
        <w:trPr/>
        <w:tc>
          <w:tcPr>
            <w:tcW w:w="2053"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Mortgage Note – Mixed-Use Development – Herndon, VA</w:t>
            </w:r>
          </w:p>
        </w:tc>
        <w:tc>
          <w:tcPr>
            <w:tcW w:w="346" w:type="dxa"/>
            <w:tcBorders/>
            <w:vAlign w:val="center"/>
          </w:tcPr>
          <w:p>
            <w:pPr>
              <w:pStyle w:val="TableContents"/>
              <w:bidi w:val="0"/>
              <w:spacing w:before="0" w:after="0"/>
              <w:ind w:left="0" w:right="0" w:hanging="0"/>
              <w:jc w:val="left"/>
              <w:rPr/>
            </w:pPr>
            <w:r>
              <w:rPr/>
              <w:t>​</w:t>
            </w:r>
          </w:p>
        </w:tc>
        <w:tc>
          <w:tcPr>
            <w:tcW w:w="1026"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December 2025</w:t>
            </w:r>
          </w:p>
        </w:tc>
        <w:tc>
          <w:tcPr>
            <w:tcW w:w="346" w:type="dxa"/>
            <w:tcBorders/>
            <w:vAlign w:val="center"/>
          </w:tcPr>
          <w:p>
            <w:pPr>
              <w:pStyle w:val="TableContents"/>
              <w:bidi w:val="0"/>
              <w:spacing w:before="0" w:after="0"/>
              <w:ind w:left="0" w:right="0" w:hanging="0"/>
              <w:jc w:val="left"/>
              <w:rPr/>
            </w:pPr>
            <w:r>
              <w:rPr/>
              <w:t>​</w:t>
            </w:r>
          </w:p>
        </w:tc>
        <w:tc>
          <w:tcPr>
            <w:tcW w:w="927"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September 2028</w:t>
            </w:r>
          </w:p>
        </w:tc>
        <w:tc>
          <w:tcPr>
            <w:tcW w:w="346" w:type="dxa"/>
            <w:tcBorders/>
            <w:vAlign w:val="center"/>
          </w:tcPr>
          <w:p>
            <w:pPr>
              <w:pStyle w:val="TableContents"/>
              <w:bidi w:val="0"/>
              <w:spacing w:before="0" w:after="0"/>
              <w:ind w:left="0" w:right="0" w:hanging="0"/>
              <w:jc w:val="left"/>
              <w:rPr/>
            </w:pPr>
            <w:r>
              <w:rPr/>
              <w:t>​</w:t>
            </w:r>
          </w:p>
        </w:tc>
        <w:tc>
          <w:tcPr>
            <w:tcW w:w="23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3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20,000</w:t>
            </w:r>
          </w:p>
        </w:tc>
        <w:tc>
          <w:tcPr>
            <w:tcW w:w="346" w:type="dxa"/>
            <w:tcBorders/>
            <w:vAlign w:val="center"/>
          </w:tcPr>
          <w:p>
            <w:pPr>
              <w:pStyle w:val="TableContents"/>
              <w:bidi w:val="0"/>
              <w:spacing w:before="0" w:after="0"/>
              <w:ind w:left="0" w:right="0" w:hanging="0"/>
              <w:jc w:val="left"/>
              <w:rPr/>
            </w:pPr>
            <w:r>
              <w:rPr/>
              <w:t>​</w:t>
            </w:r>
          </w:p>
        </w:tc>
        <w:tc>
          <w:tcPr>
            <w:tcW w:w="23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20,001</w:t>
            </w:r>
          </w:p>
        </w:tc>
        <w:tc>
          <w:tcPr>
            <w:tcW w:w="346" w:type="dxa"/>
            <w:tcBorders/>
            <w:vAlign w:val="center"/>
          </w:tcPr>
          <w:p>
            <w:pPr>
              <w:pStyle w:val="TableContents"/>
              <w:bidi w:val="0"/>
              <w:spacing w:before="0" w:after="0"/>
              <w:ind w:left="0" w:right="0" w:hanging="0"/>
              <w:jc w:val="left"/>
              <w:rPr/>
            </w:pPr>
            <w:r>
              <w:rPr/>
              <w:t>​</w:t>
            </w:r>
          </w:p>
        </w:tc>
        <w:tc>
          <w:tcPr>
            <w:tcW w:w="21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5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19,702</w:t>
            </w:r>
          </w:p>
        </w:tc>
        <w:tc>
          <w:tcPr>
            <w:tcW w:w="346" w:type="dxa"/>
            <w:tcBorders/>
            <w:vAlign w:val="center"/>
          </w:tcPr>
          <w:p>
            <w:pPr>
              <w:pStyle w:val="TableContents"/>
              <w:bidi w:val="0"/>
              <w:spacing w:before="0" w:after="0"/>
              <w:ind w:left="0" w:right="0" w:hanging="0"/>
              <w:jc w:val="left"/>
              <w:rPr/>
            </w:pPr>
            <w:r>
              <w:rPr/>
              <w:t>​</w:t>
            </w:r>
          </w:p>
        </w:tc>
        <w:tc>
          <w:tcPr>
            <w:tcW w:w="759"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12.00%</w:t>
            </w:r>
          </w:p>
        </w:tc>
        <w:tc>
          <w:tcPr>
            <w:tcW w:w="271" w:type="dxa"/>
            <w:tcBorders/>
            <w:vAlign w:val="center"/>
          </w:tcPr>
          <w:p>
            <w:pPr>
              <w:pStyle w:val="TableContents"/>
              <w:bidi w:val="0"/>
              <w:spacing w:lineRule="auto" w:line="240" w:before="0" w:after="0"/>
              <w:ind w:left="0" w:right="0" w:hanging="0"/>
              <w:jc w:val="left"/>
              <w:rPr>
                <w:rFonts w:ascii="Times New Roman;Times;serif" w:hAnsi="Times New Roman;Times;serif"/>
                <w:sz w:val="13"/>
              </w:rPr>
            </w:pPr>
            <w:r>
              <w:rPr>
                <w:rFonts w:ascii="Times New Roman;Times;serif" w:hAnsi="Times New Roman;Times;serif"/>
                <w:sz w:val="13"/>
              </w:rPr>
              <w:t>(6)</w:t>
            </w:r>
          </w:p>
        </w:tc>
      </w:tr>
      <w:tr>
        <w:trPr/>
        <w:tc>
          <w:tcPr>
            <w:tcW w:w="2053"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2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27"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83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225,581</w:t>
            </w:r>
          </w:p>
        </w:tc>
        <w:tc>
          <w:tcPr>
            <w:tcW w:w="346" w:type="dxa"/>
            <w:tcBorders/>
            <w:shd w:fill="CCEEFF" w:val="clear"/>
            <w:vAlign w:val="center"/>
          </w:tcPr>
          <w:p>
            <w:pPr>
              <w:pStyle w:val="TableContents"/>
              <w:bidi w:val="0"/>
              <w:spacing w:before="0" w:after="0"/>
              <w:ind w:left="0" w:right="0" w:hanging="0"/>
              <w:jc w:val="left"/>
              <w:rPr/>
            </w:pPr>
            <w:r>
              <w:rPr/>
              <w:t>​</w:t>
            </w:r>
          </w:p>
        </w:tc>
        <w:tc>
          <w:tcPr>
            <w:tcW w:w="23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82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170,946</w:t>
            </w:r>
          </w:p>
        </w:tc>
        <w:tc>
          <w:tcPr>
            <w:tcW w:w="34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750"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169,262</w:t>
            </w:r>
          </w:p>
        </w:tc>
        <w:tc>
          <w:tcPr>
            <w:tcW w:w="346" w:type="dxa"/>
            <w:tcBorders/>
            <w:shd w:fill="CCEEFF" w:val="clear"/>
            <w:vAlign w:val="center"/>
          </w:tcPr>
          <w:p>
            <w:pPr>
              <w:pStyle w:val="TableContents"/>
              <w:bidi w:val="0"/>
              <w:spacing w:before="0" w:after="0"/>
              <w:ind w:left="0" w:right="0" w:hanging="0"/>
              <w:jc w:val="left"/>
              <w:rPr/>
            </w:pPr>
            <w:r>
              <w:rPr/>
              <w:t>​</w:t>
            </w:r>
          </w:p>
        </w:tc>
        <w:tc>
          <w:tcPr>
            <w:tcW w:w="759" w:type="dxa"/>
            <w:tcBorders/>
            <w:shd w:fill="CCEEFF" w:val="clear"/>
            <w:vAlign w:val="center"/>
          </w:tcPr>
          <w:p>
            <w:pPr>
              <w:pStyle w:val="TableContents"/>
              <w:bidi w:val="0"/>
              <w:spacing w:before="0" w:after="0"/>
              <w:ind w:left="0" w:right="0" w:hanging="0"/>
              <w:jc w:val="center"/>
              <w:rPr/>
            </w:pPr>
            <w:r>
              <w:rPr/>
              <w:t>​</w:t>
            </w:r>
          </w:p>
        </w:tc>
        <w:tc>
          <w:tcPr>
            <w:tcW w:w="271" w:type="dxa"/>
            <w:tcBorders/>
            <w:shd w:fill="CCEEFF" w:val="clear"/>
            <w:vAlign w:val="center"/>
          </w:tcPr>
          <w:p>
            <w:pPr>
              <w:pStyle w:val="TableContents"/>
              <w:bidi w:val="0"/>
              <w:spacing w:before="0" w:after="0"/>
              <w:ind w:left="0" w:right="0" w:hanging="0"/>
              <w:jc w:val="center"/>
              <w:rPr/>
            </w:pPr>
            <w:r>
              <w:rPr/>
              <w:t>​</w:t>
            </w:r>
          </w:p>
        </w:tc>
      </w:tr>
      <w:tr>
        <w:trPr/>
        <w:tc>
          <w:tcPr>
            <w:tcW w:w="2053"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CECL Reserve</w:t>
            </w:r>
          </w:p>
        </w:tc>
        <w:tc>
          <w:tcPr>
            <w:tcW w:w="346" w:type="dxa"/>
            <w:tcBorders/>
            <w:vAlign w:val="center"/>
          </w:tcPr>
          <w:p>
            <w:pPr>
              <w:pStyle w:val="TableContents"/>
              <w:bidi w:val="0"/>
              <w:spacing w:before="0" w:after="0"/>
              <w:ind w:left="0" w:right="0" w:hanging="0"/>
              <w:jc w:val="left"/>
              <w:rPr/>
            </w:pPr>
            <w:r>
              <w:rPr/>
              <w:t>​</w:t>
            </w:r>
          </w:p>
        </w:tc>
        <w:tc>
          <w:tcPr>
            <w:tcW w:w="10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2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pPr>
            <w:r>
              <w:rPr/>
              <w:t>​</w:t>
            </w:r>
          </w:p>
        </w:tc>
        <w:tc>
          <w:tcPr>
            <w:tcW w:w="83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4" w:type="dxa"/>
            <w:tcBorders/>
            <w:vAlign w:val="center"/>
          </w:tcPr>
          <w:p>
            <w:pPr>
              <w:pStyle w:val="TableContents"/>
              <w:bidi w:val="0"/>
              <w:spacing w:before="0" w:after="0"/>
              <w:ind w:left="0" w:right="0" w:hanging="0"/>
              <w:jc w:val="left"/>
              <w:rPr/>
            </w:pPr>
            <w:r>
              <w:rPr/>
              <w:t>​</w:t>
            </w:r>
          </w:p>
        </w:tc>
        <w:tc>
          <w:tcPr>
            <w:tcW w:w="82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5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(1,709)</w:t>
            </w:r>
          </w:p>
        </w:tc>
        <w:tc>
          <w:tcPr>
            <w:tcW w:w="346" w:type="dxa"/>
            <w:tcBorders/>
            <w:vAlign w:val="center"/>
          </w:tcPr>
          <w:p>
            <w:pPr>
              <w:pStyle w:val="TableContents"/>
              <w:bidi w:val="0"/>
              <w:spacing w:before="0" w:after="0"/>
              <w:ind w:left="0" w:right="0" w:hanging="0"/>
              <w:jc w:val="left"/>
              <w:rPr/>
            </w:pPr>
            <w:r>
              <w:rPr/>
              <w:t>​</w:t>
            </w:r>
          </w:p>
        </w:tc>
        <w:tc>
          <w:tcPr>
            <w:tcW w:w="759"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r>
      <w:tr>
        <w:trPr/>
        <w:tc>
          <w:tcPr>
            <w:tcW w:w="2053"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Total Commercial Loans and Investments</w:t>
            </w:r>
          </w:p>
        </w:tc>
        <w:tc>
          <w:tcPr>
            <w:tcW w:w="346" w:type="dxa"/>
            <w:tcBorders/>
            <w:shd w:fill="CCEEFF" w:val="clear"/>
            <w:vAlign w:val="center"/>
          </w:tcPr>
          <w:p>
            <w:pPr>
              <w:pStyle w:val="TableContents"/>
              <w:bidi w:val="0"/>
              <w:spacing w:before="0" w:after="0"/>
              <w:ind w:left="0" w:right="0" w:hanging="0"/>
              <w:jc w:val="left"/>
              <w:rPr/>
            </w:pPr>
            <w:r>
              <w:rPr/>
              <w:t>​</w:t>
            </w:r>
          </w:p>
        </w:tc>
        <w:tc>
          <w:tcPr>
            <w:tcW w:w="102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27"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6" w:type="dxa"/>
            <w:tcBorders/>
            <w:shd w:fill="CCEEFF" w:val="clear"/>
            <w:vAlign w:val="center"/>
          </w:tcPr>
          <w:p>
            <w:pPr>
              <w:pStyle w:val="TableContents"/>
              <w:bidi w:val="0"/>
              <w:spacing w:before="0" w:after="0"/>
              <w:ind w:left="0" w:right="0" w:hanging="0"/>
              <w:jc w:val="left"/>
              <w:rPr/>
            </w:pPr>
            <w:r>
              <w:rPr/>
              <w:t>​</w:t>
            </w:r>
          </w:p>
        </w:tc>
        <w:tc>
          <w:tcPr>
            <w:tcW w:w="833"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left"/>
              <w:rPr/>
            </w:pPr>
            <w:r>
              <w:rPr/>
              <w:t>​</w:t>
            </w:r>
          </w:p>
        </w:tc>
        <w:tc>
          <w:tcPr>
            <w:tcW w:w="828"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75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167,553</w:t>
            </w:r>
          </w:p>
        </w:tc>
        <w:tc>
          <w:tcPr>
            <w:tcW w:w="346" w:type="dxa"/>
            <w:tcBorders/>
            <w:shd w:fill="CCEEFF" w:val="clear"/>
            <w:vAlign w:val="center"/>
          </w:tcPr>
          <w:p>
            <w:pPr>
              <w:pStyle w:val="TableContents"/>
              <w:bidi w:val="0"/>
              <w:spacing w:before="0" w:after="0"/>
              <w:ind w:left="0" w:right="0" w:hanging="0"/>
              <w:jc w:val="left"/>
              <w:rPr/>
            </w:pPr>
            <w:r>
              <w:rPr/>
              <w:t>​</w:t>
            </w:r>
          </w:p>
        </w:tc>
        <w:tc>
          <w:tcPr>
            <w:tcW w:w="759"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r>
    </w:tbl>
    <w:tbl>
      <w:tblPr>
        <w:tblW w:w="8822" w:type="dxa"/>
        <w:jc w:val="left"/>
        <w:tblInd w:w="0" w:type="dxa"/>
        <w:tblLayout w:type="fixed"/>
        <w:tblCellMar>
          <w:top w:w="0" w:type="dxa"/>
          <w:left w:w="0" w:type="dxa"/>
          <w:bottom w:w="0" w:type="dxa"/>
          <w:right w:w="0" w:type="dxa"/>
        </w:tblCellMar>
      </w:tblPr>
      <w:tblGrid>
        <w:gridCol w:w="271"/>
        <w:gridCol w:w="8551"/>
      </w:tblGrid>
      <w:tr>
        <w:trPr/>
        <w:tc>
          <w:tcPr>
            <w:tcW w:w="271" w:type="dxa"/>
            <w:tcBorders/>
            <w:vAlign w:val="center"/>
          </w:tcPr>
          <w:p>
            <w:pPr>
              <w:pStyle w:val="TableContents"/>
              <w:bidi w:val="0"/>
              <w:spacing w:before="0" w:after="283"/>
              <w:jc w:val="left"/>
              <w:rPr>
                <w:rFonts w:ascii="Times New Roman;Times;serif" w:hAnsi="Times New Roman;Times;serif"/>
                <w:sz w:val="12"/>
              </w:rPr>
            </w:pPr>
            <w:r>
              <w:rPr>
                <w:rFonts w:ascii="Times New Roman;Times;serif" w:hAnsi="Times New Roman;Times;serif"/>
                <w:sz w:val="12"/>
              </w:rPr>
              <w:t>(1)</w:t>
            </w:r>
          </w:p>
        </w:tc>
        <w:tc>
          <w:tcPr>
            <w:tcW w:w="85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The maturity date reflects the date the tenant’s repurchase right first becomes exercisable pursuant to the lease agreement.</w:t>
            </w:r>
          </w:p>
        </w:tc>
      </w:tr>
    </w:tbl>
    <w:tbl>
      <w:tblPr>
        <w:tblW w:w="10205" w:type="dxa"/>
        <w:jc w:val="left"/>
        <w:tblInd w:w="0" w:type="dxa"/>
        <w:tblLayout w:type="fixed"/>
        <w:tblCellMar>
          <w:top w:w="0" w:type="dxa"/>
          <w:left w:w="0" w:type="dxa"/>
          <w:bottom w:w="0" w:type="dxa"/>
          <w:right w:w="0" w:type="dxa"/>
        </w:tblCellMar>
      </w:tblPr>
      <w:tblGrid>
        <w:gridCol w:w="250"/>
        <w:gridCol w:w="9955"/>
      </w:tblGrid>
      <w:tr>
        <w:trPr/>
        <w:tc>
          <w:tcPr>
            <w:tcW w:w="250" w:type="dxa"/>
            <w:tcBorders/>
            <w:vAlign w:val="center"/>
          </w:tcPr>
          <w:p>
            <w:pPr>
              <w:pStyle w:val="TableContents"/>
              <w:bidi w:val="0"/>
              <w:spacing w:before="0" w:after="283"/>
              <w:jc w:val="left"/>
              <w:rPr>
                <w:rFonts w:ascii="Times New Roman;Times;serif" w:hAnsi="Times New Roman;Times;serif"/>
                <w:sz w:val="12"/>
              </w:rPr>
            </w:pPr>
            <w:r>
              <w:rPr>
                <w:rFonts w:ascii="Times New Roman;Times;serif" w:hAnsi="Times New Roman;Times;serif"/>
                <w:sz w:val="12"/>
              </w:rPr>
              <w:t>(2)</w:t>
            </w:r>
          </w:p>
        </w:tc>
        <w:tc>
          <w:tcPr>
            <w:tcW w:w="9955"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As of December 31, 2025, after adjusting for the A-1 participation interests, as described in Note 12, "Obligation Under Participation Agreement", the Company's net remaining investment, at face value, in the 2025 Mortgage Note is $18.6</w:t>
            </w:r>
            <w:r>
              <w:rPr>
                <w:caps w:val="false"/>
                <w:smallCaps w:val="false"/>
              </w:rPr>
              <w:t xml:space="preserve"> </w:t>
            </w:r>
            <w:r>
              <w:rPr>
                <w:rFonts w:ascii="Times New Roman;Times;serif" w:hAnsi="Times New Roman;Times;serif"/>
                <w:b w:val="false"/>
                <w:i w:val="false"/>
                <w:caps w:val="false"/>
                <w:smallCaps w:val="false"/>
                <w:sz w:val="16"/>
              </w:rPr>
              <w:t>million.</w:t>
            </w:r>
          </w:p>
        </w:tc>
      </w:tr>
    </w:tbl>
    <w:tbl>
      <w:tblPr>
        <w:tblW w:w="5927" w:type="dxa"/>
        <w:jc w:val="left"/>
        <w:tblInd w:w="0" w:type="dxa"/>
        <w:tblLayout w:type="fixed"/>
        <w:tblCellMar>
          <w:top w:w="0" w:type="dxa"/>
          <w:left w:w="0" w:type="dxa"/>
          <w:bottom w:w="0" w:type="dxa"/>
          <w:right w:w="0" w:type="dxa"/>
        </w:tblCellMar>
      </w:tblPr>
      <w:tblGrid>
        <w:gridCol w:w="271"/>
        <w:gridCol w:w="5656"/>
      </w:tblGrid>
      <w:tr>
        <w:trPr/>
        <w:tc>
          <w:tcPr>
            <w:tcW w:w="271" w:type="dxa"/>
            <w:tcBorders/>
            <w:vAlign w:val="center"/>
          </w:tcPr>
          <w:p>
            <w:pPr>
              <w:pStyle w:val="TableContents"/>
              <w:bidi w:val="0"/>
              <w:spacing w:before="0" w:after="283"/>
              <w:jc w:val="left"/>
              <w:rPr>
                <w:rFonts w:ascii="Times New Roman;Times;serif" w:hAnsi="Times New Roman;Times;serif"/>
                <w:sz w:val="12"/>
              </w:rPr>
            </w:pPr>
            <w:r>
              <w:rPr>
                <w:rFonts w:ascii="Times New Roman;Times;serif" w:hAnsi="Times New Roman;Times;serif"/>
                <w:sz w:val="12"/>
              </w:rPr>
              <w:t>(3)</w:t>
            </w:r>
          </w:p>
        </w:tc>
        <w:tc>
          <w:tcPr>
            <w:tcW w:w="5656"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The coupon rate is comprised of 13.00%</w:t>
            </w:r>
            <w:r>
              <w:rPr>
                <w:caps w:val="false"/>
                <w:smallCaps w:val="false"/>
              </w:rPr>
              <w:t xml:space="preserve"> </w:t>
            </w:r>
            <w:r>
              <w:rPr>
                <w:rFonts w:ascii="Times New Roman;Times;serif" w:hAnsi="Times New Roman;Times;serif"/>
                <w:b w:val="false"/>
                <w:i w:val="false"/>
                <w:caps w:val="false"/>
                <w:smallCaps w:val="false"/>
                <w:sz w:val="16"/>
              </w:rPr>
              <w:t>cash interest and 4.00%</w:t>
            </w:r>
            <w:r>
              <w:rPr>
                <w:caps w:val="false"/>
                <w:smallCaps w:val="false"/>
              </w:rPr>
              <w:t xml:space="preserve"> </w:t>
            </w:r>
            <w:r>
              <w:rPr>
                <w:rFonts w:ascii="Times New Roman;Times;serif" w:hAnsi="Times New Roman;Times;serif"/>
                <w:b w:val="false"/>
                <w:i w:val="false"/>
                <w:caps w:val="false"/>
                <w:smallCaps w:val="false"/>
                <w:sz w:val="16"/>
              </w:rPr>
              <w:t>paid-in-kind.</w:t>
            </w:r>
          </w:p>
        </w:tc>
      </w:tr>
    </w:tbl>
    <w:tbl>
      <w:tblPr>
        <w:tblW w:w="5927" w:type="dxa"/>
        <w:jc w:val="left"/>
        <w:tblInd w:w="0" w:type="dxa"/>
        <w:tblLayout w:type="fixed"/>
        <w:tblCellMar>
          <w:top w:w="0" w:type="dxa"/>
          <w:left w:w="0" w:type="dxa"/>
          <w:bottom w:w="0" w:type="dxa"/>
          <w:right w:w="0" w:type="dxa"/>
        </w:tblCellMar>
      </w:tblPr>
      <w:tblGrid>
        <w:gridCol w:w="271"/>
        <w:gridCol w:w="5656"/>
      </w:tblGrid>
      <w:tr>
        <w:trPr/>
        <w:tc>
          <w:tcPr>
            <w:tcW w:w="271" w:type="dxa"/>
            <w:tcBorders/>
            <w:vAlign w:val="center"/>
          </w:tcPr>
          <w:p>
            <w:pPr>
              <w:pStyle w:val="TableContents"/>
              <w:bidi w:val="0"/>
              <w:spacing w:before="0" w:after="283"/>
              <w:jc w:val="left"/>
              <w:rPr>
                <w:rFonts w:ascii="Times New Roman;Times;serif" w:hAnsi="Times New Roman;Times;serif"/>
                <w:sz w:val="12"/>
              </w:rPr>
            </w:pPr>
            <w:r>
              <w:rPr>
                <w:rFonts w:ascii="Times New Roman;Times;serif" w:hAnsi="Times New Roman;Times;serif"/>
                <w:sz w:val="12"/>
              </w:rPr>
              <w:t>(4)</w:t>
            </w:r>
          </w:p>
        </w:tc>
        <w:tc>
          <w:tcPr>
            <w:tcW w:w="5656"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The coupon rate is comprised of 13.00%</w:t>
            </w:r>
            <w:r>
              <w:rPr>
                <w:caps w:val="false"/>
                <w:smallCaps w:val="false"/>
              </w:rPr>
              <w:t xml:space="preserve"> </w:t>
            </w:r>
            <w:r>
              <w:rPr>
                <w:rFonts w:ascii="Times New Roman;Times;serif" w:hAnsi="Times New Roman;Times;serif"/>
                <w:b w:val="false"/>
                <w:i w:val="false"/>
                <w:caps w:val="false"/>
                <w:smallCaps w:val="false"/>
                <w:sz w:val="16"/>
              </w:rPr>
              <w:t>cash interest and 3.00%</w:t>
            </w:r>
            <w:r>
              <w:rPr>
                <w:caps w:val="false"/>
                <w:smallCaps w:val="false"/>
              </w:rPr>
              <w:t xml:space="preserve"> </w:t>
            </w:r>
            <w:r>
              <w:rPr>
                <w:rFonts w:ascii="Times New Roman;Times;serif" w:hAnsi="Times New Roman;Times;serif"/>
                <w:b w:val="false"/>
                <w:i w:val="false"/>
                <w:caps w:val="false"/>
                <w:smallCaps w:val="false"/>
                <w:sz w:val="16"/>
              </w:rPr>
              <w:t>paid-in-kind.</w:t>
            </w:r>
          </w:p>
        </w:tc>
      </w:tr>
    </w:tbl>
    <w:tbl>
      <w:tblPr>
        <w:tblW w:w="5837" w:type="dxa"/>
        <w:jc w:val="left"/>
        <w:tblInd w:w="0" w:type="dxa"/>
        <w:tblLayout w:type="fixed"/>
        <w:tblCellMar>
          <w:top w:w="0" w:type="dxa"/>
          <w:left w:w="0" w:type="dxa"/>
          <w:bottom w:w="0" w:type="dxa"/>
          <w:right w:w="0" w:type="dxa"/>
        </w:tblCellMar>
      </w:tblPr>
      <w:tblGrid>
        <w:gridCol w:w="271"/>
        <w:gridCol w:w="5566"/>
      </w:tblGrid>
      <w:tr>
        <w:trPr/>
        <w:tc>
          <w:tcPr>
            <w:tcW w:w="271" w:type="dxa"/>
            <w:tcBorders/>
            <w:vAlign w:val="center"/>
          </w:tcPr>
          <w:p>
            <w:pPr>
              <w:pStyle w:val="TableContents"/>
              <w:bidi w:val="0"/>
              <w:spacing w:before="0" w:after="283"/>
              <w:jc w:val="left"/>
              <w:rPr>
                <w:rFonts w:ascii="Times New Roman;Times;serif" w:hAnsi="Times New Roman;Times;serif"/>
                <w:sz w:val="12"/>
              </w:rPr>
            </w:pPr>
            <w:r>
              <w:rPr>
                <w:rFonts w:ascii="Times New Roman;Times;serif" w:hAnsi="Times New Roman;Times;serif"/>
                <w:sz w:val="12"/>
              </w:rPr>
              <w:t>(5)</w:t>
            </w:r>
          </w:p>
        </w:tc>
        <w:tc>
          <w:tcPr>
            <w:tcW w:w="5566"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The coupon rate is comprised of 9.00%</w:t>
            </w:r>
            <w:r>
              <w:rPr>
                <w:caps w:val="false"/>
                <w:smallCaps w:val="false"/>
              </w:rPr>
              <w:t xml:space="preserve"> </w:t>
            </w:r>
            <w:r>
              <w:rPr>
                <w:rFonts w:ascii="Times New Roman;Times;serif" w:hAnsi="Times New Roman;Times;serif"/>
                <w:b w:val="false"/>
                <w:i w:val="false"/>
                <w:caps w:val="false"/>
                <w:smallCaps w:val="false"/>
                <w:sz w:val="16"/>
              </w:rPr>
              <w:t>cash interest and 3.00%</w:t>
            </w:r>
            <w:r>
              <w:rPr>
                <w:caps w:val="false"/>
                <w:smallCaps w:val="false"/>
              </w:rPr>
              <w:t xml:space="preserve"> </w:t>
            </w:r>
            <w:r>
              <w:rPr>
                <w:rFonts w:ascii="Times New Roman;Times;serif" w:hAnsi="Times New Roman;Times;serif"/>
                <w:b w:val="false"/>
                <w:i w:val="false"/>
                <w:caps w:val="false"/>
                <w:smallCaps w:val="false"/>
                <w:sz w:val="16"/>
              </w:rPr>
              <w:t>paid-in-kind.</w:t>
            </w:r>
          </w:p>
        </w:tc>
      </w:tr>
    </w:tbl>
    <w:tbl>
      <w:tblPr>
        <w:tblW w:w="5927" w:type="dxa"/>
        <w:jc w:val="left"/>
        <w:tblInd w:w="0" w:type="dxa"/>
        <w:tblLayout w:type="fixed"/>
        <w:tblCellMar>
          <w:top w:w="0" w:type="dxa"/>
          <w:left w:w="0" w:type="dxa"/>
          <w:bottom w:w="0" w:type="dxa"/>
          <w:right w:w="0" w:type="dxa"/>
        </w:tblCellMar>
      </w:tblPr>
      <w:tblGrid>
        <w:gridCol w:w="271"/>
        <w:gridCol w:w="5656"/>
      </w:tblGrid>
      <w:tr>
        <w:trPr/>
        <w:tc>
          <w:tcPr>
            <w:tcW w:w="271" w:type="dxa"/>
            <w:tcBorders/>
            <w:vAlign w:val="center"/>
          </w:tcPr>
          <w:p>
            <w:pPr>
              <w:pStyle w:val="TableContents"/>
              <w:bidi w:val="0"/>
              <w:spacing w:before="0" w:after="283"/>
              <w:jc w:val="left"/>
              <w:rPr>
                <w:rFonts w:ascii="Times New Roman;Times;serif" w:hAnsi="Times New Roman;Times;serif"/>
                <w:sz w:val="12"/>
              </w:rPr>
            </w:pPr>
            <w:r>
              <w:rPr>
                <w:rFonts w:ascii="Times New Roman;Times;serif" w:hAnsi="Times New Roman;Times;serif"/>
                <w:sz w:val="12"/>
              </w:rPr>
              <w:t>(6)</w:t>
            </w:r>
          </w:p>
        </w:tc>
        <w:tc>
          <w:tcPr>
            <w:tcW w:w="5656"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The coupon rate is comprised of 10.00%</w:t>
            </w:r>
            <w:r>
              <w:rPr>
                <w:caps w:val="false"/>
                <w:smallCaps w:val="false"/>
              </w:rPr>
              <w:t xml:space="preserve"> </w:t>
            </w:r>
            <w:r>
              <w:rPr>
                <w:rFonts w:ascii="Times New Roman;Times;serif" w:hAnsi="Times New Roman;Times;serif"/>
                <w:b w:val="false"/>
                <w:i w:val="false"/>
                <w:caps w:val="false"/>
                <w:smallCaps w:val="false"/>
                <w:sz w:val="16"/>
              </w:rPr>
              <w:t>cash interest and 2.00%</w:t>
            </w:r>
            <w:r>
              <w:rPr>
                <w:caps w:val="false"/>
                <w:smallCaps w:val="false"/>
              </w:rPr>
              <w:t xml:space="preserve"> </w:t>
            </w:r>
            <w:r>
              <w:rPr>
                <w:rFonts w:ascii="Times New Roman;Times;serif" w:hAnsi="Times New Roman;Times;serif"/>
                <w:b w:val="false"/>
                <w:i w:val="false"/>
                <w:caps w:val="false"/>
                <w:smallCaps w:val="false"/>
                <w:sz w:val="16"/>
              </w:rPr>
              <w:t>paid-in-kind.</w:t>
            </w:r>
          </w:p>
        </w:tc>
      </w:tr>
    </w:tbl>
    <w:p>
      <w:pPr>
        <w:pStyle w:val="TextBody"/>
        <w:bidi w:val="0"/>
        <w:spacing w:before="0" w:after="0"/>
        <w:ind w:left="0" w:right="0" w:hanging="0"/>
        <w:jc w:val="left"/>
        <w:rPr/>
      </w:pPr>
      <w:r>
        <w:rPr/>
        <w:t>​</w:t>
      </w:r>
    </w:p>
    <w:p>
      <w:pPr>
        <w:pStyle w:val="TextBody"/>
        <w:bidi w:val="0"/>
        <w:spacing w:before="0" w:after="0"/>
        <w:ind w:left="0" w:right="0" w:firstLine="432"/>
        <w:jc w:val="left"/>
        <w:rPr>
          <w:rFonts w:ascii="Times New Roman;Times;serif" w:hAnsi="Times New Roman;Times;serif"/>
          <w:sz w:val="20"/>
        </w:rPr>
      </w:pPr>
      <w:r>
        <w:rPr>
          <w:rFonts w:ascii="Times New Roman;Times;serif" w:hAnsi="Times New Roman;Times;serif"/>
          <w:sz w:val="20"/>
        </w:rPr>
        <w:t>The carrying value of the commercial loans and investments consisted of the following at June 30, 2026 and December 31, 2025 (in thousands).</w:t>
      </w:r>
    </w:p>
    <w:p>
      <w:pPr>
        <w:pStyle w:val="TextBody"/>
        <w:bidi w:val="0"/>
        <w:spacing w:before="0" w:after="240"/>
        <w:ind w:left="0" w:right="0" w:firstLine="720"/>
        <w:jc w:val="left"/>
        <w:rPr/>
      </w:pPr>
      <w:r>
        <w:rPr/>
        <w:t>​</w:t>
      </w:r>
    </w:p>
    <w:tbl>
      <w:tblPr>
        <w:tblW w:w="7233" w:type="dxa"/>
        <w:jc w:val="left"/>
        <w:tblInd w:w="0" w:type="dxa"/>
        <w:tblLayout w:type="fixed"/>
        <w:tblCellMar>
          <w:top w:w="0" w:type="dxa"/>
          <w:left w:w="0" w:type="dxa"/>
          <w:bottom w:w="0" w:type="dxa"/>
          <w:right w:w="0" w:type="dxa"/>
        </w:tblCellMar>
      </w:tblPr>
      <w:tblGrid>
        <w:gridCol w:w="3496"/>
        <w:gridCol w:w="346"/>
        <w:gridCol w:w="271"/>
        <w:gridCol w:w="1004"/>
        <w:gridCol w:w="346"/>
        <w:gridCol w:w="336"/>
        <w:gridCol w:w="1434"/>
      </w:tblGrid>
      <w:tr>
        <w:trPr/>
        <w:tc>
          <w:tcPr>
            <w:tcW w:w="34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71" w:type="dxa"/>
            <w:tcBorders/>
            <w:vAlign w:val="center"/>
          </w:tcPr>
          <w:p>
            <w:pPr>
              <w:pStyle w:val="TableContents"/>
              <w:bidi w:val="0"/>
              <w:spacing w:before="0" w:after="1"/>
              <w:ind w:left="0" w:right="0" w:hanging="0"/>
              <w:jc w:val="left"/>
              <w:rPr/>
            </w:pPr>
            <w:r>
              <w:rPr/>
              <w:t>​</w:t>
            </w:r>
          </w:p>
        </w:tc>
        <w:tc>
          <w:tcPr>
            <w:tcW w:w="100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36" w:type="dxa"/>
            <w:tcBorders/>
            <w:vAlign w:val="center"/>
          </w:tcPr>
          <w:p>
            <w:pPr>
              <w:pStyle w:val="TableContents"/>
              <w:bidi w:val="0"/>
              <w:spacing w:before="0" w:after="1"/>
              <w:ind w:left="0" w:right="0" w:hanging="0"/>
              <w:jc w:val="left"/>
              <w:rPr/>
            </w:pPr>
            <w:r>
              <w:rPr/>
              <w:t>​</w:t>
            </w:r>
          </w:p>
        </w:tc>
        <w:tc>
          <w:tcPr>
            <w:tcW w:w="1434" w:type="dxa"/>
            <w:tcBorders/>
            <w:vAlign w:val="center"/>
          </w:tcPr>
          <w:p>
            <w:pPr>
              <w:pStyle w:val="TableContents"/>
              <w:bidi w:val="0"/>
              <w:spacing w:before="0" w:after="1"/>
              <w:ind w:left="0" w:right="0" w:hanging="0"/>
              <w:jc w:val="left"/>
              <w:rPr/>
            </w:pPr>
            <w:r>
              <w:rPr/>
              <w:t>​</w:t>
            </w:r>
          </w:p>
        </w:tc>
      </w:tr>
      <w:tr>
        <w:trPr/>
        <w:tc>
          <w:tcPr>
            <w:tcW w:w="34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391"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As of</w:t>
            </w:r>
          </w:p>
        </w:tc>
      </w:tr>
      <w:tr>
        <w:trPr/>
        <w:tc>
          <w:tcPr>
            <w:tcW w:w="349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127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June 30, 2026</w:t>
            </w:r>
          </w:p>
        </w:tc>
        <w:tc>
          <w:tcPr>
            <w:tcW w:w="346" w:type="dxa"/>
            <w:tcBorders/>
            <w:vAlign w:val="center"/>
          </w:tcPr>
          <w:p>
            <w:pPr>
              <w:pStyle w:val="TableContents"/>
              <w:bidi w:val="0"/>
              <w:spacing w:before="0" w:after="1"/>
              <w:ind w:left="0" w:right="0" w:hanging="0"/>
              <w:jc w:val="left"/>
              <w:rPr/>
            </w:pPr>
            <w:r>
              <w:rPr/>
              <w:t>  ​ ​ ​</w:t>
            </w:r>
          </w:p>
        </w:tc>
        <w:tc>
          <w:tcPr>
            <w:tcW w:w="177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 2025</w:t>
            </w:r>
          </w:p>
        </w:tc>
      </w:tr>
      <w:tr>
        <w:trPr/>
        <w:tc>
          <w:tcPr>
            <w:tcW w:w="34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Current Face Amount</w:t>
            </w:r>
          </w:p>
        </w:tc>
        <w:tc>
          <w:tcPr>
            <w:tcW w:w="346" w:type="dxa"/>
            <w:tcBorders/>
            <w:shd w:fill="CCEEFF" w:val="clear"/>
            <w:vAlign w:val="center"/>
          </w:tcPr>
          <w:p>
            <w:pPr>
              <w:pStyle w:val="TableContents"/>
              <w:bidi w:val="0"/>
              <w:spacing w:before="0" w:after="1"/>
              <w:ind w:left="0" w:right="0" w:hanging="0"/>
              <w:jc w:val="left"/>
              <w:rPr/>
            </w:pPr>
            <w:r>
              <w:rPr/>
              <w:t>​</w:t>
            </w:r>
          </w:p>
        </w:tc>
        <w:tc>
          <w:tcPr>
            <w:tcW w:w="2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0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243,347</w:t>
            </w:r>
          </w:p>
        </w:tc>
        <w:tc>
          <w:tcPr>
            <w:tcW w:w="346" w:type="dxa"/>
            <w:tcBorders/>
            <w:shd w:fill="CCEEFF" w:val="clear"/>
            <w:vAlign w:val="center"/>
          </w:tcPr>
          <w:p>
            <w:pPr>
              <w:pStyle w:val="TableContents"/>
              <w:bidi w:val="0"/>
              <w:spacing w:before="0" w:after="1"/>
              <w:ind w:left="0" w:right="0" w:hanging="0"/>
              <w:jc w:val="left"/>
              <w:rPr/>
            </w:pPr>
            <w:r>
              <w:rPr/>
              <w:t>​</w:t>
            </w:r>
          </w:p>
        </w:tc>
        <w:tc>
          <w:tcPr>
            <w:tcW w:w="3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43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170,946</w:t>
            </w:r>
          </w:p>
        </w:tc>
      </w:tr>
      <w:tr>
        <w:trPr/>
        <w:tc>
          <w:tcPr>
            <w:tcW w:w="34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Unaccreted Origination Fees</w:t>
            </w:r>
          </w:p>
        </w:tc>
        <w:tc>
          <w:tcPr>
            <w:tcW w:w="346" w:type="dxa"/>
            <w:tcBorders/>
            <w:vAlign w:val="center"/>
          </w:tcPr>
          <w:p>
            <w:pPr>
              <w:pStyle w:val="TableContents"/>
              <w:bidi w:val="0"/>
              <w:spacing w:before="0" w:after="1"/>
              <w:ind w:left="0" w:right="0" w:hanging="0"/>
              <w:jc w:val="left"/>
              <w:rPr/>
            </w:pPr>
            <w:r>
              <w:rPr/>
              <w:t>​</w:t>
            </w:r>
          </w:p>
        </w:tc>
        <w:tc>
          <w:tcPr>
            <w:tcW w:w="271" w:type="dxa"/>
            <w:tcBorders/>
            <w:vAlign w:val="center"/>
          </w:tcPr>
          <w:p>
            <w:pPr>
              <w:pStyle w:val="TableContents"/>
              <w:bidi w:val="0"/>
              <w:spacing w:before="0" w:after="1"/>
              <w:ind w:left="0" w:right="0" w:hanging="0"/>
              <w:jc w:val="left"/>
              <w:rPr/>
            </w:pPr>
            <w:r>
              <w:rPr/>
              <w:t>​</w:t>
            </w:r>
          </w:p>
        </w:tc>
        <w:tc>
          <w:tcPr>
            <w:tcW w:w="100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(2,339)</w:t>
            </w:r>
          </w:p>
        </w:tc>
        <w:tc>
          <w:tcPr>
            <w:tcW w:w="346" w:type="dxa"/>
            <w:tcBorders/>
            <w:vAlign w:val="center"/>
          </w:tcPr>
          <w:p>
            <w:pPr>
              <w:pStyle w:val="TableContents"/>
              <w:bidi w:val="0"/>
              <w:spacing w:before="0" w:after="1"/>
              <w:ind w:left="0" w:right="0" w:hanging="0"/>
              <w:jc w:val="left"/>
              <w:rPr/>
            </w:pPr>
            <w:r>
              <w:rPr/>
              <w:t>​</w:t>
            </w:r>
          </w:p>
        </w:tc>
        <w:tc>
          <w:tcPr>
            <w:tcW w:w="336" w:type="dxa"/>
            <w:tcBorders/>
            <w:vAlign w:val="center"/>
          </w:tcPr>
          <w:p>
            <w:pPr>
              <w:pStyle w:val="TableContents"/>
              <w:bidi w:val="0"/>
              <w:spacing w:before="0" w:after="1"/>
              <w:ind w:left="0" w:right="0" w:hanging="0"/>
              <w:jc w:val="left"/>
              <w:rPr/>
            </w:pPr>
            <w:r>
              <w:rPr/>
              <w:t>​</w:t>
            </w:r>
          </w:p>
        </w:tc>
        <w:tc>
          <w:tcPr>
            <w:tcW w:w="143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(1,684)</w:t>
            </w:r>
          </w:p>
        </w:tc>
      </w:tr>
      <w:tr>
        <w:trPr/>
        <w:tc>
          <w:tcPr>
            <w:tcW w:w="34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CECL Reserve</w:t>
            </w:r>
          </w:p>
        </w:tc>
        <w:tc>
          <w:tcPr>
            <w:tcW w:w="346" w:type="dxa"/>
            <w:tcBorders/>
            <w:shd w:fill="CCEEFF" w:val="clear"/>
            <w:vAlign w:val="center"/>
          </w:tcPr>
          <w:p>
            <w:pPr>
              <w:pStyle w:val="TableContents"/>
              <w:bidi w:val="0"/>
              <w:spacing w:before="0" w:after="1"/>
              <w:ind w:left="0" w:right="0" w:hanging="0"/>
              <w:jc w:val="left"/>
              <w:rPr/>
            </w:pPr>
            <w:r>
              <w:rPr/>
              <w:t>​</w:t>
            </w:r>
          </w:p>
        </w:tc>
        <w:tc>
          <w:tcPr>
            <w:tcW w:w="27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0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(2,433)</w:t>
            </w:r>
          </w:p>
        </w:tc>
        <w:tc>
          <w:tcPr>
            <w:tcW w:w="346" w:type="dxa"/>
            <w:tcBorders/>
            <w:shd w:fill="CCEEFF" w:val="clear"/>
            <w:vAlign w:val="center"/>
          </w:tcPr>
          <w:p>
            <w:pPr>
              <w:pStyle w:val="TableContents"/>
              <w:bidi w:val="0"/>
              <w:spacing w:before="0" w:after="1"/>
              <w:ind w:left="0" w:right="0" w:hanging="0"/>
              <w:jc w:val="left"/>
              <w:rPr/>
            </w:pPr>
            <w:r>
              <w:rPr/>
              <w:t>​</w:t>
            </w:r>
          </w:p>
        </w:tc>
        <w:tc>
          <w:tcPr>
            <w:tcW w:w="33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43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(1,709)</w:t>
            </w:r>
          </w:p>
        </w:tc>
      </w:tr>
      <w:tr>
        <w:trPr/>
        <w:tc>
          <w:tcPr>
            <w:tcW w:w="34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Commercial Loans and Investments</w:t>
            </w:r>
          </w:p>
        </w:tc>
        <w:tc>
          <w:tcPr>
            <w:tcW w:w="346" w:type="dxa"/>
            <w:tcBorders/>
            <w:vAlign w:val="center"/>
          </w:tcPr>
          <w:p>
            <w:pPr>
              <w:pStyle w:val="TableContents"/>
              <w:bidi w:val="0"/>
              <w:spacing w:before="0" w:after="1"/>
              <w:ind w:left="0" w:right="0" w:hanging="0"/>
              <w:jc w:val="left"/>
              <w:rPr/>
            </w:pPr>
            <w:r>
              <w:rPr/>
              <w:t>​</w:t>
            </w:r>
          </w:p>
        </w:tc>
        <w:tc>
          <w:tcPr>
            <w:tcW w:w="27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0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238,575</w:t>
            </w:r>
          </w:p>
        </w:tc>
        <w:tc>
          <w:tcPr>
            <w:tcW w:w="346" w:type="dxa"/>
            <w:tcBorders/>
            <w:vAlign w:val="center"/>
          </w:tcPr>
          <w:p>
            <w:pPr>
              <w:pStyle w:val="TableContents"/>
              <w:bidi w:val="0"/>
              <w:spacing w:before="0" w:after="1"/>
              <w:ind w:left="0" w:right="0" w:hanging="0"/>
              <w:jc w:val="left"/>
              <w:rPr/>
            </w:pPr>
            <w:r>
              <w:rPr/>
              <w:t>​</w:t>
            </w:r>
          </w:p>
        </w:tc>
        <w:tc>
          <w:tcPr>
            <w:tcW w:w="33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434" w:type="dxa"/>
            <w:tcBorders>
              <w:bottom w:val="double" w:sz="6" w:space="0" w:color="000000"/>
            </w:tcBorders>
            <w:tcMar>
              <w:bottom w:w="28" w:type="dxa"/>
            </w:tcMar>
            <w:vAlign w:val="center"/>
          </w:tcPr>
          <w:p>
            <w:pPr>
              <w:pStyle w:val="TableContents"/>
              <w:bidi w:val="0"/>
              <w:spacing w:before="0" w:after="1"/>
              <w:ind w:left="0" w:right="72" w:hanging="0"/>
              <w:jc w:val="right"/>
              <w:rPr>
                <w:rFonts w:ascii="Times New Roman;Times;serif" w:hAnsi="Times New Roman;Times;serif"/>
                <w:sz w:val="20"/>
              </w:rPr>
            </w:pPr>
            <w:r>
              <w:rPr>
                <w:rFonts w:ascii="Times New Roman;Times;serif" w:hAnsi="Times New Roman;Times;serif"/>
                <w:sz w:val="20"/>
              </w:rPr>
              <w:t>167,553</w:t>
            </w:r>
          </w:p>
        </w:tc>
      </w:tr>
    </w:tbl>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128" w:name="Tc_8W0YetxlQE-fk0g4t1DecQ_10_12"/>
      <w:bookmarkStart w:id="1129" w:name="Tc_-E8ckwrSO0m3oCmpblV9sw_10_11"/>
      <w:bookmarkStart w:id="1130" w:name="Tc_l2DI5dSpJk-aJaB7KvmFQQ_10_8"/>
      <w:bookmarkStart w:id="1131" w:name="Tc_b5yBA7f84EelkYV35l5Y4w_10_6"/>
      <w:bookmarkStart w:id="1132" w:name="Tc_N0P-zzrzqk6tmoBjR6Jktw_10_5"/>
      <w:bookmarkStart w:id="1133" w:name="Tc_zo--9f-ZWUSe_uH22PCViw_10_2"/>
      <w:bookmarkStart w:id="1134" w:name="Tc_xFYalzW1XUudmZWeQwkjcQ_10_0"/>
      <w:bookmarkStart w:id="1135" w:name="Tc_jFAKimclX0GqBDHkviRGLg_9_12"/>
      <w:bookmarkStart w:id="1136" w:name="Tc_dUfatOjTD0a5n-Vb1hgE1Q_9_11"/>
      <w:bookmarkStart w:id="1137" w:name="Tc_0K1aOnZn1Um3ydVhjyiMWg_9_8"/>
      <w:bookmarkStart w:id="1138" w:name="Tc_X83WxiB0RkqECNb0N_hYZQ_9_6"/>
      <w:bookmarkStart w:id="1139" w:name="Tc_3OL8UAkN7Ear6mcSwXvKhg_9_5"/>
      <w:bookmarkStart w:id="1140" w:name="Tc_gMsCxJyndU21Jo9vaPNapw_9_2"/>
      <w:bookmarkStart w:id="1141" w:name="Tc_5Wy17Bxt60mg8GNpH9IECw_9_0"/>
      <w:bookmarkStart w:id="1142" w:name="Tc_FFm1K_1bJ061VkbAg3Dt8g_8_12"/>
      <w:bookmarkStart w:id="1143" w:name="Tc_0DIAVT-Aak-YH_ijKEUqaw_8_11"/>
      <w:bookmarkStart w:id="1144" w:name="Tc_izs5Erlth06ey_sbRlhgGQ_8_8"/>
      <w:bookmarkStart w:id="1145" w:name="Tc_IXfZDipsyUOWxpeqNP6vtw_8_6"/>
      <w:bookmarkStart w:id="1146" w:name="Tc_t0h4hMBxBEKze4GeLqk0mg_8_5"/>
      <w:bookmarkStart w:id="1147" w:name="Tc_J2-x-wgZq0CM-8NZ8DfzpA_8_2"/>
      <w:bookmarkStart w:id="1148" w:name="Tc_EmcZIT4reEOafsUuh-xjAQ_8_0"/>
      <w:bookmarkStart w:id="1149" w:name="Tc_nDdw63eIaEusVCAj1_SYsQ_7_0"/>
      <w:bookmarkStart w:id="1150" w:name="Tc_PST3fDP8bkaP2aFKeiWlCg_6_12"/>
      <w:bookmarkStart w:id="1151" w:name="Tc_Uw7EaVYrxEO5emwxkM8SwQ_6_11"/>
      <w:bookmarkStart w:id="1152" w:name="Tc_K2fT5aMhZ0ayYF6l_dSiXg_6_8"/>
      <w:bookmarkStart w:id="1153" w:name="Tc_Rl7sLHp1OkOMS4ArWX-wrA_6_6"/>
      <w:bookmarkStart w:id="1154" w:name="Tc_yBOb5INCqEWNXN8bwA98hw_6_5"/>
      <w:bookmarkStart w:id="1155" w:name="Tc_awxZwjIm_0u9CrID_ehqVQ_6_2"/>
      <w:bookmarkStart w:id="1156" w:name="Tc_qdCDKaGd1U26Gf3F9q3pXQ_6_0"/>
      <w:bookmarkStart w:id="1157" w:name="Tc_inoxyePDjUyCfsw9zUdeZg_5_12"/>
      <w:bookmarkStart w:id="1158" w:name="Tc_lGAogaDk9kK7ovB5dCoy4w_5_11"/>
      <w:bookmarkStart w:id="1159" w:name="Tc_aDeSPN2mI02ShmJZKtwedw_5_8"/>
      <w:bookmarkStart w:id="1160" w:name="Tc_rwjkvZw96Em0UnTZ0t4wpA_5_6"/>
      <w:bookmarkStart w:id="1161" w:name="Tc_MuH9kkK7gU-oSAEUp5w3hg_5_5"/>
      <w:bookmarkStart w:id="1162" w:name="Tc__s4fgeims0CGRiV2boA7Sw_5_2"/>
      <w:bookmarkStart w:id="1163" w:name="Tc_17IRi9m1rkypAd0UQg4xdw_5_0"/>
      <w:bookmarkStart w:id="1164" w:name="Tc_DcYjhzi_oUWERn5YqzWdng_4_12"/>
      <w:bookmarkStart w:id="1165" w:name="Tc_6c4orGpehk-eE1ByjOw34Q_4_11"/>
      <w:bookmarkStart w:id="1166" w:name="Tc_h8Y-WaWOmUusZSaPvyVpog_4_8"/>
      <w:bookmarkStart w:id="1167" w:name="Tc_Z2derQJBt0a68f5y1FqCGA_4_6"/>
      <w:bookmarkStart w:id="1168" w:name="Tc_3F5yKelZeEiMXZ8oMeE38Q_4_5"/>
      <w:bookmarkStart w:id="1169" w:name="Tc_MQjCC71rH0qdnrh2ZuXq-A_4_2"/>
      <w:bookmarkStart w:id="1170" w:name="Tc_nONS5BqtlEWaQymWCH7WOw_4_0"/>
      <w:bookmarkStart w:id="1171" w:name="Tc_KIXc8MkuL02_3TI3wyExWg_3_0"/>
      <w:bookmarkStart w:id="1172" w:name="Tc__Uw623H84kmUrh-BKwsUKw_2_11"/>
      <w:bookmarkStart w:id="1173" w:name="Tc_D4Q9ZAuv7kynP82Ortq2dQ_2_8"/>
      <w:bookmarkStart w:id="1174" w:name="Tc_pmOtyrZY0km_WyyfW094Cw_2_5"/>
      <w:bookmarkStart w:id="1175" w:name="Tc_rE49eJHBtkaeyajcDpqySA_2_2"/>
      <w:bookmarkStart w:id="1176" w:name="Tc_xNstkVi7MUGoejaS4dPE5A_1_5"/>
      <w:bookmarkStart w:id="1177" w:name="_d2a09599_84f9_4581_9e8b_b5b5a67ed9f7"/>
      <w:bookmarkStart w:id="1178" w:name="Tc_Rn7_4EoDWkiLqrNrZ6pI7A_7_11"/>
      <w:bookmarkStart w:id="1179" w:name="Tc_cdeUA_PeXEmBiyrErXe-yw_7_8"/>
      <w:bookmarkStart w:id="1180" w:name="Tc_a9JgD-7_KkCxoiAnMsBt8Q_7_5"/>
      <w:bookmarkStart w:id="1181" w:name="Tc_J044aECA_kO03sXV0KgaaQ_7_2"/>
      <w:bookmarkStart w:id="1182" w:name="Tc_UCq0TIWR40mT_qH3_OT1ZQ_7_0"/>
      <w:bookmarkStart w:id="1183" w:name="Tc_OsuWJlFbjU6EHD_eV9iTfQ_6_11"/>
      <w:bookmarkStart w:id="1184" w:name="Tc_Alc3Uou-206jolQyYq1Jhg_6_8"/>
      <w:bookmarkStart w:id="1185" w:name="Tc_q11b2LJR80eQo5K-_SMCwQ_6_5"/>
      <w:bookmarkStart w:id="1186" w:name="Tc_Uh7Db2OrQEiFcMH7kDVyww_6_2"/>
      <w:bookmarkStart w:id="1187" w:name="Tc_xfFOBHq3yUC8XZrsn_6NhA_6_0"/>
      <w:bookmarkStart w:id="1188" w:name="Tc_8EkjYZXxQka-HXDxpZyVkQ_5_11"/>
      <w:bookmarkStart w:id="1189" w:name="Tc_mQkcYZ8Y5EiGiTN90OczGA_5_8"/>
      <w:bookmarkStart w:id="1190" w:name="Tc_n44MwfNUIUCzwOKBzBIEGA_5_5"/>
      <w:bookmarkStart w:id="1191" w:name="Tc_krX2aoijLUqePOp0FMsx2g_5_2"/>
      <w:bookmarkStart w:id="1192" w:name="Tc_XKyd0KaNYUSXSPuKi0FItQ_5_0"/>
      <w:bookmarkStart w:id="1193" w:name="Tc_OFhfvkxtz0aHGpFmAFu8aA_4_11"/>
      <w:bookmarkStart w:id="1194" w:name="Tc_plUZpOj_60exzRu8rGl3AA_4_8"/>
      <w:bookmarkStart w:id="1195" w:name="Tc_7d6zFR-V70SlPZSCDEYMdQ_4_5"/>
      <w:bookmarkStart w:id="1196" w:name="Tc_1xTQYt3NPkWbG327MwH_cQ_4_2"/>
      <w:bookmarkStart w:id="1197" w:name="Tc_4dZNhn9UOUWBWIuXat6x4A_4_0"/>
      <w:bookmarkStart w:id="1198" w:name="Tc_EBgd3qpab0euSwfAYi35ww_3_11"/>
      <w:bookmarkStart w:id="1199" w:name="Tc_gFXvMm9P0UK5xqQCPC45HQ_3_8"/>
      <w:bookmarkStart w:id="1200" w:name="Tc_4Nmaa8wyiU2ut1vQCgR54w_3_5"/>
      <w:bookmarkStart w:id="1201" w:name="Tc__cIqr0YNYEqVED-7DSyo9g_3_2"/>
      <w:bookmarkStart w:id="1202" w:name="Tc_bQtOkVX80Ue5FkK37zxQpA_3_0"/>
      <w:bookmarkStart w:id="1203" w:name="Tc_hACx0gV-IU2206KJObRItQ_2_11"/>
      <w:bookmarkStart w:id="1204" w:name="Tc_VLFEtrVSeEWJt6zXF3n_tQ_2_8"/>
      <w:bookmarkStart w:id="1205" w:name="Tc_AyiEvF3AoU2UxYcQBGmmiQ_2_5"/>
      <w:bookmarkStart w:id="1206" w:name="Tc_L-N_j_1GVUyosshz0G5ZYQ_2_2"/>
      <w:bookmarkStart w:id="1207" w:name="Tc_Y_r3pyEHlkST347BJ4ZZRg_1_8"/>
      <w:bookmarkStart w:id="1208" w:name="Tc_cVzWksWLt0e38NAmUAiEAQ_1_2"/>
      <w:bookmarkStart w:id="1209" w:name="_05634ae2_d568_437c_a720_3b9b2ba7704b"/>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r>
        <w:rPr>
          <w:rFonts w:ascii="Times New Roman;Times;serif" w:hAnsi="Times New Roman;Times;serif"/>
          <w:b/>
          <w:sz w:val="20"/>
        </w:rPr>
        <w:t>NOTE 5. FAIR VALUE OF FINANCIAL INSTRUMENTS</w:t>
      </w:r>
    </w:p>
    <w:p>
      <w:pPr>
        <w:pStyle w:val="TextBody"/>
        <w:bidi w:val="0"/>
        <w:spacing w:lineRule="auto" w:line="256" w:before="0" w:after="0"/>
        <w:ind w:left="0" w:right="0" w:firstLine="360"/>
        <w:jc w:val="both"/>
        <w:rPr>
          <w:rFonts w:ascii="Times New Roman;Times;serif" w:hAnsi="Times New Roman;Times;serif"/>
          <w:sz w:val="20"/>
        </w:rPr>
      </w:pPr>
      <w:r>
        <w:rPr>
          <w:rFonts w:ascii="Times New Roman;Times;serif" w:hAnsi="Times New Roman;Times;serif"/>
          <w:sz w:val="20"/>
        </w:rPr>
        <w:t>The following table presents the carrying value and estimated fair value of the Company’s financial instruments not carried at fair value on the consolidated balance sheets at June 30, 2026 and December 31, 2025 (in thousands):</w:t>
      </w:r>
    </w:p>
    <w:p>
      <w:pPr>
        <w:pStyle w:val="TextBody"/>
        <w:bidi w:val="0"/>
        <w:spacing w:before="0" w:after="0"/>
        <w:ind w:left="0" w:right="0" w:firstLine="360"/>
        <w:jc w:val="both"/>
        <w:rPr/>
      </w:pPr>
      <w:r>
        <w:rPr/>
        <w:t>​</w:t>
      </w:r>
    </w:p>
    <w:tbl>
      <w:tblPr>
        <w:tblW w:w="10205" w:type="dxa"/>
        <w:jc w:val="left"/>
        <w:tblInd w:w="0" w:type="dxa"/>
        <w:tblLayout w:type="fixed"/>
        <w:tblCellMar>
          <w:top w:w="0" w:type="dxa"/>
          <w:left w:w="0" w:type="dxa"/>
          <w:bottom w:w="0" w:type="dxa"/>
          <w:right w:w="0" w:type="dxa"/>
        </w:tblCellMar>
      </w:tblPr>
      <w:tblGrid>
        <w:gridCol w:w="3051"/>
        <w:gridCol w:w="346"/>
        <w:gridCol w:w="273"/>
        <w:gridCol w:w="1011"/>
        <w:gridCol w:w="346"/>
        <w:gridCol w:w="335"/>
        <w:gridCol w:w="1246"/>
        <w:gridCol w:w="346"/>
        <w:gridCol w:w="273"/>
        <w:gridCol w:w="1011"/>
        <w:gridCol w:w="346"/>
        <w:gridCol w:w="307"/>
        <w:gridCol w:w="1314"/>
      </w:tblGrid>
      <w:tr>
        <w:trPr/>
        <w:tc>
          <w:tcPr>
            <w:tcW w:w="30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219710" cy="175260"/>
                      <wp:effectExtent l="0" t="0" r="0" b="0"/>
                      <wp:wrapNone/>
                      <wp:docPr id="187" name="Frame18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173355" cy="175260"/>
                      <wp:effectExtent l="0" t="0" r="0" b="0"/>
                      <wp:wrapNone/>
                      <wp:docPr id="188" name="Frame188"/>
                      <a:graphic xmlns:a="http://schemas.openxmlformats.org/drawingml/2006/main">
                        <a:graphicData uri="http://schemas.microsoft.com/office/word/2010/wordprocessingShape">
                          <wps:wsp>
                            <wps:cNvSpPr txBox="1"/>
                            <wps:spPr>
                              <a:xfrm>
                                <a:off x="0" y="0"/>
                                <a:ext cx="1733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41985" cy="175260"/>
                      <wp:effectExtent l="0" t="0" r="0" b="0"/>
                      <wp:wrapNone/>
                      <wp:docPr id="189" name="Frame189"/>
                      <a:graphic xmlns:a="http://schemas.openxmlformats.org/drawingml/2006/main">
                        <a:graphicData uri="http://schemas.microsoft.com/office/word/2010/wordprocessingShape">
                          <wps:wsp>
                            <wps:cNvSpPr txBox="1"/>
                            <wps:spPr>
                              <a:xfrm>
                                <a:off x="0" y="0"/>
                                <a:ext cx="641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219710" cy="175260"/>
                      <wp:effectExtent l="0" t="0" r="0" b="0"/>
                      <wp:wrapNone/>
                      <wp:docPr id="190" name="Frame19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212725" cy="175260"/>
                      <wp:effectExtent l="0" t="0" r="0" b="0"/>
                      <wp:wrapNone/>
                      <wp:docPr id="191" name="Frame191"/>
                      <a:graphic xmlns:a="http://schemas.openxmlformats.org/drawingml/2006/main">
                        <a:graphicData uri="http://schemas.microsoft.com/office/word/2010/wordprocessingShape">
                          <wps:wsp>
                            <wps:cNvSpPr txBox="1"/>
                            <wps:spPr>
                              <a:xfrm>
                                <a:off x="0" y="0"/>
                                <a:ext cx="2127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791210" cy="175260"/>
                      <wp:effectExtent l="0" t="0" r="0" b="0"/>
                      <wp:wrapNone/>
                      <wp:docPr id="192" name="Frame192"/>
                      <a:graphic xmlns:a="http://schemas.openxmlformats.org/drawingml/2006/main">
                        <a:graphicData uri="http://schemas.microsoft.com/office/word/2010/wordprocessingShape">
                          <wps:wsp>
                            <wps:cNvSpPr txBox="1"/>
                            <wps:spPr>
                              <a:xfrm>
                                <a:off x="0" y="0"/>
                                <a:ext cx="791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219710" cy="175260"/>
                      <wp:effectExtent l="0" t="0" r="0" b="0"/>
                      <wp:wrapNone/>
                      <wp:docPr id="193" name="Frame19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173355" cy="175260"/>
                      <wp:effectExtent l="0" t="0" r="0" b="0"/>
                      <wp:wrapNone/>
                      <wp:docPr id="194" name="Frame194"/>
                      <a:graphic xmlns:a="http://schemas.openxmlformats.org/drawingml/2006/main">
                        <a:graphicData uri="http://schemas.microsoft.com/office/word/2010/wordprocessingShape">
                          <wps:wsp>
                            <wps:cNvSpPr txBox="1"/>
                            <wps:spPr>
                              <a:xfrm>
                                <a:off x="0" y="0"/>
                                <a:ext cx="1733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41985" cy="175260"/>
                      <wp:effectExtent l="0" t="0" r="0" b="0"/>
                      <wp:wrapNone/>
                      <wp:docPr id="195" name="Frame195"/>
                      <a:graphic xmlns:a="http://schemas.openxmlformats.org/drawingml/2006/main">
                        <a:graphicData uri="http://schemas.microsoft.com/office/word/2010/wordprocessingShape">
                          <wps:wsp>
                            <wps:cNvSpPr txBox="1"/>
                            <wps:spPr>
                              <a:xfrm>
                                <a:off x="0" y="0"/>
                                <a:ext cx="641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219710" cy="175260"/>
                      <wp:effectExtent l="0" t="0" r="0" b="0"/>
                      <wp:wrapNone/>
                      <wp:docPr id="196" name="Frame19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194945" cy="175260"/>
                      <wp:effectExtent l="0" t="0" r="0" b="0"/>
                      <wp:wrapNone/>
                      <wp:docPr id="197" name="Frame197"/>
                      <a:graphic xmlns:a="http://schemas.openxmlformats.org/drawingml/2006/main">
                        <a:graphicData uri="http://schemas.microsoft.com/office/word/2010/wordprocessingShape">
                          <wps:wsp>
                            <wps:cNvSpPr txBox="1"/>
                            <wps:spPr>
                              <a:xfrm>
                                <a:off x="0" y="0"/>
                                <a:ext cx="1949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834390" cy="175260"/>
                      <wp:effectExtent l="0" t="0" r="0" b="0"/>
                      <wp:wrapNone/>
                      <wp:docPr id="198" name="Frame198"/>
                      <a:graphic xmlns:a="http://schemas.openxmlformats.org/drawingml/2006/main">
                        <a:graphicData uri="http://schemas.microsoft.com/office/word/2010/wordprocessingShape">
                          <wps:wsp>
                            <wps:cNvSpPr txBox="1"/>
                            <wps:spPr>
                              <a:xfrm>
                                <a:off x="0" y="0"/>
                                <a:ext cx="8343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211"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2026</w:t>
            </w:r>
          </w:p>
        </w:tc>
        <w:tc>
          <w:tcPr>
            <w:tcW w:w="346" w:type="dxa"/>
            <w:tcBorders/>
            <w:vAlign w:val="center"/>
          </w:tcPr>
          <w:p>
            <w:pPr>
              <w:pStyle w:val="TableContents"/>
              <w:bidi w:val="0"/>
              <w:spacing w:before="0" w:after="0"/>
              <w:ind w:left="0" w:right="0" w:hanging="0"/>
              <w:jc w:val="left"/>
              <w:rPr/>
            </w:pPr>
            <w:r>
              <w:rPr/>
              <w:t>​</w:t>
            </w:r>
          </w:p>
        </w:tc>
        <w:tc>
          <w:tcPr>
            <w:tcW w:w="3251"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2025</w:t>
            </w:r>
          </w:p>
        </w:tc>
      </w:tr>
      <w:tr>
        <w:trPr/>
        <w:tc>
          <w:tcPr>
            <w:tcW w:w="30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28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Carrying Value </w:t>
            </w:r>
          </w:p>
        </w:tc>
        <w:tc>
          <w:tcPr>
            <w:tcW w:w="346" w:type="dxa"/>
            <w:tcBorders/>
            <w:vAlign w:val="center"/>
          </w:tcPr>
          <w:p>
            <w:pPr>
              <w:pStyle w:val="TableContents"/>
              <w:bidi w:val="0"/>
              <w:spacing w:before="0" w:after="0"/>
              <w:ind w:left="0" w:right="0" w:hanging="0"/>
              <w:jc w:val="left"/>
              <w:rPr/>
            </w:pPr>
            <w:r>
              <w:rPr/>
              <w:t>  ​ ​ ​</w:t>
            </w:r>
          </w:p>
        </w:tc>
        <w:tc>
          <w:tcPr>
            <w:tcW w:w="15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Estimated Fair Value </w:t>
            </w:r>
          </w:p>
        </w:tc>
        <w:tc>
          <w:tcPr>
            <w:tcW w:w="346" w:type="dxa"/>
            <w:tcBorders/>
            <w:vAlign w:val="center"/>
          </w:tcPr>
          <w:p>
            <w:pPr>
              <w:pStyle w:val="TableContents"/>
              <w:bidi w:val="0"/>
              <w:spacing w:before="0" w:after="0"/>
              <w:ind w:left="0" w:right="0" w:hanging="0"/>
              <w:jc w:val="left"/>
              <w:rPr/>
            </w:pPr>
            <w:r>
              <w:rPr/>
              <w:t>  ​ ​ ​</w:t>
            </w:r>
          </w:p>
        </w:tc>
        <w:tc>
          <w:tcPr>
            <w:tcW w:w="128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Carrying Value </w:t>
            </w:r>
          </w:p>
        </w:tc>
        <w:tc>
          <w:tcPr>
            <w:tcW w:w="346" w:type="dxa"/>
            <w:tcBorders/>
            <w:vAlign w:val="center"/>
          </w:tcPr>
          <w:p>
            <w:pPr>
              <w:pStyle w:val="TableContents"/>
              <w:bidi w:val="0"/>
              <w:spacing w:before="0" w:after="0"/>
              <w:ind w:left="0" w:right="0" w:hanging="0"/>
              <w:jc w:val="left"/>
              <w:rPr/>
            </w:pPr>
            <w:r>
              <w:rPr/>
              <w:t>  ​ ​ ​</w:t>
            </w:r>
          </w:p>
        </w:tc>
        <w:tc>
          <w:tcPr>
            <w:tcW w:w="162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Estimated Fair Value</w:t>
            </w:r>
          </w:p>
        </w:tc>
      </w:tr>
      <w:tr>
        <w:trPr/>
        <w:tc>
          <w:tcPr>
            <w:tcW w:w="30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 - Level 1</w:t>
            </w:r>
          </w:p>
        </w:tc>
        <w:tc>
          <w:tcPr>
            <w:tcW w:w="346" w:type="dxa"/>
            <w:tcBorders/>
            <w:shd w:fill="CCEEFF" w:val="clear"/>
            <w:vAlign w:val="center"/>
          </w:tcPr>
          <w:p>
            <w:pPr>
              <w:pStyle w:val="TableContents"/>
              <w:bidi w:val="0"/>
              <w:spacing w:before="0" w:after="0"/>
              <w:ind w:left="0" w:right="0" w:hanging="0"/>
              <w:jc w:val="left"/>
              <w:rPr/>
            </w:pPr>
            <w:r>
              <w:rPr/>
              <w:t>​</w:t>
            </w:r>
          </w:p>
        </w:tc>
        <w:tc>
          <w:tcPr>
            <w:tcW w:w="27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2,778</w:t>
            </w:r>
          </w:p>
        </w:tc>
        <w:tc>
          <w:tcPr>
            <w:tcW w:w="346" w:type="dxa"/>
            <w:tcBorders/>
            <w:shd w:fill="CCEEFF" w:val="clear"/>
            <w:vAlign w:val="center"/>
          </w:tcPr>
          <w:p>
            <w:pPr>
              <w:pStyle w:val="TableContents"/>
              <w:bidi w:val="0"/>
              <w:spacing w:before="0" w:after="0"/>
              <w:ind w:left="0" w:right="0" w:hanging="0"/>
              <w:jc w:val="left"/>
              <w:rPr/>
            </w:pPr>
            <w:r>
              <w:rPr/>
              <w:t>​</w:t>
            </w:r>
          </w:p>
        </w:tc>
        <w:tc>
          <w:tcPr>
            <w:tcW w:w="33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2,778</w:t>
            </w:r>
          </w:p>
        </w:tc>
        <w:tc>
          <w:tcPr>
            <w:tcW w:w="346" w:type="dxa"/>
            <w:tcBorders/>
            <w:shd w:fill="CCEEFF" w:val="clear"/>
            <w:vAlign w:val="center"/>
          </w:tcPr>
          <w:p>
            <w:pPr>
              <w:pStyle w:val="TableContents"/>
              <w:bidi w:val="0"/>
              <w:spacing w:before="0" w:after="0"/>
              <w:ind w:left="0" w:right="0" w:hanging="0"/>
              <w:jc w:val="left"/>
              <w:rPr/>
            </w:pPr>
            <w:r>
              <w:rPr/>
              <w:t>​</w:t>
            </w:r>
          </w:p>
        </w:tc>
        <w:tc>
          <w:tcPr>
            <w:tcW w:w="27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4,589</w:t>
            </w:r>
          </w:p>
        </w:tc>
        <w:tc>
          <w:tcPr>
            <w:tcW w:w="346" w:type="dxa"/>
            <w:tcBorders/>
            <w:shd w:fill="CCEEFF" w:val="clear"/>
            <w:vAlign w:val="center"/>
          </w:tcPr>
          <w:p>
            <w:pPr>
              <w:pStyle w:val="TableContents"/>
              <w:bidi w:val="0"/>
              <w:spacing w:before="0" w:after="0"/>
              <w:ind w:left="0" w:right="0" w:hanging="0"/>
              <w:jc w:val="left"/>
              <w:rPr/>
            </w:pPr>
            <w:r>
              <w:rPr/>
              <w:t>​</w:t>
            </w:r>
          </w:p>
        </w:tc>
        <w:tc>
          <w:tcPr>
            <w:tcW w:w="30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4,589</w:t>
            </w:r>
          </w:p>
        </w:tc>
      </w:tr>
      <w:tr>
        <w:trPr/>
        <w:tc>
          <w:tcPr>
            <w:tcW w:w="30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Restricted Cash - Level 1</w:t>
            </w:r>
          </w:p>
        </w:tc>
        <w:tc>
          <w:tcPr>
            <w:tcW w:w="346" w:type="dxa"/>
            <w:tcBorders/>
            <w:vAlign w:val="center"/>
          </w:tcPr>
          <w:p>
            <w:pPr>
              <w:pStyle w:val="TableContents"/>
              <w:bidi w:val="0"/>
              <w:spacing w:before="0" w:after="0"/>
              <w:ind w:left="0" w:right="0" w:hanging="0"/>
              <w:jc w:val="left"/>
              <w:rPr/>
            </w:pPr>
            <w:r>
              <w:rPr/>
              <w:t>​</w:t>
            </w:r>
          </w:p>
        </w:tc>
        <w:tc>
          <w:tcPr>
            <w:tcW w:w="27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23,296</w:t>
            </w:r>
          </w:p>
        </w:tc>
        <w:tc>
          <w:tcPr>
            <w:tcW w:w="346" w:type="dxa"/>
            <w:tcBorders/>
            <w:vAlign w:val="center"/>
          </w:tcPr>
          <w:p>
            <w:pPr>
              <w:pStyle w:val="TableContents"/>
              <w:bidi w:val="0"/>
              <w:spacing w:before="0" w:after="0"/>
              <w:ind w:left="0" w:right="0" w:hanging="0"/>
              <w:jc w:val="left"/>
              <w:rPr/>
            </w:pPr>
            <w:r>
              <w:rPr/>
              <w:t>​</w:t>
            </w:r>
          </w:p>
        </w:tc>
        <w:tc>
          <w:tcPr>
            <w:tcW w:w="3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23,296</w:t>
            </w:r>
          </w:p>
        </w:tc>
        <w:tc>
          <w:tcPr>
            <w:tcW w:w="346" w:type="dxa"/>
            <w:tcBorders/>
            <w:vAlign w:val="center"/>
          </w:tcPr>
          <w:p>
            <w:pPr>
              <w:pStyle w:val="TableContents"/>
              <w:bidi w:val="0"/>
              <w:spacing w:before="0" w:after="0"/>
              <w:ind w:left="0" w:right="0" w:hanging="0"/>
              <w:jc w:val="left"/>
              <w:rPr/>
            </w:pPr>
            <w:r>
              <w:rPr/>
              <w:t>​</w:t>
            </w:r>
          </w:p>
        </w:tc>
        <w:tc>
          <w:tcPr>
            <w:tcW w:w="27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34,410</w:t>
            </w:r>
          </w:p>
        </w:tc>
        <w:tc>
          <w:tcPr>
            <w:tcW w:w="346" w:type="dxa"/>
            <w:tcBorders/>
            <w:vAlign w:val="center"/>
          </w:tcPr>
          <w:p>
            <w:pPr>
              <w:pStyle w:val="TableContents"/>
              <w:bidi w:val="0"/>
              <w:spacing w:before="0" w:after="0"/>
              <w:ind w:left="0" w:right="0" w:hanging="0"/>
              <w:jc w:val="left"/>
              <w:rPr/>
            </w:pPr>
            <w:r>
              <w:rPr/>
              <w:t>​</w:t>
            </w:r>
          </w:p>
        </w:tc>
        <w:tc>
          <w:tcPr>
            <w:tcW w:w="30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1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34,410</w:t>
            </w:r>
          </w:p>
        </w:tc>
      </w:tr>
      <w:tr>
        <w:trPr/>
        <w:tc>
          <w:tcPr>
            <w:tcW w:w="30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Commercial Loans and Investments - Level 2</w:t>
            </w:r>
          </w:p>
        </w:tc>
        <w:tc>
          <w:tcPr>
            <w:tcW w:w="346" w:type="dxa"/>
            <w:tcBorders/>
            <w:shd w:fill="CCEEFF" w:val="clear"/>
            <w:vAlign w:val="center"/>
          </w:tcPr>
          <w:p>
            <w:pPr>
              <w:pStyle w:val="TableContents"/>
              <w:bidi w:val="0"/>
              <w:spacing w:before="0" w:after="0"/>
              <w:ind w:left="0" w:right="0" w:hanging="0"/>
              <w:jc w:val="left"/>
              <w:rPr/>
            </w:pPr>
            <w:r>
              <w:rPr/>
              <w:t>​</w:t>
            </w:r>
          </w:p>
        </w:tc>
        <w:tc>
          <w:tcPr>
            <w:tcW w:w="27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238,575</w:t>
            </w:r>
          </w:p>
        </w:tc>
        <w:tc>
          <w:tcPr>
            <w:tcW w:w="346" w:type="dxa"/>
            <w:tcBorders/>
            <w:shd w:fill="CCEEFF" w:val="clear"/>
            <w:vAlign w:val="center"/>
          </w:tcPr>
          <w:p>
            <w:pPr>
              <w:pStyle w:val="TableContents"/>
              <w:bidi w:val="0"/>
              <w:spacing w:before="0" w:after="0"/>
              <w:ind w:left="0" w:right="0" w:hanging="0"/>
              <w:jc w:val="left"/>
              <w:rPr/>
            </w:pPr>
            <w:r>
              <w:rPr/>
              <w:t>​</w:t>
            </w:r>
          </w:p>
        </w:tc>
        <w:tc>
          <w:tcPr>
            <w:tcW w:w="33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249,019</w:t>
            </w:r>
          </w:p>
        </w:tc>
        <w:tc>
          <w:tcPr>
            <w:tcW w:w="346" w:type="dxa"/>
            <w:tcBorders/>
            <w:shd w:fill="CCEEFF" w:val="clear"/>
            <w:vAlign w:val="center"/>
          </w:tcPr>
          <w:p>
            <w:pPr>
              <w:pStyle w:val="TableContents"/>
              <w:bidi w:val="0"/>
              <w:spacing w:before="0" w:after="0"/>
              <w:ind w:left="0" w:right="0" w:hanging="0"/>
              <w:jc w:val="left"/>
              <w:rPr/>
            </w:pPr>
            <w:r>
              <w:rPr/>
              <w:t>​</w:t>
            </w:r>
          </w:p>
        </w:tc>
        <w:tc>
          <w:tcPr>
            <w:tcW w:w="27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167,553</w:t>
            </w:r>
          </w:p>
        </w:tc>
        <w:tc>
          <w:tcPr>
            <w:tcW w:w="346" w:type="dxa"/>
            <w:tcBorders/>
            <w:shd w:fill="CCEEFF" w:val="clear"/>
            <w:vAlign w:val="center"/>
          </w:tcPr>
          <w:p>
            <w:pPr>
              <w:pStyle w:val="TableContents"/>
              <w:bidi w:val="0"/>
              <w:spacing w:before="0" w:after="0"/>
              <w:ind w:left="0" w:right="0" w:hanging="0"/>
              <w:jc w:val="left"/>
              <w:rPr/>
            </w:pPr>
            <w:r>
              <w:rPr/>
              <w:t>​</w:t>
            </w:r>
          </w:p>
        </w:tc>
        <w:tc>
          <w:tcPr>
            <w:tcW w:w="30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179,214</w:t>
            </w:r>
          </w:p>
        </w:tc>
      </w:tr>
      <w:tr>
        <w:trPr/>
        <w:tc>
          <w:tcPr>
            <w:tcW w:w="30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Obligation Under Participation Agreement - Level 2</w:t>
            </w:r>
          </w:p>
        </w:tc>
        <w:tc>
          <w:tcPr>
            <w:tcW w:w="346" w:type="dxa"/>
            <w:tcBorders/>
            <w:vAlign w:val="center"/>
          </w:tcPr>
          <w:p>
            <w:pPr>
              <w:pStyle w:val="TableContents"/>
              <w:bidi w:val="0"/>
              <w:spacing w:before="0" w:after="0"/>
              <w:ind w:left="0" w:right="0" w:hanging="0"/>
              <w:jc w:val="left"/>
              <w:rPr/>
            </w:pPr>
            <w:r>
              <w:rPr/>
              <w:t>​</w:t>
            </w:r>
          </w:p>
        </w:tc>
        <w:tc>
          <w:tcPr>
            <w:tcW w:w="27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19,062</w:t>
            </w:r>
          </w:p>
        </w:tc>
        <w:tc>
          <w:tcPr>
            <w:tcW w:w="346" w:type="dxa"/>
            <w:tcBorders/>
            <w:vAlign w:val="center"/>
          </w:tcPr>
          <w:p>
            <w:pPr>
              <w:pStyle w:val="TableContents"/>
              <w:bidi w:val="0"/>
              <w:spacing w:before="0" w:after="0"/>
              <w:ind w:left="0" w:right="0" w:hanging="0"/>
              <w:jc w:val="left"/>
              <w:rPr/>
            </w:pPr>
            <w:r>
              <w:rPr/>
              <w:t>​</w:t>
            </w:r>
          </w:p>
        </w:tc>
        <w:tc>
          <w:tcPr>
            <w:tcW w:w="3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19,455</w:t>
            </w:r>
          </w:p>
        </w:tc>
        <w:tc>
          <w:tcPr>
            <w:tcW w:w="346" w:type="dxa"/>
            <w:tcBorders/>
            <w:vAlign w:val="center"/>
          </w:tcPr>
          <w:p>
            <w:pPr>
              <w:pStyle w:val="TableContents"/>
              <w:bidi w:val="0"/>
              <w:spacing w:before="0" w:after="0"/>
              <w:ind w:left="0" w:right="0" w:hanging="0"/>
              <w:jc w:val="left"/>
              <w:rPr/>
            </w:pPr>
            <w:r>
              <w:rPr/>
              <w:t>​</w:t>
            </w:r>
          </w:p>
        </w:tc>
        <w:tc>
          <w:tcPr>
            <w:tcW w:w="27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10,000</w:t>
            </w:r>
          </w:p>
        </w:tc>
        <w:tc>
          <w:tcPr>
            <w:tcW w:w="346" w:type="dxa"/>
            <w:tcBorders/>
            <w:vAlign w:val="center"/>
          </w:tcPr>
          <w:p>
            <w:pPr>
              <w:pStyle w:val="TableContents"/>
              <w:bidi w:val="0"/>
              <w:spacing w:before="0" w:after="0"/>
              <w:ind w:left="0" w:right="0" w:hanging="0"/>
              <w:jc w:val="left"/>
              <w:rPr/>
            </w:pPr>
            <w:r>
              <w:rPr/>
              <w:t>​</w:t>
            </w:r>
          </w:p>
        </w:tc>
        <w:tc>
          <w:tcPr>
            <w:tcW w:w="30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1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10,222</w:t>
            </w:r>
          </w:p>
        </w:tc>
      </w:tr>
      <w:tr>
        <w:trPr/>
        <w:tc>
          <w:tcPr>
            <w:tcW w:w="30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Debt - Level 2</w:t>
            </w:r>
          </w:p>
        </w:tc>
        <w:tc>
          <w:tcPr>
            <w:tcW w:w="346" w:type="dxa"/>
            <w:tcBorders/>
            <w:shd w:fill="CCEEFF" w:val="clear"/>
            <w:vAlign w:val="center"/>
          </w:tcPr>
          <w:p>
            <w:pPr>
              <w:pStyle w:val="TableContents"/>
              <w:bidi w:val="0"/>
              <w:spacing w:before="0" w:after="0"/>
              <w:ind w:left="0" w:right="0" w:hanging="0"/>
              <w:jc w:val="left"/>
              <w:rPr/>
            </w:pPr>
            <w:r>
              <w:rPr/>
              <w:t>​</w:t>
            </w:r>
          </w:p>
        </w:tc>
        <w:tc>
          <w:tcPr>
            <w:tcW w:w="27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367,552</w:t>
            </w:r>
          </w:p>
        </w:tc>
        <w:tc>
          <w:tcPr>
            <w:tcW w:w="346" w:type="dxa"/>
            <w:tcBorders/>
            <w:shd w:fill="CCEEFF" w:val="clear"/>
            <w:vAlign w:val="center"/>
          </w:tcPr>
          <w:p>
            <w:pPr>
              <w:pStyle w:val="TableContents"/>
              <w:bidi w:val="0"/>
              <w:spacing w:before="0" w:after="0"/>
              <w:ind w:left="0" w:right="0" w:hanging="0"/>
              <w:jc w:val="left"/>
              <w:rPr/>
            </w:pPr>
            <w:r>
              <w:rPr/>
              <w:t>​</w:t>
            </w:r>
          </w:p>
        </w:tc>
        <w:tc>
          <w:tcPr>
            <w:tcW w:w="33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361,594</w:t>
            </w:r>
          </w:p>
        </w:tc>
        <w:tc>
          <w:tcPr>
            <w:tcW w:w="346" w:type="dxa"/>
            <w:tcBorders/>
            <w:shd w:fill="CCEEFF" w:val="clear"/>
            <w:vAlign w:val="center"/>
          </w:tcPr>
          <w:p>
            <w:pPr>
              <w:pStyle w:val="TableContents"/>
              <w:bidi w:val="0"/>
              <w:spacing w:before="0" w:after="0"/>
              <w:ind w:left="0" w:right="0" w:hanging="0"/>
              <w:jc w:val="left"/>
              <w:rPr/>
            </w:pPr>
            <w:r>
              <w:rPr/>
              <w:t>​</w:t>
            </w:r>
          </w:p>
        </w:tc>
        <w:tc>
          <w:tcPr>
            <w:tcW w:w="27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377,739</w:t>
            </w:r>
          </w:p>
        </w:tc>
        <w:tc>
          <w:tcPr>
            <w:tcW w:w="346" w:type="dxa"/>
            <w:tcBorders/>
            <w:shd w:fill="CCEEFF" w:val="clear"/>
            <w:vAlign w:val="center"/>
          </w:tcPr>
          <w:p>
            <w:pPr>
              <w:pStyle w:val="TableContents"/>
              <w:bidi w:val="0"/>
              <w:spacing w:before="0" w:after="0"/>
              <w:ind w:left="0" w:right="0" w:hanging="0"/>
              <w:jc w:val="left"/>
              <w:rPr/>
            </w:pPr>
            <w:r>
              <w:rPr/>
              <w:t>​</w:t>
            </w:r>
          </w:p>
        </w:tc>
        <w:tc>
          <w:tcPr>
            <w:tcW w:w="30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14" w:type="dxa"/>
            <w:tcBorders/>
            <w:shd w:fill="CCEEFF" w:val="cle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376,286</w:t>
            </w:r>
          </w:p>
        </w:tc>
      </w:tr>
    </w:tbl>
    <w:p>
      <w:pPr>
        <w:pStyle w:val="TextBody"/>
        <w:bidi w:val="0"/>
        <w:spacing w:lineRule="auto" w:line="256" w:before="0" w:after="0"/>
        <w:ind w:left="0" w:right="0" w:hanging="0"/>
        <w:jc w:val="both"/>
        <w:rPr/>
      </w:pPr>
      <w:r>
        <w:rPr/>
        <w:t> </w:t>
      </w:r>
    </w:p>
    <w:p>
      <w:pPr>
        <w:pStyle w:val="TextBody"/>
        <w:bidi w:val="0"/>
        <w:spacing w:lineRule="auto" w:line="256" w:before="0" w:after="240"/>
        <w:ind w:left="0" w:right="0" w:hanging="0"/>
        <w:jc w:val="both"/>
        <w:rPr/>
      </w:pPr>
      <w:r>
        <w:rPr/>
        <w:t> </w:t>
      </w:r>
    </w:p>
    <w:p>
      <w:pPr>
        <w:pStyle w:val="TextBody"/>
        <w:bidi w:val="0"/>
        <w:spacing w:lineRule="auto" w:line="256" w:before="240" w:after="240"/>
        <w:ind w:left="0" w:right="0" w:firstLine="360"/>
        <w:jc w:val="both"/>
        <w:rPr>
          <w:rFonts w:ascii="Times New Roman;Times;serif" w:hAnsi="Times New Roman;Times;serif"/>
          <w:sz w:val="20"/>
        </w:rPr>
      </w:pPr>
      <w:r>
        <w:rPr>
          <w:rFonts w:ascii="Times New Roman;Times;serif" w:hAnsi="Times New Roman;Times;serif"/>
          <w:sz w:val="20"/>
        </w:rPr>
        <w:t>The estimated fair values are not necessarily indicative of the amount the Company could realize on disposition of the financial instruments. The use of different market assumptions or estimation methodologies could have a material effect on the estimated fair value amounts.</w:t>
      </w:r>
    </w:p>
    <w:p>
      <w:pPr>
        <w:pStyle w:val="TextBody"/>
        <w:bidi w:val="0"/>
        <w:spacing w:lineRule="auto" w:line="256" w:before="240" w:after="0"/>
        <w:ind w:left="0" w:right="0" w:firstLine="360"/>
        <w:jc w:val="both"/>
        <w:rPr>
          <w:rFonts w:ascii="Times New Roman;Times;serif" w:hAnsi="Times New Roman;Times;serif"/>
          <w:sz w:val="20"/>
        </w:rPr>
      </w:pPr>
      <w:r>
        <w:rPr>
          <w:rFonts w:ascii="Times New Roman;Times;serif" w:hAnsi="Times New Roman;Times;serif"/>
          <w:sz w:val="20"/>
        </w:rPr>
        <w:t>The following tables present the fair value of assets measured on a recurring basis by level as of June 30, 2026 and December 31, 2025 (in thousands). See Note 14, “Interest Rate Swaps” for further disclosure related to the Company’s interest rate swaps.</w:t>
      </w:r>
    </w:p>
    <w:p>
      <w:pPr>
        <w:pStyle w:val="TextBody"/>
        <w:bidi w:val="0"/>
        <w:spacing w:lineRule="auto" w:line="256" w:before="0" w:after="0"/>
        <w:ind w:left="0" w:right="0" w:firstLine="360"/>
        <w:jc w:val="both"/>
        <w:rPr/>
      </w:pPr>
      <w:r>
        <w:rPr/>
        <w:t>​</w:t>
      </w:r>
    </w:p>
    <w:tbl>
      <w:tblPr>
        <w:tblW w:w="10205" w:type="dxa"/>
        <w:jc w:val="left"/>
        <w:tblInd w:w="0" w:type="dxa"/>
        <w:tblLayout w:type="fixed"/>
        <w:tblCellMar>
          <w:top w:w="0" w:type="dxa"/>
          <w:left w:w="0" w:type="dxa"/>
          <w:bottom w:w="0" w:type="dxa"/>
          <w:right w:w="0" w:type="dxa"/>
        </w:tblCellMar>
      </w:tblPr>
      <w:tblGrid>
        <w:gridCol w:w="1897"/>
        <w:gridCol w:w="346"/>
        <w:gridCol w:w="229"/>
        <w:gridCol w:w="621"/>
        <w:gridCol w:w="346"/>
        <w:gridCol w:w="808"/>
        <w:gridCol w:w="1328"/>
        <w:gridCol w:w="361"/>
        <w:gridCol w:w="514"/>
        <w:gridCol w:w="1396"/>
        <w:gridCol w:w="361"/>
        <w:gridCol w:w="623"/>
        <w:gridCol w:w="1375"/>
      </w:tblGrid>
      <w:tr>
        <w:trPr/>
        <w:tc>
          <w:tcPr>
            <w:tcW w:w="18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1204595" cy="175260"/>
                      <wp:effectExtent l="0" t="0" r="0" b="0"/>
                      <wp:wrapNone/>
                      <wp:docPr id="199" name="Frame199"/>
                      <a:graphic xmlns:a="http://schemas.openxmlformats.org/drawingml/2006/main">
                        <a:graphicData uri="http://schemas.microsoft.com/office/word/2010/wordprocessingShape">
                          <wps:wsp>
                            <wps:cNvSpPr txBox="1"/>
                            <wps:spPr>
                              <a:xfrm>
                                <a:off x="0" y="0"/>
                                <a:ext cx="12045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219710" cy="175260"/>
                      <wp:effectExtent l="0" t="0" r="0" b="0"/>
                      <wp:wrapNone/>
                      <wp:docPr id="200" name="Frame20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145415" cy="175260"/>
                      <wp:effectExtent l="0" t="0" r="0" b="0"/>
                      <wp:wrapNone/>
                      <wp:docPr id="201" name="Frame201"/>
                      <a:graphic xmlns:a="http://schemas.openxmlformats.org/drawingml/2006/main">
                        <a:graphicData uri="http://schemas.microsoft.com/office/word/2010/wordprocessingShape">
                          <wps:wsp>
                            <wps:cNvSpPr txBox="1"/>
                            <wps:spPr>
                              <a:xfrm>
                                <a:off x="0" y="0"/>
                                <a:ext cx="1454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394335" cy="175260"/>
                      <wp:effectExtent l="0" t="0" r="0" b="0"/>
                      <wp:wrapNone/>
                      <wp:docPr id="202" name="Frame202"/>
                      <a:graphic xmlns:a="http://schemas.openxmlformats.org/drawingml/2006/main">
                        <a:graphicData uri="http://schemas.microsoft.com/office/word/2010/wordprocessingShape">
                          <wps:wsp>
                            <wps:cNvSpPr txBox="1"/>
                            <wps:spPr>
                              <a:xfrm>
                                <a:off x="0" y="0"/>
                                <a:ext cx="394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219710" cy="175260"/>
                      <wp:effectExtent l="0" t="0" r="0" b="0"/>
                      <wp:wrapNone/>
                      <wp:docPr id="203" name="Frame20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513080" cy="175260"/>
                      <wp:effectExtent l="0" t="0" r="0" b="0"/>
                      <wp:wrapNone/>
                      <wp:docPr id="204" name="Frame204"/>
                      <a:graphic xmlns:a="http://schemas.openxmlformats.org/drawingml/2006/main">
                        <a:graphicData uri="http://schemas.microsoft.com/office/word/2010/wordprocessingShape">
                          <wps:wsp>
                            <wps:cNvSpPr txBox="1"/>
                            <wps:spPr>
                              <a:xfrm>
                                <a:off x="0" y="0"/>
                                <a:ext cx="5130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843280" cy="175260"/>
                      <wp:effectExtent l="0" t="0" r="0" b="0"/>
                      <wp:wrapNone/>
                      <wp:docPr id="205" name="Frame205"/>
                      <a:graphic xmlns:a="http://schemas.openxmlformats.org/drawingml/2006/main">
                        <a:graphicData uri="http://schemas.microsoft.com/office/word/2010/wordprocessingShape">
                          <wps:wsp>
                            <wps:cNvSpPr txBox="1"/>
                            <wps:spPr>
                              <a:xfrm>
                                <a:off x="0" y="0"/>
                                <a:ext cx="8432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229235" cy="175260"/>
                      <wp:effectExtent l="0" t="0" r="0" b="0"/>
                      <wp:wrapNone/>
                      <wp:docPr id="206" name="Frame206"/>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326390" cy="175260"/>
                      <wp:effectExtent l="0" t="0" r="0" b="0"/>
                      <wp:wrapNone/>
                      <wp:docPr id="207" name="Frame207"/>
                      <a:graphic xmlns:a="http://schemas.openxmlformats.org/drawingml/2006/main">
                        <a:graphicData uri="http://schemas.microsoft.com/office/word/2010/wordprocessingShape">
                          <wps:wsp>
                            <wps:cNvSpPr txBox="1"/>
                            <wps:spPr>
                              <a:xfrm>
                                <a:off x="0" y="0"/>
                                <a:ext cx="3263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886460" cy="175260"/>
                      <wp:effectExtent l="0" t="0" r="0" b="0"/>
                      <wp:wrapNone/>
                      <wp:docPr id="208" name="Frame208"/>
                      <a:graphic xmlns:a="http://schemas.openxmlformats.org/drawingml/2006/main">
                        <a:graphicData uri="http://schemas.microsoft.com/office/word/2010/wordprocessingShape">
                          <wps:wsp>
                            <wps:cNvSpPr txBox="1"/>
                            <wps:spPr>
                              <a:xfrm>
                                <a:off x="0" y="0"/>
                                <a:ext cx="886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229235" cy="175260"/>
                      <wp:effectExtent l="0" t="0" r="0" b="0"/>
                      <wp:wrapNone/>
                      <wp:docPr id="209" name="Frame209"/>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395605" cy="175260"/>
                      <wp:effectExtent l="0" t="0" r="0" b="0"/>
                      <wp:wrapNone/>
                      <wp:docPr id="210" name="Frame210"/>
                      <a:graphic xmlns:a="http://schemas.openxmlformats.org/drawingml/2006/main">
                        <a:graphicData uri="http://schemas.microsoft.com/office/word/2010/wordprocessingShape">
                          <wps:wsp>
                            <wps:cNvSpPr txBox="1"/>
                            <wps:spPr>
                              <a:xfrm>
                                <a:off x="0" y="0"/>
                                <a:ext cx="3956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873125" cy="175260"/>
                      <wp:effectExtent l="0" t="0" r="0" b="0"/>
                      <wp:wrapNone/>
                      <wp:docPr id="211" name="Frame211"/>
                      <a:graphic xmlns:a="http://schemas.openxmlformats.org/drawingml/2006/main">
                        <a:graphicData uri="http://schemas.microsoft.com/office/word/2010/wordprocessingShape">
                          <wps:wsp>
                            <wps:cNvSpPr txBox="1"/>
                            <wps:spPr>
                              <a:xfrm>
                                <a:off x="0" y="0"/>
                                <a:ext cx="8731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9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29" w:type="dxa"/>
            <w:tcBorders/>
            <w:vAlign w:val="center"/>
          </w:tcPr>
          <w:p>
            <w:pPr>
              <w:pStyle w:val="TableContents"/>
              <w:bidi w:val="0"/>
              <w:spacing w:before="0" w:after="0"/>
              <w:ind w:left="0" w:right="0" w:hanging="0"/>
              <w:jc w:val="left"/>
              <w:rPr/>
            </w:pPr>
            <w:r>
              <w:rPr/>
              <w:t>​</w:t>
            </w:r>
          </w:p>
        </w:tc>
        <w:tc>
          <w:tcPr>
            <w:tcW w:w="6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766"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Fair Value at Reporting Date Using</w:t>
            </w:r>
          </w:p>
        </w:tc>
      </w:tr>
      <w:tr>
        <w:trPr/>
        <w:tc>
          <w:tcPr>
            <w:tcW w:w="189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8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Fair Value</w:t>
            </w:r>
          </w:p>
        </w:tc>
        <w:tc>
          <w:tcPr>
            <w:tcW w:w="346" w:type="dxa"/>
            <w:tcBorders/>
            <w:vAlign w:val="center"/>
          </w:tcPr>
          <w:p>
            <w:pPr>
              <w:pStyle w:val="TableContents"/>
              <w:bidi w:val="0"/>
              <w:spacing w:before="0" w:after="0"/>
              <w:ind w:left="0" w:right="0" w:hanging="0"/>
              <w:jc w:val="left"/>
              <w:rPr/>
            </w:pPr>
            <w:r>
              <w:rPr/>
              <w:t>  ​ ​ ​</w:t>
            </w:r>
          </w:p>
        </w:tc>
        <w:tc>
          <w:tcPr>
            <w:tcW w:w="213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Quoted Prices in Active Markets for Identical Assets (Level 1)</w:t>
            </w:r>
          </w:p>
        </w:tc>
        <w:tc>
          <w:tcPr>
            <w:tcW w:w="361" w:type="dxa"/>
            <w:tcBorders/>
            <w:vAlign w:val="center"/>
          </w:tcPr>
          <w:p>
            <w:pPr>
              <w:pStyle w:val="TableContents"/>
              <w:bidi w:val="0"/>
              <w:spacing w:before="0" w:after="0"/>
              <w:ind w:left="0" w:right="0" w:hanging="0"/>
              <w:jc w:val="left"/>
              <w:rPr/>
            </w:pPr>
            <w:r>
              <w:rPr/>
              <w:t>  ​ ​ ​</w:t>
            </w:r>
          </w:p>
        </w:tc>
        <w:tc>
          <w:tcPr>
            <w:tcW w:w="19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Significant Other Observable Inputs (Level 2)</w:t>
            </w:r>
          </w:p>
        </w:tc>
        <w:tc>
          <w:tcPr>
            <w:tcW w:w="361" w:type="dxa"/>
            <w:tcBorders/>
            <w:vAlign w:val="center"/>
          </w:tcPr>
          <w:p>
            <w:pPr>
              <w:pStyle w:val="TableContents"/>
              <w:bidi w:val="0"/>
              <w:spacing w:before="0" w:after="0"/>
              <w:ind w:left="0" w:right="0" w:hanging="0"/>
              <w:jc w:val="left"/>
              <w:rPr/>
            </w:pPr>
            <w:r>
              <w:rPr/>
              <w:t>  ​ ​ ​</w:t>
            </w:r>
          </w:p>
        </w:tc>
        <w:tc>
          <w:tcPr>
            <w:tcW w:w="199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Significant Unobservable Inputs (Level 3)</w:t>
            </w:r>
          </w:p>
        </w:tc>
      </w:tr>
      <w:tr>
        <w:trPr/>
        <w:tc>
          <w:tcPr>
            <w:tcW w:w="1897"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June 30, 2026</w:t>
            </w:r>
          </w:p>
        </w:tc>
        <w:tc>
          <w:tcPr>
            <w:tcW w:w="346" w:type="dxa"/>
            <w:tcBorders/>
            <w:shd w:fill="CCEEFF" w:val="clear"/>
            <w:vAlign w:val="center"/>
          </w:tcPr>
          <w:p>
            <w:pPr>
              <w:pStyle w:val="TableContents"/>
              <w:bidi w:val="0"/>
              <w:spacing w:before="0" w:after="0"/>
              <w:ind w:left="0" w:right="0" w:hanging="0"/>
              <w:jc w:val="left"/>
              <w:rPr/>
            </w:pPr>
            <w:r>
              <w:rPr/>
              <w:t>​</w:t>
            </w:r>
          </w:p>
        </w:tc>
        <w:tc>
          <w:tcPr>
            <w:tcW w:w="229" w:type="dxa"/>
            <w:tcBorders/>
            <w:shd w:fill="CCEEFF" w:val="clear"/>
            <w:vAlign w:val="center"/>
          </w:tcPr>
          <w:p>
            <w:pPr>
              <w:pStyle w:val="TableContents"/>
              <w:bidi w:val="0"/>
              <w:spacing w:before="0" w:after="0"/>
              <w:ind w:left="0" w:right="0" w:hanging="0"/>
              <w:jc w:val="left"/>
              <w:rPr/>
            </w:pPr>
            <w:r>
              <w:rPr/>
              <w:t>​</w:t>
            </w:r>
          </w:p>
        </w:tc>
        <w:tc>
          <w:tcPr>
            <w:tcW w:w="6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08" w:type="dxa"/>
            <w:tcBorders/>
            <w:shd w:fill="CCEEFF" w:val="clear"/>
            <w:vAlign w:val="center"/>
          </w:tcPr>
          <w:p>
            <w:pPr>
              <w:pStyle w:val="TableContents"/>
              <w:bidi w:val="0"/>
              <w:spacing w:before="0" w:after="0"/>
              <w:ind w:left="0" w:right="0" w:hanging="0"/>
              <w:jc w:val="left"/>
              <w:rPr/>
            </w:pPr>
            <w:r>
              <w:rPr/>
              <w:t>​</w:t>
            </w:r>
          </w:p>
        </w:tc>
        <w:tc>
          <w:tcPr>
            <w:tcW w:w="1328"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514" w:type="dxa"/>
            <w:tcBorders/>
            <w:shd w:fill="CCEEFF" w:val="clear"/>
            <w:vAlign w:val="center"/>
          </w:tcPr>
          <w:p>
            <w:pPr>
              <w:pStyle w:val="TableContents"/>
              <w:bidi w:val="0"/>
              <w:spacing w:before="0" w:after="0"/>
              <w:ind w:left="0" w:right="0" w:hanging="0"/>
              <w:jc w:val="left"/>
              <w:rPr/>
            </w:pPr>
            <w:r>
              <w:rPr/>
              <w:t>​</w:t>
            </w:r>
          </w:p>
        </w:tc>
        <w:tc>
          <w:tcPr>
            <w:tcW w:w="1396"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623" w:type="dxa"/>
            <w:tcBorders/>
            <w:shd w:fill="CCEEFF" w:val="clear"/>
            <w:vAlign w:val="center"/>
          </w:tcPr>
          <w:p>
            <w:pPr>
              <w:pStyle w:val="TableContents"/>
              <w:bidi w:val="0"/>
              <w:spacing w:before="0" w:after="0"/>
              <w:ind w:left="0" w:right="0" w:hanging="0"/>
              <w:jc w:val="left"/>
              <w:rPr/>
            </w:pPr>
            <w:r>
              <w:rPr/>
              <w:t>​</w:t>
            </w:r>
          </w:p>
        </w:tc>
        <w:tc>
          <w:tcPr>
            <w:tcW w:w="1375" w:type="dxa"/>
            <w:tcBorders/>
            <w:shd w:fill="CCEEFF" w:val="clear"/>
            <w:vAlign w:val="center"/>
          </w:tcPr>
          <w:p>
            <w:pPr>
              <w:pStyle w:val="TableContents"/>
              <w:bidi w:val="0"/>
              <w:spacing w:before="0" w:after="0"/>
              <w:ind w:left="0" w:right="0" w:hanging="0"/>
              <w:jc w:val="right"/>
              <w:rPr/>
            </w:pPr>
            <w:r>
              <w:rPr/>
              <w:t>​</w:t>
            </w:r>
          </w:p>
        </w:tc>
      </w:tr>
      <w:tr>
        <w:trPr/>
        <w:tc>
          <w:tcPr>
            <w:tcW w:w="1897"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2029 Term Loan Interest Rate Swap </w:t>
            </w:r>
            <w:r>
              <w:rPr>
                <w:rFonts w:ascii="Times New Roman;Times;serif" w:hAnsi="Times New Roman;Times;serif"/>
                <w:sz w:val="15"/>
              </w:rPr>
              <w:t>(1)</w:t>
            </w:r>
          </w:p>
        </w:tc>
        <w:tc>
          <w:tcPr>
            <w:tcW w:w="346" w:type="dxa"/>
            <w:tcBorders/>
            <w:vAlign w:val="center"/>
          </w:tcPr>
          <w:p>
            <w:pPr>
              <w:pStyle w:val="TableContents"/>
              <w:bidi w:val="0"/>
              <w:spacing w:before="0" w:after="0"/>
              <w:ind w:left="0" w:right="0" w:hanging="0"/>
              <w:jc w:val="left"/>
              <w:rPr/>
            </w:pPr>
            <w:r>
              <w:rPr/>
              <w:t>​</w:t>
            </w:r>
          </w:p>
        </w:tc>
        <w:tc>
          <w:tcPr>
            <w:tcW w:w="22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1,305</w:t>
            </w:r>
          </w:p>
        </w:tc>
        <w:tc>
          <w:tcPr>
            <w:tcW w:w="346" w:type="dxa"/>
            <w:tcBorders/>
            <w:vAlign w:val="center"/>
          </w:tcPr>
          <w:p>
            <w:pPr>
              <w:pStyle w:val="TableContents"/>
              <w:bidi w:val="0"/>
              <w:spacing w:before="0" w:after="0"/>
              <w:ind w:left="0" w:right="0" w:hanging="0"/>
              <w:jc w:val="left"/>
              <w:rPr/>
            </w:pPr>
            <w:r>
              <w:rPr/>
              <w:t>​</w:t>
            </w:r>
          </w:p>
        </w:tc>
        <w:tc>
          <w:tcPr>
            <w:tcW w:w="80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28"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pPr>
            <w:r>
              <w:rPr/>
              <w:t>​</w:t>
            </w:r>
          </w:p>
        </w:tc>
        <w:tc>
          <w:tcPr>
            <w:tcW w:w="51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1,305</w:t>
            </w:r>
          </w:p>
        </w:tc>
        <w:tc>
          <w:tcPr>
            <w:tcW w:w="361" w:type="dxa"/>
            <w:tcBorders/>
            <w:vAlign w:val="center"/>
          </w:tcPr>
          <w:p>
            <w:pPr>
              <w:pStyle w:val="TableContents"/>
              <w:bidi w:val="0"/>
              <w:spacing w:before="0" w:after="0"/>
              <w:ind w:left="0" w:right="0" w:hanging="0"/>
              <w:jc w:val="left"/>
              <w:rPr/>
            </w:pPr>
            <w:r>
              <w:rPr/>
              <w:t>​</w:t>
            </w:r>
          </w:p>
        </w:tc>
        <w:tc>
          <w:tcPr>
            <w:tcW w:w="62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75" w:type="dxa"/>
            <w:tcBorders/>
            <w:vAlign w:val="center"/>
          </w:tcPr>
          <w:p>
            <w:pPr>
              <w:pStyle w:val="TableContents"/>
              <w:bidi w:val="0"/>
              <w:spacing w:before="0" w:after="0"/>
              <w:ind w:left="0" w:right="0" w:hanging="0"/>
              <w:jc w:val="right"/>
              <w:rPr/>
            </w:pPr>
            <w:r>
              <w:rPr/>
              <w:t>—</w:t>
            </w:r>
          </w:p>
        </w:tc>
      </w:tr>
      <w:tr>
        <w:trPr/>
        <w:tc>
          <w:tcPr>
            <w:tcW w:w="1897"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2031 Term Loan Interest Rate Swap </w:t>
            </w:r>
            <w:r>
              <w:rPr>
                <w:rFonts w:ascii="Times New Roman;Times;serif" w:hAnsi="Times New Roman;Times;serif"/>
                <w:sz w:val="15"/>
              </w:rPr>
              <w:t>(2)</w:t>
            </w:r>
          </w:p>
        </w:tc>
        <w:tc>
          <w:tcPr>
            <w:tcW w:w="346" w:type="dxa"/>
            <w:tcBorders/>
            <w:shd w:fill="CCEEFF" w:val="clear"/>
            <w:vAlign w:val="center"/>
          </w:tcPr>
          <w:p>
            <w:pPr>
              <w:pStyle w:val="TableContents"/>
              <w:bidi w:val="0"/>
              <w:spacing w:before="0" w:after="0"/>
              <w:ind w:left="0" w:right="0" w:hanging="0"/>
              <w:jc w:val="left"/>
              <w:rPr/>
            </w:pPr>
            <w:r>
              <w:rPr/>
              <w:t>​</w:t>
            </w:r>
          </w:p>
        </w:tc>
        <w:tc>
          <w:tcPr>
            <w:tcW w:w="22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2,148</w:t>
            </w:r>
          </w:p>
        </w:tc>
        <w:tc>
          <w:tcPr>
            <w:tcW w:w="346" w:type="dxa"/>
            <w:tcBorders/>
            <w:shd w:fill="CCEEFF" w:val="clear"/>
            <w:vAlign w:val="center"/>
          </w:tcPr>
          <w:p>
            <w:pPr>
              <w:pStyle w:val="TableContents"/>
              <w:bidi w:val="0"/>
              <w:spacing w:before="0" w:after="0"/>
              <w:ind w:left="0" w:right="0" w:hanging="0"/>
              <w:jc w:val="left"/>
              <w:rPr/>
            </w:pPr>
            <w:r>
              <w:rPr/>
              <w:t>​</w:t>
            </w:r>
          </w:p>
        </w:tc>
        <w:tc>
          <w:tcPr>
            <w:tcW w:w="80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28"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51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2,148</w:t>
            </w:r>
          </w:p>
        </w:tc>
        <w:tc>
          <w:tcPr>
            <w:tcW w:w="361" w:type="dxa"/>
            <w:tcBorders/>
            <w:shd w:fill="CCEEFF" w:val="clear"/>
            <w:vAlign w:val="center"/>
          </w:tcPr>
          <w:p>
            <w:pPr>
              <w:pStyle w:val="TableContents"/>
              <w:bidi w:val="0"/>
              <w:spacing w:before="0" w:after="0"/>
              <w:ind w:left="0" w:right="0" w:hanging="0"/>
              <w:jc w:val="left"/>
              <w:rPr/>
            </w:pPr>
            <w:r>
              <w:rPr/>
              <w:t>​</w:t>
            </w:r>
          </w:p>
        </w:tc>
        <w:tc>
          <w:tcPr>
            <w:tcW w:w="62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75" w:type="dxa"/>
            <w:tcBorders/>
            <w:shd w:fill="CCEEFF" w:val="clear"/>
            <w:vAlign w:val="center"/>
          </w:tcPr>
          <w:p>
            <w:pPr>
              <w:pStyle w:val="TableContents"/>
              <w:bidi w:val="0"/>
              <w:spacing w:before="0" w:after="0"/>
              <w:ind w:left="0" w:right="0" w:hanging="0"/>
              <w:jc w:val="right"/>
              <w:rPr/>
            </w:pPr>
            <w:r>
              <w:rPr/>
              <w:t>—</w:t>
            </w:r>
          </w:p>
        </w:tc>
      </w:tr>
      <w:tr>
        <w:trPr/>
        <w:tc>
          <w:tcPr>
            <w:tcW w:w="1897"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Revolving Facility Interest Rate Swap </w:t>
            </w:r>
            <w:r>
              <w:rPr>
                <w:rFonts w:ascii="Times New Roman;Times;serif" w:hAnsi="Times New Roman;Times;serif"/>
                <w:sz w:val="15"/>
              </w:rPr>
              <w:t>(3)</w:t>
            </w:r>
          </w:p>
        </w:tc>
        <w:tc>
          <w:tcPr>
            <w:tcW w:w="346" w:type="dxa"/>
            <w:tcBorders/>
            <w:vAlign w:val="center"/>
          </w:tcPr>
          <w:p>
            <w:pPr>
              <w:pStyle w:val="TableContents"/>
              <w:bidi w:val="0"/>
              <w:spacing w:before="0" w:after="0"/>
              <w:ind w:left="0" w:right="0" w:hanging="0"/>
              <w:jc w:val="left"/>
              <w:rPr/>
            </w:pPr>
            <w:r>
              <w:rPr/>
              <w:t>​</w:t>
            </w:r>
          </w:p>
        </w:tc>
        <w:tc>
          <w:tcPr>
            <w:tcW w:w="22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680</w:t>
            </w:r>
          </w:p>
        </w:tc>
        <w:tc>
          <w:tcPr>
            <w:tcW w:w="346" w:type="dxa"/>
            <w:tcBorders/>
            <w:vAlign w:val="center"/>
          </w:tcPr>
          <w:p>
            <w:pPr>
              <w:pStyle w:val="TableContents"/>
              <w:bidi w:val="0"/>
              <w:spacing w:before="0" w:after="0"/>
              <w:ind w:left="0" w:right="0" w:hanging="0"/>
              <w:jc w:val="left"/>
              <w:rPr/>
            </w:pPr>
            <w:r>
              <w:rPr/>
              <w:t>​</w:t>
            </w:r>
          </w:p>
        </w:tc>
        <w:tc>
          <w:tcPr>
            <w:tcW w:w="80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28"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pPr>
            <w:r>
              <w:rPr/>
              <w:t>​</w:t>
            </w:r>
          </w:p>
        </w:tc>
        <w:tc>
          <w:tcPr>
            <w:tcW w:w="51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680</w:t>
            </w:r>
          </w:p>
        </w:tc>
        <w:tc>
          <w:tcPr>
            <w:tcW w:w="361" w:type="dxa"/>
            <w:tcBorders/>
            <w:vAlign w:val="center"/>
          </w:tcPr>
          <w:p>
            <w:pPr>
              <w:pStyle w:val="TableContents"/>
              <w:bidi w:val="0"/>
              <w:spacing w:before="0" w:after="0"/>
              <w:ind w:left="0" w:right="0" w:hanging="0"/>
              <w:jc w:val="left"/>
              <w:rPr/>
            </w:pPr>
            <w:r>
              <w:rPr/>
              <w:t>​</w:t>
            </w:r>
          </w:p>
        </w:tc>
        <w:tc>
          <w:tcPr>
            <w:tcW w:w="62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75" w:type="dxa"/>
            <w:tcBorders/>
            <w:vAlign w:val="center"/>
          </w:tcPr>
          <w:p>
            <w:pPr>
              <w:pStyle w:val="TableContents"/>
              <w:bidi w:val="0"/>
              <w:spacing w:before="0" w:after="0"/>
              <w:ind w:left="0" w:right="0" w:hanging="0"/>
              <w:jc w:val="right"/>
              <w:rPr/>
            </w:pPr>
            <w:r>
              <w:rPr/>
              <w:t>—</w:t>
            </w:r>
          </w:p>
        </w:tc>
      </w:tr>
      <w:tr>
        <w:trPr/>
        <w:tc>
          <w:tcPr>
            <w:tcW w:w="1897"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December 31, 2025</w:t>
            </w:r>
          </w:p>
        </w:tc>
        <w:tc>
          <w:tcPr>
            <w:tcW w:w="346" w:type="dxa"/>
            <w:tcBorders/>
            <w:shd w:fill="CCEEFF" w:val="clear"/>
            <w:vAlign w:val="center"/>
          </w:tcPr>
          <w:p>
            <w:pPr>
              <w:pStyle w:val="TableContents"/>
              <w:bidi w:val="0"/>
              <w:spacing w:before="0" w:after="0"/>
              <w:ind w:left="0" w:right="0" w:hanging="0"/>
              <w:jc w:val="left"/>
              <w:rPr/>
            </w:pPr>
            <w:r>
              <w:rPr/>
              <w:t>​</w:t>
            </w:r>
          </w:p>
        </w:tc>
        <w:tc>
          <w:tcPr>
            <w:tcW w:w="229" w:type="dxa"/>
            <w:tcBorders/>
            <w:shd w:fill="CCEEFF" w:val="clear"/>
            <w:vAlign w:val="center"/>
          </w:tcPr>
          <w:p>
            <w:pPr>
              <w:pStyle w:val="TableContents"/>
              <w:bidi w:val="0"/>
              <w:spacing w:before="0" w:after="0"/>
              <w:ind w:left="0" w:right="0" w:hanging="0"/>
              <w:jc w:val="left"/>
              <w:rPr/>
            </w:pPr>
            <w:r>
              <w:rPr/>
              <w:t>​</w:t>
            </w:r>
          </w:p>
        </w:tc>
        <w:tc>
          <w:tcPr>
            <w:tcW w:w="62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08" w:type="dxa"/>
            <w:tcBorders/>
            <w:shd w:fill="CCEEFF" w:val="clear"/>
            <w:vAlign w:val="center"/>
          </w:tcPr>
          <w:p>
            <w:pPr>
              <w:pStyle w:val="TableContents"/>
              <w:bidi w:val="0"/>
              <w:spacing w:before="0" w:after="0"/>
              <w:ind w:left="0" w:right="0" w:hanging="0"/>
              <w:jc w:val="left"/>
              <w:rPr/>
            </w:pPr>
            <w:r>
              <w:rPr/>
              <w:t>​</w:t>
            </w:r>
          </w:p>
        </w:tc>
        <w:tc>
          <w:tcPr>
            <w:tcW w:w="1328" w:type="dxa"/>
            <w:tcBorders/>
            <w:shd w:fill="CCEEFF" w:val="clear"/>
            <w:vAlign w:val="center"/>
          </w:tcPr>
          <w:p>
            <w:pPr>
              <w:pStyle w:val="TableContents"/>
              <w:bidi w:val="0"/>
              <w:spacing w:before="0" w:after="0"/>
              <w:ind w:left="0" w:right="0" w:hanging="0"/>
              <w:jc w:val="lef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514" w:type="dxa"/>
            <w:tcBorders/>
            <w:shd w:fill="CCEEFF" w:val="clear"/>
            <w:vAlign w:val="center"/>
          </w:tcPr>
          <w:p>
            <w:pPr>
              <w:pStyle w:val="TableContents"/>
              <w:bidi w:val="0"/>
              <w:spacing w:before="0" w:after="0"/>
              <w:ind w:left="0" w:right="0" w:hanging="0"/>
              <w:jc w:val="left"/>
              <w:rPr/>
            </w:pPr>
            <w:r>
              <w:rPr/>
              <w:t>​</w:t>
            </w:r>
          </w:p>
        </w:tc>
        <w:tc>
          <w:tcPr>
            <w:tcW w:w="1396" w:type="dxa"/>
            <w:tcBorders/>
            <w:shd w:fill="CCEEFF" w:val="clear"/>
            <w:vAlign w:val="center"/>
          </w:tcPr>
          <w:p>
            <w:pPr>
              <w:pStyle w:val="TableContents"/>
              <w:bidi w:val="0"/>
              <w:spacing w:before="0" w:after="0"/>
              <w:ind w:left="0" w:right="0" w:hanging="0"/>
              <w:jc w:val="lef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623" w:type="dxa"/>
            <w:tcBorders/>
            <w:shd w:fill="CCEEFF" w:val="clear"/>
            <w:vAlign w:val="center"/>
          </w:tcPr>
          <w:p>
            <w:pPr>
              <w:pStyle w:val="TableContents"/>
              <w:bidi w:val="0"/>
              <w:spacing w:before="0" w:after="0"/>
              <w:ind w:left="0" w:right="0" w:hanging="0"/>
              <w:jc w:val="left"/>
              <w:rPr/>
            </w:pPr>
            <w:r>
              <w:rPr/>
              <w:t>​</w:t>
            </w:r>
          </w:p>
        </w:tc>
        <w:tc>
          <w:tcPr>
            <w:tcW w:w="1375" w:type="dxa"/>
            <w:tcBorders/>
            <w:shd w:fill="CCEEFF" w:val="clear"/>
            <w:vAlign w:val="center"/>
          </w:tcPr>
          <w:p>
            <w:pPr>
              <w:pStyle w:val="TableContents"/>
              <w:bidi w:val="0"/>
              <w:spacing w:before="0" w:after="0"/>
              <w:ind w:left="0" w:right="0" w:hanging="0"/>
              <w:jc w:val="left"/>
              <w:rPr/>
            </w:pPr>
            <w:r>
              <w:rPr/>
              <w:t>​</w:t>
            </w:r>
          </w:p>
        </w:tc>
      </w:tr>
      <w:tr>
        <w:trPr/>
        <w:tc>
          <w:tcPr>
            <w:tcW w:w="189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2026 Term Loan Interest Rate Swap </w:t>
            </w:r>
          </w:p>
        </w:tc>
        <w:tc>
          <w:tcPr>
            <w:tcW w:w="346" w:type="dxa"/>
            <w:tcBorders/>
            <w:vAlign w:val="center"/>
          </w:tcPr>
          <w:p>
            <w:pPr>
              <w:pStyle w:val="TableContents"/>
              <w:bidi w:val="0"/>
              <w:spacing w:before="0" w:after="0"/>
              <w:ind w:left="0" w:right="0" w:hanging="0"/>
              <w:jc w:val="left"/>
              <w:rPr/>
            </w:pPr>
            <w:r>
              <w:rPr/>
              <w:t>​</w:t>
            </w:r>
          </w:p>
        </w:tc>
        <w:tc>
          <w:tcPr>
            <w:tcW w:w="22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624</w:t>
            </w:r>
          </w:p>
        </w:tc>
        <w:tc>
          <w:tcPr>
            <w:tcW w:w="346" w:type="dxa"/>
            <w:tcBorders/>
            <w:vAlign w:val="center"/>
          </w:tcPr>
          <w:p>
            <w:pPr>
              <w:pStyle w:val="TableContents"/>
              <w:bidi w:val="0"/>
              <w:spacing w:before="0" w:after="0"/>
              <w:ind w:left="0" w:right="0" w:hanging="0"/>
              <w:jc w:val="left"/>
              <w:rPr/>
            </w:pPr>
            <w:r>
              <w:rPr/>
              <w:t>​</w:t>
            </w:r>
          </w:p>
        </w:tc>
        <w:tc>
          <w:tcPr>
            <w:tcW w:w="80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28"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pPr>
            <w:r>
              <w:rPr/>
              <w:t>​</w:t>
            </w:r>
          </w:p>
        </w:tc>
        <w:tc>
          <w:tcPr>
            <w:tcW w:w="51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624</w:t>
            </w:r>
          </w:p>
        </w:tc>
        <w:tc>
          <w:tcPr>
            <w:tcW w:w="361" w:type="dxa"/>
            <w:tcBorders/>
            <w:vAlign w:val="center"/>
          </w:tcPr>
          <w:p>
            <w:pPr>
              <w:pStyle w:val="TableContents"/>
              <w:bidi w:val="0"/>
              <w:spacing w:before="0" w:after="0"/>
              <w:ind w:left="0" w:right="0" w:hanging="0"/>
              <w:jc w:val="left"/>
              <w:rPr/>
            </w:pPr>
            <w:r>
              <w:rPr/>
              <w:t>​</w:t>
            </w:r>
          </w:p>
        </w:tc>
        <w:tc>
          <w:tcPr>
            <w:tcW w:w="62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75" w:type="dxa"/>
            <w:tcBorders/>
            <w:vAlign w:val="center"/>
          </w:tcPr>
          <w:p>
            <w:pPr>
              <w:pStyle w:val="TableContents"/>
              <w:bidi w:val="0"/>
              <w:spacing w:before="0" w:after="0"/>
              <w:ind w:left="0" w:right="0" w:hanging="0"/>
              <w:jc w:val="right"/>
              <w:rPr/>
            </w:pPr>
            <w:r>
              <w:rPr/>
              <w:t>—</w:t>
            </w:r>
          </w:p>
        </w:tc>
      </w:tr>
      <w:tr>
        <w:trPr/>
        <w:tc>
          <w:tcPr>
            <w:tcW w:w="189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 Term Loan Interest Rate Swap</w:t>
            </w:r>
          </w:p>
        </w:tc>
        <w:tc>
          <w:tcPr>
            <w:tcW w:w="346" w:type="dxa"/>
            <w:tcBorders/>
            <w:shd w:fill="CCEEFF" w:val="clear"/>
            <w:vAlign w:val="center"/>
          </w:tcPr>
          <w:p>
            <w:pPr>
              <w:pStyle w:val="TableContents"/>
              <w:bidi w:val="0"/>
              <w:spacing w:before="0" w:after="0"/>
              <w:ind w:left="0" w:right="0" w:hanging="0"/>
              <w:jc w:val="left"/>
              <w:rPr/>
            </w:pPr>
            <w:r>
              <w:rPr/>
              <w:t>​</w:t>
            </w:r>
          </w:p>
        </w:tc>
        <w:tc>
          <w:tcPr>
            <w:tcW w:w="22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1,486</w:t>
            </w:r>
          </w:p>
        </w:tc>
        <w:tc>
          <w:tcPr>
            <w:tcW w:w="346" w:type="dxa"/>
            <w:tcBorders/>
            <w:shd w:fill="CCEEFF" w:val="clear"/>
            <w:vAlign w:val="center"/>
          </w:tcPr>
          <w:p>
            <w:pPr>
              <w:pStyle w:val="TableContents"/>
              <w:bidi w:val="0"/>
              <w:spacing w:before="0" w:after="0"/>
              <w:ind w:left="0" w:right="0" w:hanging="0"/>
              <w:jc w:val="left"/>
              <w:rPr/>
            </w:pPr>
            <w:r>
              <w:rPr/>
              <w:t>​</w:t>
            </w:r>
          </w:p>
        </w:tc>
        <w:tc>
          <w:tcPr>
            <w:tcW w:w="80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28"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51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1,486</w:t>
            </w:r>
          </w:p>
        </w:tc>
        <w:tc>
          <w:tcPr>
            <w:tcW w:w="361" w:type="dxa"/>
            <w:tcBorders/>
            <w:shd w:fill="CCEEFF" w:val="clear"/>
            <w:vAlign w:val="center"/>
          </w:tcPr>
          <w:p>
            <w:pPr>
              <w:pStyle w:val="TableContents"/>
              <w:bidi w:val="0"/>
              <w:spacing w:before="0" w:after="0"/>
              <w:ind w:left="0" w:right="0" w:hanging="0"/>
              <w:jc w:val="left"/>
              <w:rPr/>
            </w:pPr>
            <w:r>
              <w:rPr/>
              <w:t>​</w:t>
            </w:r>
          </w:p>
        </w:tc>
        <w:tc>
          <w:tcPr>
            <w:tcW w:w="62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75" w:type="dxa"/>
            <w:tcBorders/>
            <w:shd w:fill="CCEEFF" w:val="clear"/>
            <w:vAlign w:val="center"/>
          </w:tcPr>
          <w:p>
            <w:pPr>
              <w:pStyle w:val="TableContents"/>
              <w:bidi w:val="0"/>
              <w:spacing w:before="0" w:after="0"/>
              <w:ind w:left="0" w:right="0" w:hanging="0"/>
              <w:jc w:val="right"/>
              <w:rPr/>
            </w:pPr>
            <w:r>
              <w:rPr/>
              <w:t>—</w:t>
            </w:r>
          </w:p>
        </w:tc>
      </w:tr>
      <w:tr>
        <w:trPr/>
        <w:tc>
          <w:tcPr>
            <w:tcW w:w="189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Revolving Facility Interest Rate Swap</w:t>
            </w:r>
          </w:p>
        </w:tc>
        <w:tc>
          <w:tcPr>
            <w:tcW w:w="346" w:type="dxa"/>
            <w:tcBorders/>
            <w:vAlign w:val="center"/>
          </w:tcPr>
          <w:p>
            <w:pPr>
              <w:pStyle w:val="TableContents"/>
              <w:bidi w:val="0"/>
              <w:spacing w:before="0" w:after="0"/>
              <w:ind w:left="0" w:right="0" w:hanging="0"/>
              <w:jc w:val="left"/>
              <w:rPr/>
            </w:pPr>
            <w:r>
              <w:rPr/>
              <w:t>​</w:t>
            </w:r>
          </w:p>
        </w:tc>
        <w:tc>
          <w:tcPr>
            <w:tcW w:w="22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c>
          <w:tcPr>
            <w:tcW w:w="346" w:type="dxa"/>
            <w:tcBorders/>
            <w:vAlign w:val="center"/>
          </w:tcPr>
          <w:p>
            <w:pPr>
              <w:pStyle w:val="TableContents"/>
              <w:bidi w:val="0"/>
              <w:spacing w:before="0" w:after="0"/>
              <w:ind w:left="0" w:right="0" w:hanging="0"/>
              <w:jc w:val="left"/>
              <w:rPr/>
            </w:pPr>
            <w:r>
              <w:rPr/>
              <w:t>​</w:t>
            </w:r>
          </w:p>
        </w:tc>
        <w:tc>
          <w:tcPr>
            <w:tcW w:w="80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28"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pPr>
            <w:r>
              <w:rPr/>
              <w:t>​</w:t>
            </w:r>
          </w:p>
        </w:tc>
        <w:tc>
          <w:tcPr>
            <w:tcW w:w="51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c>
          <w:tcPr>
            <w:tcW w:w="361" w:type="dxa"/>
            <w:tcBorders/>
            <w:vAlign w:val="center"/>
          </w:tcPr>
          <w:p>
            <w:pPr>
              <w:pStyle w:val="TableContents"/>
              <w:bidi w:val="0"/>
              <w:spacing w:before="0" w:after="0"/>
              <w:ind w:left="0" w:right="0" w:hanging="0"/>
              <w:jc w:val="left"/>
              <w:rPr/>
            </w:pPr>
            <w:r>
              <w:rPr/>
              <w:t>​</w:t>
            </w:r>
          </w:p>
        </w:tc>
        <w:tc>
          <w:tcPr>
            <w:tcW w:w="62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75" w:type="dxa"/>
            <w:tcBorders/>
            <w:vAlign w:val="center"/>
          </w:tcPr>
          <w:p>
            <w:pPr>
              <w:pStyle w:val="TableContents"/>
              <w:bidi w:val="0"/>
              <w:spacing w:before="0" w:after="0"/>
              <w:ind w:left="0" w:right="72" w:hanging="0"/>
              <w:jc w:val="right"/>
              <w:rPr/>
            </w:pPr>
            <w:r>
              <w:rPr/>
              <w:t>—</w:t>
            </w:r>
          </w:p>
        </w:tc>
      </w:tr>
    </w:tbl>
    <w:tbl>
      <w:tblPr>
        <w:tblW w:w="10205" w:type="dxa"/>
        <w:jc w:val="left"/>
        <w:tblInd w:w="0" w:type="dxa"/>
        <w:tblLayout w:type="fixed"/>
        <w:tblCellMar>
          <w:top w:w="0" w:type="dxa"/>
          <w:left w:w="0" w:type="dxa"/>
          <w:bottom w:w="0" w:type="dxa"/>
          <w:right w:w="0" w:type="dxa"/>
        </w:tblCellMar>
      </w:tblPr>
      <w:tblGrid>
        <w:gridCol w:w="251"/>
        <w:gridCol w:w="9954"/>
      </w:tblGrid>
      <w:tr>
        <w:trPr/>
        <w:tc>
          <w:tcPr>
            <w:tcW w:w="251" w:type="dxa"/>
            <w:tcBorders/>
            <w:vAlign w:val="center"/>
          </w:tcPr>
          <w:p>
            <w:pPr>
              <w:pStyle w:val="TableContents"/>
              <w:bidi w:val="0"/>
              <w:spacing w:before="0" w:after="283"/>
              <w:jc w:val="left"/>
              <w:rPr>
                <w:rFonts w:ascii="Times New Roman;Times;serif" w:hAnsi="Times New Roman;Times;serif"/>
                <w:sz w:val="12"/>
              </w:rPr>
            </w:pPr>
            <w:r>
              <w:rPr>
                <w:rFonts w:ascii="Times New Roman;Times;serif" w:hAnsi="Times New Roman;Times;serif"/>
                <w:sz w:val="12"/>
              </w:rPr>
              <w:t>(1)</w:t>
            </w:r>
          </w:p>
        </w:tc>
        <w:tc>
          <w:tcPr>
            <w:tcW w:w="9954"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As of June 30, 2026, the Company has utilized interest rate swaps to fix SOFR and achieve a weighted average fixed interest rate of 3.36%</w:t>
            </w:r>
            <w:r>
              <w:rPr>
                <w:caps w:val="false"/>
                <w:smallCaps w:val="false"/>
              </w:rPr>
              <w:t xml:space="preserve"> </w:t>
            </w:r>
            <w:r>
              <w:rPr>
                <w:rFonts w:ascii="Times New Roman;Times;serif" w:hAnsi="Times New Roman;Times;serif"/>
                <w:b w:val="false"/>
                <w:i w:val="false"/>
                <w:caps w:val="false"/>
                <w:smallCaps w:val="false"/>
                <w:sz w:val="16"/>
              </w:rPr>
              <w:t>plus the</w:t>
            </w:r>
            <w:r>
              <w:rPr>
                <w:caps w:val="false"/>
                <w:smallCaps w:val="false"/>
              </w:rPr>
              <w:t xml:space="preserve"> </w:t>
            </w:r>
            <w:r>
              <w:rPr>
                <w:rFonts w:ascii="Times New Roman;Times;serif" w:hAnsi="Times New Roman;Times;serif"/>
                <w:b w:val="false"/>
                <w:i w:val="false"/>
                <w:caps w:val="false"/>
                <w:smallCaps w:val="false"/>
                <w:sz w:val="16"/>
              </w:rPr>
              <w:t>applicable spread on the $100.0</w:t>
            </w:r>
            <w:r>
              <w:rPr>
                <w:caps w:val="false"/>
                <w:smallCaps w:val="false"/>
              </w:rPr>
              <w:t xml:space="preserve"> </w:t>
            </w:r>
            <w:r>
              <w:rPr>
                <w:rFonts w:ascii="Times New Roman;Times;serif" w:hAnsi="Times New Roman;Times;serif"/>
                <w:b w:val="false"/>
                <w:i w:val="false"/>
                <w:caps w:val="false"/>
                <w:smallCaps w:val="false"/>
                <w:sz w:val="16"/>
              </w:rPr>
              <w:t xml:space="preserve">million 2029 Term Loan (hereinafter defined) balance. </w:t>
            </w:r>
          </w:p>
        </w:tc>
      </w:tr>
    </w:tbl>
    <w:tbl>
      <w:tblPr>
        <w:tblW w:w="10205" w:type="dxa"/>
        <w:jc w:val="left"/>
        <w:tblInd w:w="0" w:type="dxa"/>
        <w:tblLayout w:type="fixed"/>
        <w:tblCellMar>
          <w:top w:w="0" w:type="dxa"/>
          <w:left w:w="0" w:type="dxa"/>
          <w:bottom w:w="0" w:type="dxa"/>
          <w:right w:w="0" w:type="dxa"/>
        </w:tblCellMar>
      </w:tblPr>
      <w:tblGrid>
        <w:gridCol w:w="251"/>
        <w:gridCol w:w="9954"/>
      </w:tblGrid>
      <w:tr>
        <w:trPr/>
        <w:tc>
          <w:tcPr>
            <w:tcW w:w="251" w:type="dxa"/>
            <w:tcBorders/>
            <w:vAlign w:val="center"/>
          </w:tcPr>
          <w:p>
            <w:pPr>
              <w:pStyle w:val="TableContents"/>
              <w:bidi w:val="0"/>
              <w:spacing w:before="0" w:after="283"/>
              <w:jc w:val="left"/>
              <w:rPr>
                <w:rFonts w:ascii="Times New Roman;Times;serif" w:hAnsi="Times New Roman;Times;serif"/>
                <w:sz w:val="12"/>
              </w:rPr>
            </w:pPr>
            <w:r>
              <w:rPr>
                <w:rFonts w:ascii="Times New Roman;Times;serif" w:hAnsi="Times New Roman;Times;serif"/>
                <w:sz w:val="12"/>
              </w:rPr>
              <w:t>(2)</w:t>
            </w:r>
          </w:p>
        </w:tc>
        <w:tc>
          <w:tcPr>
            <w:tcW w:w="9954"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As of June 30, 2026, the Company has utilized interest rate swaps to fix SOFR and achieve a weighted average fixed interest rate of 2.05%</w:t>
            </w:r>
            <w:r>
              <w:rPr>
                <w:caps w:val="false"/>
                <w:smallCaps w:val="false"/>
              </w:rPr>
              <w:t xml:space="preserve"> </w:t>
            </w:r>
            <w:r>
              <w:rPr>
                <w:rFonts w:ascii="Times New Roman;Times;serif" w:hAnsi="Times New Roman;Times;serif"/>
                <w:b w:val="false"/>
                <w:i w:val="false"/>
                <w:caps w:val="false"/>
                <w:smallCaps w:val="false"/>
                <w:sz w:val="16"/>
              </w:rPr>
              <w:t>plus</w:t>
            </w:r>
            <w:r>
              <w:rPr>
                <w:caps w:val="false"/>
                <w:smallCaps w:val="false"/>
              </w:rPr>
              <w:t xml:space="preserve"> </w:t>
            </w:r>
            <w:r>
              <w:rPr>
                <w:rFonts w:ascii="Times New Roman;Times;serif" w:hAnsi="Times New Roman;Times;serif"/>
                <w:b w:val="false"/>
                <w:i w:val="false"/>
                <w:caps w:val="false"/>
                <w:smallCaps w:val="false"/>
                <w:sz w:val="16"/>
              </w:rPr>
              <w:t>the</w:t>
            </w:r>
            <w:r>
              <w:rPr>
                <w:caps w:val="false"/>
                <w:smallCaps w:val="false"/>
              </w:rPr>
              <w:t xml:space="preserve"> </w:t>
            </w:r>
            <w:r>
              <w:rPr>
                <w:rFonts w:ascii="Times New Roman;Times;serif" w:hAnsi="Times New Roman;Times;serif"/>
                <w:b w:val="false"/>
                <w:i w:val="false"/>
                <w:caps w:val="false"/>
                <w:smallCaps w:val="false"/>
                <w:sz w:val="16"/>
              </w:rPr>
              <w:t>applicable spread on the $100.0</w:t>
            </w:r>
            <w:r>
              <w:rPr>
                <w:caps w:val="false"/>
                <w:smallCaps w:val="false"/>
              </w:rPr>
              <w:t xml:space="preserve"> </w:t>
            </w:r>
            <w:r>
              <w:rPr>
                <w:rFonts w:ascii="Times New Roman;Times;serif" w:hAnsi="Times New Roman;Times;serif"/>
                <w:b w:val="false"/>
                <w:i w:val="false"/>
                <w:caps w:val="false"/>
                <w:smallCaps w:val="false"/>
                <w:sz w:val="16"/>
              </w:rPr>
              <w:t xml:space="preserve">million 2031 Term Loan (hereinafter defined) balance. </w:t>
            </w:r>
          </w:p>
        </w:tc>
      </w:tr>
    </w:tbl>
    <w:tbl>
      <w:tblPr>
        <w:tblW w:w="10205" w:type="dxa"/>
        <w:jc w:val="left"/>
        <w:tblInd w:w="0" w:type="dxa"/>
        <w:tblLayout w:type="fixed"/>
        <w:tblCellMar>
          <w:top w:w="0" w:type="dxa"/>
          <w:left w:w="0" w:type="dxa"/>
          <w:bottom w:w="0" w:type="dxa"/>
          <w:right w:w="0" w:type="dxa"/>
        </w:tblCellMar>
      </w:tblPr>
      <w:tblGrid>
        <w:gridCol w:w="249"/>
        <w:gridCol w:w="9956"/>
      </w:tblGrid>
      <w:tr>
        <w:trPr/>
        <w:tc>
          <w:tcPr>
            <w:tcW w:w="249" w:type="dxa"/>
            <w:tcBorders/>
            <w:vAlign w:val="center"/>
          </w:tcPr>
          <w:p>
            <w:pPr>
              <w:pStyle w:val="TableContents"/>
              <w:bidi w:val="0"/>
              <w:spacing w:before="0" w:after="283"/>
              <w:jc w:val="left"/>
              <w:rPr>
                <w:rFonts w:ascii="Times New Roman;Times;serif" w:hAnsi="Times New Roman;Times;serif"/>
                <w:sz w:val="12"/>
              </w:rPr>
            </w:pPr>
            <w:r>
              <w:rPr>
                <w:rFonts w:ascii="Times New Roman;Times;serif" w:hAnsi="Times New Roman;Times;serif"/>
                <w:sz w:val="12"/>
              </w:rPr>
              <w:t>(3)</w:t>
            </w:r>
          </w:p>
        </w:tc>
        <w:tc>
          <w:tcPr>
            <w:tcW w:w="9956"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As of June 30, 2026, the Company has utilized interest rate swaps to fix SOFR and achieve a weighted average fixed interest rate of 3.32%</w:t>
            </w:r>
            <w:r>
              <w:rPr>
                <w:caps w:val="false"/>
                <w:smallCaps w:val="false"/>
              </w:rPr>
              <w:t xml:space="preserve"> </w:t>
            </w:r>
            <w:r>
              <w:rPr>
                <w:rFonts w:ascii="Times New Roman;Times;serif" w:hAnsi="Times New Roman;Times;serif"/>
                <w:b w:val="false"/>
                <w:i w:val="false"/>
                <w:caps w:val="false"/>
                <w:smallCaps w:val="false"/>
                <w:sz w:val="16"/>
              </w:rPr>
              <w:t>plus the</w:t>
            </w:r>
            <w:r>
              <w:rPr>
                <w:caps w:val="false"/>
                <w:smallCaps w:val="false"/>
              </w:rPr>
              <w:t xml:space="preserve"> </w:t>
            </w:r>
            <w:r>
              <w:rPr>
                <w:rFonts w:ascii="Times New Roman;Times;serif" w:hAnsi="Times New Roman;Times;serif"/>
                <w:b w:val="false"/>
                <w:i w:val="false"/>
                <w:caps w:val="false"/>
                <w:smallCaps w:val="false"/>
                <w:sz w:val="16"/>
              </w:rPr>
              <w:t>applicable spread on $100.0</w:t>
            </w:r>
            <w:r>
              <w:rPr>
                <w:caps w:val="false"/>
                <w:smallCaps w:val="false"/>
              </w:rPr>
              <w:t xml:space="preserve"> </w:t>
            </w:r>
            <w:r>
              <w:rPr>
                <w:rFonts w:ascii="Times New Roman;Times;serif" w:hAnsi="Times New Roman;Times;serif"/>
                <w:b w:val="false"/>
                <w:i w:val="false"/>
                <w:caps w:val="false"/>
                <w:smallCaps w:val="false"/>
                <w:sz w:val="16"/>
              </w:rPr>
              <w:t xml:space="preserve">million of the outstanding balance on the Revolving Facility (hereinafter defined). </w:t>
            </w:r>
          </w:p>
        </w:tc>
      </w:tr>
    </w:tbl>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 6. INTANGIBLE ASSETS AND LIABILITIES</w:t>
      </w:r>
    </w:p>
    <w:p>
      <w:pPr>
        <w:pStyle w:val="TextBody"/>
        <w:bidi w:val="0"/>
        <w:spacing w:before="0" w:after="240"/>
        <w:ind w:left="0" w:right="0" w:hanging="0"/>
        <w:jc w:val="left"/>
        <w:rPr/>
      </w:pPr>
      <w:bookmarkStart w:id="1210" w:name="Tc_LRRASdlI8k-I8Qkil7WASw_9_8"/>
      <w:bookmarkStart w:id="1211" w:name="Tc_mT6HlU2JjkGmAa6jJE0zvg_9_5"/>
      <w:bookmarkStart w:id="1212" w:name="Tc_G4QLp-lq4kSMJdybiODGwA_9_2"/>
      <w:bookmarkStart w:id="1213" w:name="Tc_UGuSba8nHkC2A0P34jGpFQ_9_0"/>
      <w:bookmarkStart w:id="1214" w:name="Tc_NbFVd_he3kCziRwlW2eRQA_8_0"/>
      <w:bookmarkStart w:id="1215" w:name="Tc_43SXN9dGm0-EtxT-fo7fSg_7_0"/>
      <w:bookmarkStart w:id="1216" w:name="Tc_V-Zo5Czuf0W3S187xoE4_g_6_0"/>
      <w:bookmarkStart w:id="1217" w:name="Tc_MVg6q_6wsU-7oeO_cFo2LQ_5_0"/>
      <w:bookmarkStart w:id="1218" w:name="Tc_-JaYyMZ9NUaX_FS9Jq826w_4_0"/>
      <w:bookmarkStart w:id="1219" w:name="Tc_Pb9X0xnGk0-GVhJteycFhw_3_0"/>
      <w:bookmarkStart w:id="1220" w:name="Tc_S_4kwHBZQEKfpl3-moTBuQ_2_8"/>
      <w:bookmarkStart w:id="1221" w:name="Tc_wNFsOHnkSEGzHgFBwV45XQ_2_5"/>
      <w:bookmarkStart w:id="1222" w:name="Tc_lGDCbCMucE2MuQCz7JFO2w_2_2"/>
      <w:bookmarkStart w:id="1223" w:name="Tc_lq6Xy5qfLECdrVNo6ynbQg_2_0"/>
      <w:bookmarkStart w:id="1224" w:name="Tc_GghQm_PyQEy0Gx7tWvjyNw_1_8"/>
      <w:bookmarkStart w:id="1225" w:name="Tc_IIpaJ_K3uECjb62LVZVvYA_1_5"/>
      <w:bookmarkStart w:id="1226" w:name="Tc_iqG5MsNQlEKvJ3iIkj1qsA_1_2"/>
      <w:bookmarkStart w:id="1227" w:name="Tc_D-c9Z_iMqk-iEFVzWTufuA_1_0"/>
      <w:bookmarkStart w:id="1228" w:name="_17e6c836_3b17_4013_b10f_717c0dd87205"/>
      <w:bookmarkStart w:id="1229" w:name="Tc_Bwb_tpcj00eLQDBMu6IjLA_5_11"/>
      <w:bookmarkStart w:id="1230" w:name="Tc_6YTpgHi0dEy0c4x_2VkAkA_5_8"/>
      <w:bookmarkStart w:id="1231" w:name="Tc_1f5SWH7E802DQF6FGuHt7w_5_5"/>
      <w:bookmarkStart w:id="1232" w:name="Tc_qcuIXyRpTUGndQlkU9lA1w_5_2"/>
      <w:bookmarkStart w:id="1233" w:name="Tc_ENFWubacSUOf6tOP0IJGbA_5_0"/>
      <w:bookmarkStart w:id="1234" w:name="Tc_BC2ykizhVEeZ4TjGXgmaiQ_4_0"/>
      <w:bookmarkStart w:id="1235" w:name="Tc_WIKIallC2UqRQKvKMMs7xg_3_11"/>
      <w:bookmarkStart w:id="1236" w:name="Tc_1lcZb-W_5kOFSNiMn05nQw_3_8"/>
      <w:bookmarkStart w:id="1237" w:name="Tc_hc7vkxF0o0ey5ilHH4Kb8g_3_5"/>
      <w:bookmarkStart w:id="1238" w:name="Tc_SUYXtHH0KkKmLyMyCsOKbQ_3_2"/>
      <w:bookmarkStart w:id="1239" w:name="Tc_Y6lqijA5PUOP1GdlvvUQZg_3_0"/>
      <w:bookmarkStart w:id="1240" w:name="Tc_RYwMwk4E60CHXANYF15LCg_2_11"/>
      <w:bookmarkStart w:id="1241" w:name="Tc_0CGAPvoteUqwkH0x3AkR0w_2_8"/>
      <w:bookmarkStart w:id="1242" w:name="Tc_I5Hkmjn4GUCpUxCzdB4tLQ_2_5"/>
      <w:bookmarkStart w:id="1243" w:name="Tc_YvJ8Wepd_UuSywBV17D3cA_2_2"/>
      <w:bookmarkStart w:id="1244" w:name="Tc_33yQhtpxDk6s6THZJnZteg_1_8"/>
      <w:bookmarkStart w:id="1245" w:name="Tc_L6skuKFolkacfzQy07rdIA_1_2"/>
      <w:bookmarkStart w:id="1246" w:name="_1fd82911_41be_4a19_903e_b5fea5ca3c4e"/>
      <w:bookmarkStart w:id="1247" w:name="Tc_2MMF9iKmP06lxGExbvdLIg_15_5"/>
      <w:bookmarkStart w:id="1248" w:name="Tc_OMDpTGhaBUai2cicRPFO8Q_15_2"/>
      <w:bookmarkStart w:id="1249" w:name="Tc_sVZnSbGe4EuZv3KFUHOxdQ_15_0"/>
      <w:bookmarkStart w:id="1250" w:name="Tc_TJZyNt9S-U-w39YT6RSwQQ_14_0"/>
      <w:bookmarkStart w:id="1251" w:name="Tc_cynM7LXe7U2XHBZEXc1BUQ_13_0"/>
      <w:bookmarkStart w:id="1252" w:name="Tc_j3cXgaLnP0-4Io9YDd_mfg_12_0"/>
      <w:bookmarkStart w:id="1253" w:name="Tc_RawlgFlG-0SidGCABHh7eA_11_0"/>
      <w:bookmarkStart w:id="1254" w:name="Tc_O-Ts9xoN1Uyas3v6aW9Mlg_10_0"/>
      <w:bookmarkStart w:id="1255" w:name="Tc_Vznh-pTrT0SjysAMujmogg_9_0"/>
      <w:bookmarkStart w:id="1256" w:name="Tc_zrV5b7-AdUGmLKEQGmtLxA_8_0"/>
      <w:bookmarkStart w:id="1257" w:name="Tc_dsMx8quhSk2hYWisIb2adw_7_0"/>
      <w:bookmarkStart w:id="1258" w:name="Tc_D1mGbZjsKUekI5rB8T3inA_6_0"/>
      <w:bookmarkStart w:id="1259" w:name="Tc_TFjLmqcw6kKgUI5jR5eSNw_5_0"/>
      <w:bookmarkStart w:id="1260" w:name="Tc_-CgO8kT39UqKAI02wnX61A_4_5"/>
      <w:bookmarkStart w:id="1261" w:name="Tc_tQGhf-NRK0WnKl5qbntvwA_4_2"/>
      <w:bookmarkStart w:id="1262" w:name="Tc_Ndkh72ZKI0uE4CJif7SH9A_4_0"/>
      <w:bookmarkStart w:id="1263" w:name="Tc_jF4UuHqVaEm3f1LL9y7uVw_3_0"/>
      <w:bookmarkStart w:id="1264" w:name="Tc_Pru76t_7R0yksWuBcH_wcQ_2_5"/>
      <w:bookmarkStart w:id="1265" w:name="Tc_tYI55U1Bx0my8KrNSwBvhA_2_2"/>
      <w:bookmarkStart w:id="1266" w:name="Tc_N_3YWqOO7EuvNk9jE2EqSA_1_2"/>
      <w:bookmarkStart w:id="1267" w:name="_5e6ec2aa_8662_461b_8886_8ad6e2defde2"/>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Intangible assets and liabilities consist of the value of above-market and below-market leases, the value of in-place leases, and the value of leasing costs. Intangible assets and liabilities consisted of the following as of June 30, 2026 and December 31, 2025 (in thousands):</w:t>
      </w:r>
    </w:p>
    <w:p>
      <w:pPr>
        <w:pStyle w:val="TextBody"/>
        <w:bidi w:val="0"/>
        <w:spacing w:before="0" w:after="0"/>
        <w:ind w:left="0" w:right="0" w:firstLine="360"/>
        <w:jc w:val="both"/>
        <w:rPr/>
      </w:pPr>
      <w:r>
        <w:rPr/>
        <w:t>​</w:t>
      </w:r>
    </w:p>
    <w:tbl>
      <w:tblPr>
        <w:tblW w:w="6969" w:type="dxa"/>
        <w:jc w:val="left"/>
        <w:tblInd w:w="0" w:type="dxa"/>
        <w:tblLayout w:type="fixed"/>
        <w:tblCellMar>
          <w:top w:w="0" w:type="dxa"/>
          <w:left w:w="0" w:type="dxa"/>
          <w:bottom w:w="0" w:type="dxa"/>
          <w:right w:w="0" w:type="dxa"/>
        </w:tblCellMar>
      </w:tblPr>
      <w:tblGrid>
        <w:gridCol w:w="3706"/>
        <w:gridCol w:w="109"/>
        <w:gridCol w:w="267"/>
        <w:gridCol w:w="1008"/>
        <w:gridCol w:w="109"/>
        <w:gridCol w:w="371"/>
        <w:gridCol w:w="1399"/>
      </w:tblGrid>
      <w:tr>
        <w:trPr/>
        <w:tc>
          <w:tcPr>
            <w:tcW w:w="370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69215" cy="175260"/>
                      <wp:effectExtent l="0" t="0" r="0" b="0"/>
                      <wp:wrapNone/>
                      <wp:docPr id="212" name="Frame21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169545" cy="175260"/>
                      <wp:effectExtent l="0" t="0" r="0" b="0"/>
                      <wp:wrapNone/>
                      <wp:docPr id="213" name="Frame213"/>
                      <a:graphic xmlns:a="http://schemas.openxmlformats.org/drawingml/2006/main">
                        <a:graphicData uri="http://schemas.microsoft.com/office/word/2010/wordprocessingShape">
                          <wps:wsp>
                            <wps:cNvSpPr txBox="1"/>
                            <wps:spPr>
                              <a:xfrm>
                                <a:off x="0" y="0"/>
                                <a:ext cx="1695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640080" cy="175260"/>
                      <wp:effectExtent l="0" t="0" r="0" b="0"/>
                      <wp:wrapNone/>
                      <wp:docPr id="214" name="Frame214"/>
                      <a:graphic xmlns:a="http://schemas.openxmlformats.org/drawingml/2006/main">
                        <a:graphicData uri="http://schemas.microsoft.com/office/word/2010/wordprocessingShape">
                          <wps:wsp>
                            <wps:cNvSpPr txBox="1"/>
                            <wps:spPr>
                              <a:xfrm>
                                <a:off x="0" y="0"/>
                                <a:ext cx="6400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69215" cy="175260"/>
                      <wp:effectExtent l="0" t="0" r="0" b="0"/>
                      <wp:wrapNone/>
                      <wp:docPr id="215" name="Frame21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235585" cy="175260"/>
                      <wp:effectExtent l="0" t="0" r="0" b="0"/>
                      <wp:wrapNone/>
                      <wp:docPr id="216" name="Frame216"/>
                      <a:graphic xmlns:a="http://schemas.openxmlformats.org/drawingml/2006/main">
                        <a:graphicData uri="http://schemas.microsoft.com/office/word/2010/wordprocessingShape">
                          <wps:wsp>
                            <wps:cNvSpPr txBox="1"/>
                            <wps:spPr>
                              <a:xfrm>
                                <a:off x="0" y="0"/>
                                <a:ext cx="235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888365" cy="175260"/>
                      <wp:effectExtent l="0" t="0" r="0" b="0"/>
                      <wp:wrapNone/>
                      <wp:docPr id="217" name="Frame217"/>
                      <a:graphic xmlns:a="http://schemas.openxmlformats.org/drawingml/2006/main">
                        <a:graphicData uri="http://schemas.microsoft.com/office/word/2010/wordprocessingShape">
                          <wps:wsp>
                            <wps:cNvSpPr txBox="1"/>
                            <wps:spPr>
                              <a:xfrm>
                                <a:off x="0" y="0"/>
                                <a:ext cx="8883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0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15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As of </w:t>
            </w:r>
          </w:p>
        </w:tc>
      </w:tr>
      <w:tr>
        <w:trPr/>
        <w:tc>
          <w:tcPr>
            <w:tcW w:w="370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2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2026</w:t>
            </w:r>
          </w:p>
        </w:tc>
        <w:tc>
          <w:tcPr>
            <w:tcW w:w="109" w:type="dxa"/>
            <w:tcBorders/>
            <w:vAlign w:val="center"/>
          </w:tcPr>
          <w:p>
            <w:pPr>
              <w:pStyle w:val="TableContents"/>
              <w:bidi w:val="0"/>
              <w:spacing w:before="0" w:after="0"/>
              <w:ind w:left="0" w:right="0" w:hanging="0"/>
              <w:jc w:val="left"/>
              <w:rPr/>
            </w:pPr>
            <w:r>
              <w:rPr/>
              <w:t>​</w:t>
            </w:r>
          </w:p>
        </w:tc>
        <w:tc>
          <w:tcPr>
            <w:tcW w:w="17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2025</w:t>
            </w:r>
          </w:p>
        </w:tc>
      </w:tr>
      <w:tr>
        <w:trPr/>
        <w:tc>
          <w:tcPr>
            <w:tcW w:w="37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Intangible Lease Assets:</w:t>
            </w:r>
          </w:p>
        </w:tc>
        <w:tc>
          <w:tcPr>
            <w:tcW w:w="109"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left"/>
              <w:rPr/>
            </w:pPr>
            <w:r>
              <w:rPr/>
              <w:t>​</w:t>
            </w:r>
          </w:p>
        </w:tc>
        <w:tc>
          <w:tcPr>
            <w:tcW w:w="1008"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71" w:type="dxa"/>
            <w:tcBorders/>
            <w:shd w:fill="CCEEFF" w:val="clear"/>
            <w:vAlign w:val="center"/>
          </w:tcPr>
          <w:p>
            <w:pPr>
              <w:pStyle w:val="TableContents"/>
              <w:bidi w:val="0"/>
              <w:spacing w:before="0" w:after="0"/>
              <w:ind w:left="0" w:right="0" w:hanging="0"/>
              <w:jc w:val="left"/>
              <w:rPr/>
            </w:pPr>
            <w:r>
              <w:rPr/>
              <w:t>​</w:t>
            </w:r>
          </w:p>
        </w:tc>
        <w:tc>
          <w:tcPr>
            <w:tcW w:w="1399" w:type="dxa"/>
            <w:tcBorders/>
            <w:shd w:fill="CCEEFF" w:val="clear"/>
            <w:vAlign w:val="center"/>
          </w:tcPr>
          <w:p>
            <w:pPr>
              <w:pStyle w:val="TableContents"/>
              <w:bidi w:val="0"/>
              <w:spacing w:before="0" w:after="0"/>
              <w:ind w:left="0" w:right="0" w:hanging="0"/>
              <w:jc w:val="right"/>
              <w:rPr/>
            </w:pPr>
            <w:r>
              <w:rPr/>
              <w:t>​</w:t>
            </w:r>
          </w:p>
        </w:tc>
      </w:tr>
      <w:tr>
        <w:trPr/>
        <w:tc>
          <w:tcPr>
            <w:tcW w:w="3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Value of In-Place Leases</w:t>
            </w:r>
          </w:p>
        </w:tc>
        <w:tc>
          <w:tcPr>
            <w:tcW w:w="109" w:type="dxa"/>
            <w:tcBorders/>
            <w:vAlign w:val="center"/>
          </w:tcPr>
          <w:p>
            <w:pPr>
              <w:pStyle w:val="TableContents"/>
              <w:bidi w:val="0"/>
              <w:spacing w:before="0" w:after="0"/>
              <w:ind w:left="0" w:right="0" w:hanging="0"/>
              <w:jc w:val="left"/>
              <w:rPr/>
            </w:pPr>
            <w:r>
              <w:rPr/>
              <w:t>​</w:t>
            </w:r>
          </w:p>
        </w:tc>
        <w:tc>
          <w:tcPr>
            <w:tcW w:w="26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0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58,688</w:t>
            </w:r>
          </w:p>
        </w:tc>
        <w:tc>
          <w:tcPr>
            <w:tcW w:w="109" w:type="dxa"/>
            <w:tcBorders/>
            <w:vAlign w:val="center"/>
          </w:tcPr>
          <w:p>
            <w:pPr>
              <w:pStyle w:val="TableContents"/>
              <w:bidi w:val="0"/>
              <w:spacing w:before="0" w:after="0"/>
              <w:ind w:left="0" w:right="0" w:hanging="0"/>
              <w:jc w:val="left"/>
              <w:rPr/>
            </w:pPr>
            <w:r>
              <w:rPr/>
              <w:t>​</w:t>
            </w:r>
          </w:p>
        </w:tc>
        <w:tc>
          <w:tcPr>
            <w:tcW w:w="3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56,614</w:t>
            </w:r>
          </w:p>
        </w:tc>
      </w:tr>
      <w:tr>
        <w:trPr/>
        <w:tc>
          <w:tcPr>
            <w:tcW w:w="37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Value of Above Market In-Place Leases</w:t>
            </w:r>
          </w:p>
        </w:tc>
        <w:tc>
          <w:tcPr>
            <w:tcW w:w="109"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left"/>
              <w:rPr/>
            </w:pPr>
            <w:r>
              <w:rPr/>
              <w:t>​</w:t>
            </w:r>
          </w:p>
        </w:tc>
        <w:tc>
          <w:tcPr>
            <w:tcW w:w="100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1,778</w:t>
            </w:r>
          </w:p>
        </w:tc>
        <w:tc>
          <w:tcPr>
            <w:tcW w:w="109" w:type="dxa"/>
            <w:tcBorders/>
            <w:shd w:fill="CCEEFF" w:val="clear"/>
            <w:vAlign w:val="center"/>
          </w:tcPr>
          <w:p>
            <w:pPr>
              <w:pStyle w:val="TableContents"/>
              <w:bidi w:val="0"/>
              <w:spacing w:before="0" w:after="0"/>
              <w:ind w:left="0" w:right="0" w:hanging="0"/>
              <w:jc w:val="left"/>
              <w:rPr/>
            </w:pPr>
            <w:r>
              <w:rPr/>
              <w:t>​</w:t>
            </w:r>
          </w:p>
        </w:tc>
        <w:tc>
          <w:tcPr>
            <w:tcW w:w="371" w:type="dxa"/>
            <w:tcBorders/>
            <w:shd w:fill="CCEEFF" w:val="clear"/>
            <w:vAlign w:val="center"/>
          </w:tcPr>
          <w:p>
            <w:pPr>
              <w:pStyle w:val="TableContents"/>
              <w:bidi w:val="0"/>
              <w:spacing w:before="0" w:after="0"/>
              <w:ind w:left="0" w:right="0" w:hanging="0"/>
              <w:jc w:val="left"/>
              <w:rPr/>
            </w:pPr>
            <w:r>
              <w:rPr/>
              <w:t>​</w:t>
            </w:r>
          </w:p>
        </w:tc>
        <w:tc>
          <w:tcPr>
            <w:tcW w:w="13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1,708</w:t>
            </w:r>
          </w:p>
        </w:tc>
      </w:tr>
      <w:tr>
        <w:trPr/>
        <w:tc>
          <w:tcPr>
            <w:tcW w:w="3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Value of Intangible Leasing Costs</w:t>
            </w:r>
          </w:p>
        </w:tc>
        <w:tc>
          <w:tcPr>
            <w:tcW w:w="109" w:type="dxa"/>
            <w:tcBorders/>
            <w:vAlign w:val="center"/>
          </w:tcPr>
          <w:p>
            <w:pPr>
              <w:pStyle w:val="TableContents"/>
              <w:bidi w:val="0"/>
              <w:spacing w:before="0" w:after="0"/>
              <w:ind w:left="0" w:right="0" w:hanging="0"/>
              <w:jc w:val="left"/>
              <w:rPr/>
            </w:pPr>
            <w:r>
              <w:rPr/>
              <w:t>​</w:t>
            </w:r>
          </w:p>
        </w:tc>
        <w:tc>
          <w:tcPr>
            <w:tcW w:w="26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0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19,785</w:t>
            </w:r>
          </w:p>
        </w:tc>
        <w:tc>
          <w:tcPr>
            <w:tcW w:w="109" w:type="dxa"/>
            <w:tcBorders/>
            <w:vAlign w:val="center"/>
          </w:tcPr>
          <w:p>
            <w:pPr>
              <w:pStyle w:val="TableContents"/>
              <w:bidi w:val="0"/>
              <w:spacing w:before="0" w:after="0"/>
              <w:ind w:left="0" w:right="0" w:hanging="0"/>
              <w:jc w:val="left"/>
              <w:rPr/>
            </w:pPr>
            <w:r>
              <w:rPr/>
              <w:t>​</w:t>
            </w:r>
          </w:p>
        </w:tc>
        <w:tc>
          <w:tcPr>
            <w:tcW w:w="37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39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19,457</w:t>
            </w:r>
          </w:p>
        </w:tc>
      </w:tr>
      <w:tr>
        <w:trPr/>
        <w:tc>
          <w:tcPr>
            <w:tcW w:w="37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Sub-total Intangible Lease Assets</w:t>
            </w:r>
          </w:p>
        </w:tc>
        <w:tc>
          <w:tcPr>
            <w:tcW w:w="109"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left"/>
              <w:rPr/>
            </w:pPr>
            <w:r>
              <w:rPr/>
              <w:t>​</w:t>
            </w:r>
          </w:p>
        </w:tc>
        <w:tc>
          <w:tcPr>
            <w:tcW w:w="100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80,251</w:t>
            </w:r>
          </w:p>
        </w:tc>
        <w:tc>
          <w:tcPr>
            <w:tcW w:w="109" w:type="dxa"/>
            <w:tcBorders/>
            <w:shd w:fill="CCEEFF" w:val="clear"/>
            <w:vAlign w:val="center"/>
          </w:tcPr>
          <w:p>
            <w:pPr>
              <w:pStyle w:val="TableContents"/>
              <w:bidi w:val="0"/>
              <w:spacing w:before="0" w:after="0"/>
              <w:ind w:left="0" w:right="0" w:hanging="0"/>
              <w:jc w:val="left"/>
              <w:rPr/>
            </w:pPr>
            <w:r>
              <w:rPr/>
              <w:t>​</w:t>
            </w:r>
          </w:p>
        </w:tc>
        <w:tc>
          <w:tcPr>
            <w:tcW w:w="371" w:type="dxa"/>
            <w:tcBorders/>
            <w:shd w:fill="CCEEFF" w:val="clear"/>
            <w:vAlign w:val="center"/>
          </w:tcPr>
          <w:p>
            <w:pPr>
              <w:pStyle w:val="TableContents"/>
              <w:bidi w:val="0"/>
              <w:spacing w:before="0" w:after="0"/>
              <w:ind w:left="0" w:right="0" w:hanging="0"/>
              <w:jc w:val="left"/>
              <w:rPr/>
            </w:pPr>
            <w:r>
              <w:rPr/>
              <w:t>​</w:t>
            </w:r>
          </w:p>
        </w:tc>
        <w:tc>
          <w:tcPr>
            <w:tcW w:w="13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77,779</w:t>
            </w:r>
          </w:p>
        </w:tc>
      </w:tr>
      <w:tr>
        <w:trPr/>
        <w:tc>
          <w:tcPr>
            <w:tcW w:w="3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Amortization</w:t>
            </w:r>
          </w:p>
        </w:tc>
        <w:tc>
          <w:tcPr>
            <w:tcW w:w="109" w:type="dxa"/>
            <w:tcBorders/>
            <w:vAlign w:val="center"/>
          </w:tcPr>
          <w:p>
            <w:pPr>
              <w:pStyle w:val="TableContents"/>
              <w:bidi w:val="0"/>
              <w:spacing w:before="0" w:after="0"/>
              <w:ind w:left="0" w:right="0" w:hanging="0"/>
              <w:jc w:val="left"/>
              <w:rPr/>
            </w:pPr>
            <w:r>
              <w:rPr/>
              <w:t>​</w:t>
            </w:r>
          </w:p>
        </w:tc>
        <w:tc>
          <w:tcPr>
            <w:tcW w:w="26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0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(34,100)</w:t>
            </w:r>
          </w:p>
        </w:tc>
        <w:tc>
          <w:tcPr>
            <w:tcW w:w="109" w:type="dxa"/>
            <w:tcBorders/>
            <w:vAlign w:val="center"/>
          </w:tcPr>
          <w:p>
            <w:pPr>
              <w:pStyle w:val="TableContents"/>
              <w:bidi w:val="0"/>
              <w:spacing w:before="0" w:after="0"/>
              <w:ind w:left="0" w:right="0" w:hanging="0"/>
              <w:jc w:val="left"/>
              <w:rPr/>
            </w:pPr>
            <w:r>
              <w:rPr/>
              <w:t>​</w:t>
            </w:r>
          </w:p>
        </w:tc>
        <w:tc>
          <w:tcPr>
            <w:tcW w:w="37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39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(28,854)</w:t>
            </w:r>
          </w:p>
        </w:tc>
      </w:tr>
      <w:tr>
        <w:trPr/>
        <w:tc>
          <w:tcPr>
            <w:tcW w:w="37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Sub-total Intangible Lease Assets—Net</w:t>
            </w:r>
          </w:p>
        </w:tc>
        <w:tc>
          <w:tcPr>
            <w:tcW w:w="109" w:type="dxa"/>
            <w:tcBorders/>
            <w:shd w:fill="CCEEFF" w:val="clear"/>
            <w:vAlign w:val="center"/>
          </w:tcPr>
          <w:p>
            <w:pPr>
              <w:pStyle w:val="TableContents"/>
              <w:bidi w:val="0"/>
              <w:spacing w:before="0" w:after="0"/>
              <w:ind w:left="0" w:right="0" w:hanging="0"/>
              <w:jc w:val="left"/>
              <w:rPr/>
            </w:pPr>
            <w:r>
              <w:rPr/>
              <w:t>​</w:t>
            </w:r>
          </w:p>
        </w:tc>
        <w:tc>
          <w:tcPr>
            <w:tcW w:w="26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0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46,151</w:t>
            </w:r>
          </w:p>
        </w:tc>
        <w:tc>
          <w:tcPr>
            <w:tcW w:w="109" w:type="dxa"/>
            <w:tcBorders/>
            <w:shd w:fill="CCEEFF" w:val="clear"/>
            <w:vAlign w:val="center"/>
          </w:tcPr>
          <w:p>
            <w:pPr>
              <w:pStyle w:val="TableContents"/>
              <w:bidi w:val="0"/>
              <w:spacing w:before="0" w:after="0"/>
              <w:ind w:left="0" w:right="0" w:hanging="0"/>
              <w:jc w:val="left"/>
              <w:rPr/>
            </w:pPr>
            <w:r>
              <w:rPr/>
              <w:t>​</w:t>
            </w:r>
          </w:p>
        </w:tc>
        <w:tc>
          <w:tcPr>
            <w:tcW w:w="37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39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48,925</w:t>
            </w:r>
          </w:p>
        </w:tc>
      </w:tr>
      <w:tr>
        <w:trPr/>
        <w:tc>
          <w:tcPr>
            <w:tcW w:w="3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Intangible Lease Liabilities:</w:t>
            </w:r>
          </w:p>
        </w:tc>
        <w:tc>
          <w:tcPr>
            <w:tcW w:w="109" w:type="dxa"/>
            <w:tcBorders/>
            <w:vAlign w:val="center"/>
          </w:tcPr>
          <w:p>
            <w:pPr>
              <w:pStyle w:val="TableContents"/>
              <w:bidi w:val="0"/>
              <w:spacing w:before="0" w:after="0"/>
              <w:ind w:left="0" w:right="0" w:hanging="0"/>
              <w:jc w:val="left"/>
              <w:rPr/>
            </w:pPr>
            <w:r>
              <w:rPr/>
              <w:t>​</w:t>
            </w:r>
          </w:p>
        </w:tc>
        <w:tc>
          <w:tcPr>
            <w:tcW w:w="267" w:type="dxa"/>
            <w:tcBorders/>
            <w:vAlign w:val="center"/>
          </w:tcPr>
          <w:p>
            <w:pPr>
              <w:pStyle w:val="TableContents"/>
              <w:bidi w:val="0"/>
              <w:spacing w:before="0" w:after="0"/>
              <w:ind w:left="0" w:right="0" w:hanging="0"/>
              <w:jc w:val="left"/>
              <w:rPr/>
            </w:pPr>
            <w:r>
              <w:rPr/>
              <w:t>​</w:t>
            </w:r>
          </w:p>
        </w:tc>
        <w:tc>
          <w:tcPr>
            <w:tcW w:w="1008"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71" w:type="dxa"/>
            <w:tcBorders/>
            <w:vAlign w:val="center"/>
          </w:tcPr>
          <w:p>
            <w:pPr>
              <w:pStyle w:val="TableContents"/>
              <w:bidi w:val="0"/>
              <w:spacing w:before="0" w:after="0"/>
              <w:ind w:left="0" w:right="0" w:hanging="0"/>
              <w:jc w:val="left"/>
              <w:rPr/>
            </w:pPr>
            <w:r>
              <w:rPr/>
              <w:t>​</w:t>
            </w:r>
          </w:p>
        </w:tc>
        <w:tc>
          <w:tcPr>
            <w:tcW w:w="1399" w:type="dxa"/>
            <w:tcBorders/>
            <w:vAlign w:val="center"/>
          </w:tcPr>
          <w:p>
            <w:pPr>
              <w:pStyle w:val="TableContents"/>
              <w:bidi w:val="0"/>
              <w:spacing w:before="0" w:after="0"/>
              <w:ind w:left="0" w:right="0" w:hanging="0"/>
              <w:jc w:val="right"/>
              <w:rPr/>
            </w:pPr>
            <w:r>
              <w:rPr/>
              <w:t>​</w:t>
            </w:r>
          </w:p>
        </w:tc>
      </w:tr>
      <w:tr>
        <w:trPr/>
        <w:tc>
          <w:tcPr>
            <w:tcW w:w="37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Value of Below Market In-Place Leases</w:t>
            </w:r>
          </w:p>
        </w:tc>
        <w:tc>
          <w:tcPr>
            <w:tcW w:w="109" w:type="dxa"/>
            <w:tcBorders/>
            <w:shd w:fill="CCEEFF" w:val="clear"/>
            <w:vAlign w:val="center"/>
          </w:tcPr>
          <w:p>
            <w:pPr>
              <w:pStyle w:val="TableContents"/>
              <w:bidi w:val="0"/>
              <w:spacing w:before="0" w:after="0"/>
              <w:ind w:left="0" w:right="0" w:hanging="0"/>
              <w:jc w:val="left"/>
              <w:rPr/>
            </w:pPr>
            <w:r>
              <w:rPr/>
              <w:t>​</w:t>
            </w:r>
          </w:p>
        </w:tc>
        <w:tc>
          <w:tcPr>
            <w:tcW w:w="26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0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(7,919)</w:t>
            </w:r>
          </w:p>
        </w:tc>
        <w:tc>
          <w:tcPr>
            <w:tcW w:w="109" w:type="dxa"/>
            <w:tcBorders/>
            <w:shd w:fill="CCEEFF" w:val="clear"/>
            <w:vAlign w:val="center"/>
          </w:tcPr>
          <w:p>
            <w:pPr>
              <w:pStyle w:val="TableContents"/>
              <w:bidi w:val="0"/>
              <w:spacing w:before="0" w:after="0"/>
              <w:ind w:left="0" w:right="0" w:hanging="0"/>
              <w:jc w:val="left"/>
              <w:rPr/>
            </w:pPr>
            <w:r>
              <w:rPr/>
              <w:t>​</w:t>
            </w:r>
          </w:p>
        </w:tc>
        <w:tc>
          <w:tcPr>
            <w:tcW w:w="37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39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(7,763)</w:t>
            </w:r>
          </w:p>
        </w:tc>
      </w:tr>
      <w:tr>
        <w:trPr/>
        <w:tc>
          <w:tcPr>
            <w:tcW w:w="3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Sub-total Intangible Lease Liabilities</w:t>
            </w:r>
          </w:p>
        </w:tc>
        <w:tc>
          <w:tcPr>
            <w:tcW w:w="109" w:type="dxa"/>
            <w:tcBorders/>
            <w:vAlign w:val="center"/>
          </w:tcPr>
          <w:p>
            <w:pPr>
              <w:pStyle w:val="TableContents"/>
              <w:bidi w:val="0"/>
              <w:spacing w:before="0" w:after="0"/>
              <w:ind w:left="0" w:right="0" w:hanging="0"/>
              <w:jc w:val="left"/>
              <w:rPr/>
            </w:pPr>
            <w:r>
              <w:rPr/>
              <w:t>​</w:t>
            </w:r>
          </w:p>
        </w:tc>
        <w:tc>
          <w:tcPr>
            <w:tcW w:w="267" w:type="dxa"/>
            <w:tcBorders/>
            <w:vAlign w:val="center"/>
          </w:tcPr>
          <w:p>
            <w:pPr>
              <w:pStyle w:val="TableContents"/>
              <w:bidi w:val="0"/>
              <w:spacing w:before="0" w:after="0"/>
              <w:ind w:left="0" w:right="0" w:hanging="0"/>
              <w:jc w:val="left"/>
              <w:rPr/>
            </w:pPr>
            <w:r>
              <w:rPr/>
              <w:t>​</w:t>
            </w:r>
          </w:p>
        </w:tc>
        <w:tc>
          <w:tcPr>
            <w:tcW w:w="100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(7,919)</w:t>
            </w:r>
          </w:p>
        </w:tc>
        <w:tc>
          <w:tcPr>
            <w:tcW w:w="109" w:type="dxa"/>
            <w:tcBorders/>
            <w:vAlign w:val="center"/>
          </w:tcPr>
          <w:p>
            <w:pPr>
              <w:pStyle w:val="TableContents"/>
              <w:bidi w:val="0"/>
              <w:spacing w:before="0" w:after="0"/>
              <w:ind w:left="0" w:right="0" w:hanging="0"/>
              <w:jc w:val="left"/>
              <w:rPr/>
            </w:pPr>
            <w:r>
              <w:rPr/>
              <w:t>​</w:t>
            </w:r>
          </w:p>
        </w:tc>
        <w:tc>
          <w:tcPr>
            <w:tcW w:w="371" w:type="dxa"/>
            <w:tcBorders/>
            <w:vAlign w:val="center"/>
          </w:tcPr>
          <w:p>
            <w:pPr>
              <w:pStyle w:val="TableContents"/>
              <w:bidi w:val="0"/>
              <w:spacing w:before="0" w:after="0"/>
              <w:ind w:left="0" w:right="0" w:hanging="0"/>
              <w:jc w:val="left"/>
              <w:rPr/>
            </w:pPr>
            <w:r>
              <w:rPr/>
              <w:t>​</w:t>
            </w:r>
          </w:p>
        </w:tc>
        <w:tc>
          <w:tcPr>
            <w:tcW w:w="13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(7,763)</w:t>
            </w:r>
          </w:p>
        </w:tc>
      </w:tr>
      <w:tr>
        <w:trPr/>
        <w:tc>
          <w:tcPr>
            <w:tcW w:w="37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Amortization</w:t>
            </w:r>
          </w:p>
        </w:tc>
        <w:tc>
          <w:tcPr>
            <w:tcW w:w="109" w:type="dxa"/>
            <w:tcBorders/>
            <w:shd w:fill="CCEEFF" w:val="clear"/>
            <w:vAlign w:val="center"/>
          </w:tcPr>
          <w:p>
            <w:pPr>
              <w:pStyle w:val="TableContents"/>
              <w:bidi w:val="0"/>
              <w:spacing w:before="0" w:after="0"/>
              <w:ind w:left="0" w:right="0" w:hanging="0"/>
              <w:jc w:val="left"/>
              <w:rPr/>
            </w:pPr>
            <w:r>
              <w:rPr/>
              <w:t>​</w:t>
            </w:r>
          </w:p>
        </w:tc>
        <w:tc>
          <w:tcPr>
            <w:tcW w:w="26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0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3,317</w:t>
            </w:r>
          </w:p>
        </w:tc>
        <w:tc>
          <w:tcPr>
            <w:tcW w:w="109" w:type="dxa"/>
            <w:tcBorders/>
            <w:shd w:fill="CCEEFF" w:val="clear"/>
            <w:vAlign w:val="center"/>
          </w:tcPr>
          <w:p>
            <w:pPr>
              <w:pStyle w:val="TableContents"/>
              <w:bidi w:val="0"/>
              <w:spacing w:before="0" w:after="0"/>
              <w:ind w:left="0" w:right="0" w:hanging="0"/>
              <w:jc w:val="left"/>
              <w:rPr/>
            </w:pPr>
            <w:r>
              <w:rPr/>
              <w:t>​</w:t>
            </w:r>
          </w:p>
        </w:tc>
        <w:tc>
          <w:tcPr>
            <w:tcW w:w="37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39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2,792</w:t>
            </w:r>
          </w:p>
        </w:tc>
      </w:tr>
      <w:tr>
        <w:trPr/>
        <w:tc>
          <w:tcPr>
            <w:tcW w:w="3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Sub-total Intangible Lease Liabilities—Net</w:t>
            </w:r>
          </w:p>
        </w:tc>
        <w:tc>
          <w:tcPr>
            <w:tcW w:w="109" w:type="dxa"/>
            <w:tcBorders/>
            <w:vAlign w:val="center"/>
          </w:tcPr>
          <w:p>
            <w:pPr>
              <w:pStyle w:val="TableContents"/>
              <w:bidi w:val="0"/>
              <w:spacing w:before="0" w:after="0"/>
              <w:ind w:left="0" w:right="0" w:hanging="0"/>
              <w:jc w:val="left"/>
              <w:rPr/>
            </w:pPr>
            <w:r>
              <w:rPr/>
              <w:t>​</w:t>
            </w:r>
          </w:p>
        </w:tc>
        <w:tc>
          <w:tcPr>
            <w:tcW w:w="26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0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(4,602)</w:t>
            </w:r>
          </w:p>
        </w:tc>
        <w:tc>
          <w:tcPr>
            <w:tcW w:w="109" w:type="dxa"/>
            <w:tcBorders/>
            <w:vAlign w:val="center"/>
          </w:tcPr>
          <w:p>
            <w:pPr>
              <w:pStyle w:val="TableContents"/>
              <w:bidi w:val="0"/>
              <w:spacing w:before="0" w:after="0"/>
              <w:ind w:left="0" w:right="0" w:hanging="0"/>
              <w:jc w:val="left"/>
              <w:rPr/>
            </w:pPr>
            <w:r>
              <w:rPr/>
              <w:t>​</w:t>
            </w:r>
          </w:p>
        </w:tc>
        <w:tc>
          <w:tcPr>
            <w:tcW w:w="37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39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(4,971)</w:t>
            </w:r>
          </w:p>
        </w:tc>
      </w:tr>
      <w:tr>
        <w:trPr/>
        <w:tc>
          <w:tcPr>
            <w:tcW w:w="37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Intangible Assets and Liabilities—Net</w:t>
            </w:r>
          </w:p>
        </w:tc>
        <w:tc>
          <w:tcPr>
            <w:tcW w:w="109" w:type="dxa"/>
            <w:tcBorders/>
            <w:shd w:fill="CCEEFF" w:val="clear"/>
            <w:vAlign w:val="center"/>
          </w:tcPr>
          <w:p>
            <w:pPr>
              <w:pStyle w:val="TableContents"/>
              <w:bidi w:val="0"/>
              <w:spacing w:before="0" w:after="0"/>
              <w:ind w:left="0" w:right="0" w:hanging="0"/>
              <w:jc w:val="left"/>
              <w:rPr/>
            </w:pPr>
            <w:r>
              <w:rPr/>
              <w:t>​</w:t>
            </w:r>
          </w:p>
        </w:tc>
        <w:tc>
          <w:tcPr>
            <w:tcW w:w="26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0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41,549</w:t>
            </w:r>
          </w:p>
        </w:tc>
        <w:tc>
          <w:tcPr>
            <w:tcW w:w="109" w:type="dxa"/>
            <w:tcBorders/>
            <w:shd w:fill="CCEEFF" w:val="clear"/>
            <w:vAlign w:val="center"/>
          </w:tcPr>
          <w:p>
            <w:pPr>
              <w:pStyle w:val="TableContents"/>
              <w:bidi w:val="0"/>
              <w:spacing w:before="0" w:after="0"/>
              <w:ind w:left="0" w:right="0" w:hanging="0"/>
              <w:jc w:val="left"/>
              <w:rPr/>
            </w:pPr>
            <w:r>
              <w:rPr/>
              <w:t>​</w:t>
            </w:r>
          </w:p>
        </w:tc>
        <w:tc>
          <w:tcPr>
            <w:tcW w:w="37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99"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43,954</w:t>
            </w:r>
          </w:p>
        </w:tc>
      </w:tr>
    </w:tbl>
    <w:p>
      <w:pPr>
        <w:pStyle w:val="TextBody"/>
        <w:bidi w:val="0"/>
        <w:spacing w:before="0" w:after="0"/>
        <w:ind w:left="0" w:right="0" w:hanging="0"/>
        <w:jc w:val="left"/>
        <w:rPr/>
      </w:pPr>
      <w:r>
        <w:rPr/>
        <w:t>​</w:t>
      </w:r>
    </w:p>
    <w:p>
      <w:pPr>
        <w:pStyle w:val="TextBody"/>
        <w:bidi w:val="0"/>
        <w:spacing w:before="0" w:after="0"/>
        <w:ind w:left="0" w:right="0" w:firstLine="432"/>
        <w:jc w:val="left"/>
        <w:rPr>
          <w:rFonts w:ascii="Times New Roman;Times;serif" w:hAnsi="Times New Roman;Times;serif"/>
          <w:sz w:val="20"/>
        </w:rPr>
      </w:pPr>
      <w:r>
        <w:rPr>
          <w:rFonts w:ascii="Times New Roman;Times;serif" w:hAnsi="Times New Roman;Times;serif"/>
          <w:sz w:val="20"/>
        </w:rPr>
        <w:t>The following table reflects the net amortization of intangible assets and liabilities during the three and six months ended June 30, 2026 and 2025 (in thousands):</w:t>
      </w:r>
    </w:p>
    <w:p>
      <w:pPr>
        <w:pStyle w:val="TextBody"/>
        <w:bidi w:val="0"/>
        <w:spacing w:before="0" w:after="0"/>
        <w:ind w:left="0" w:right="0" w:hanging="0"/>
        <w:jc w:val="left"/>
        <w:rPr/>
      </w:pPr>
      <w:r>
        <w:rPr/>
        <w:t>​</w:t>
      </w:r>
    </w:p>
    <w:tbl>
      <w:tblPr>
        <w:tblW w:w="10005" w:type="dxa"/>
        <w:jc w:val="left"/>
        <w:tblInd w:w="0" w:type="dxa"/>
        <w:tblLayout w:type="fixed"/>
        <w:tblCellMar>
          <w:top w:w="0" w:type="dxa"/>
          <w:left w:w="0" w:type="dxa"/>
          <w:bottom w:w="0" w:type="dxa"/>
          <w:right w:w="0" w:type="dxa"/>
        </w:tblCellMar>
      </w:tblPr>
      <w:tblGrid>
        <w:gridCol w:w="4411"/>
        <w:gridCol w:w="109"/>
        <w:gridCol w:w="343"/>
        <w:gridCol w:w="932"/>
        <w:gridCol w:w="122"/>
        <w:gridCol w:w="343"/>
        <w:gridCol w:w="932"/>
        <w:gridCol w:w="109"/>
        <w:gridCol w:w="342"/>
        <w:gridCol w:w="933"/>
        <w:gridCol w:w="109"/>
        <w:gridCol w:w="310"/>
        <w:gridCol w:w="1010"/>
      </w:tblGrid>
      <w:tr>
        <w:trPr/>
        <w:tc>
          <w:tcPr>
            <w:tcW w:w="44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69215" cy="175260"/>
                      <wp:effectExtent l="0" t="0" r="0" b="0"/>
                      <wp:wrapNone/>
                      <wp:docPr id="218" name="Frame21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217805" cy="175260"/>
                      <wp:effectExtent l="0" t="0" r="0" b="0"/>
                      <wp:wrapNone/>
                      <wp:docPr id="219" name="Frame219"/>
                      <a:graphic xmlns:a="http://schemas.openxmlformats.org/drawingml/2006/main">
                        <a:graphicData uri="http://schemas.microsoft.com/office/word/2010/wordprocessingShape">
                          <wps:wsp>
                            <wps:cNvSpPr txBox="1"/>
                            <wps:spPr>
                              <a:xfrm>
                                <a:off x="0" y="0"/>
                                <a:ext cx="2178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591820" cy="175260"/>
                      <wp:effectExtent l="0" t="0" r="0" b="0"/>
                      <wp:wrapNone/>
                      <wp:docPr id="220" name="Frame220"/>
                      <a:graphic xmlns:a="http://schemas.openxmlformats.org/drawingml/2006/main">
                        <a:graphicData uri="http://schemas.microsoft.com/office/word/2010/wordprocessingShape">
                          <wps:wsp>
                            <wps:cNvSpPr txBox="1"/>
                            <wps:spPr>
                              <a:xfrm>
                                <a:off x="0" y="0"/>
                                <a:ext cx="5918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77470" cy="175260"/>
                      <wp:effectExtent l="0" t="0" r="0" b="0"/>
                      <wp:wrapNone/>
                      <wp:docPr id="221" name="Frame221"/>
                      <a:graphic xmlns:a="http://schemas.openxmlformats.org/drawingml/2006/main">
                        <a:graphicData uri="http://schemas.microsoft.com/office/word/2010/wordprocessingShape">
                          <wps:wsp>
                            <wps:cNvSpPr txBox="1"/>
                            <wps:spPr>
                              <a:xfrm>
                                <a:off x="0" y="0"/>
                                <a:ext cx="774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217805" cy="175260"/>
                      <wp:effectExtent l="0" t="0" r="0" b="0"/>
                      <wp:wrapNone/>
                      <wp:docPr id="222" name="Frame222"/>
                      <a:graphic xmlns:a="http://schemas.openxmlformats.org/drawingml/2006/main">
                        <a:graphicData uri="http://schemas.microsoft.com/office/word/2010/wordprocessingShape">
                          <wps:wsp>
                            <wps:cNvSpPr txBox="1"/>
                            <wps:spPr>
                              <a:xfrm>
                                <a:off x="0" y="0"/>
                                <a:ext cx="2178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591820" cy="175260"/>
                      <wp:effectExtent l="0" t="0" r="0" b="0"/>
                      <wp:wrapNone/>
                      <wp:docPr id="223" name="Frame223"/>
                      <a:graphic xmlns:a="http://schemas.openxmlformats.org/drawingml/2006/main">
                        <a:graphicData uri="http://schemas.microsoft.com/office/word/2010/wordprocessingShape">
                          <wps:wsp>
                            <wps:cNvSpPr txBox="1"/>
                            <wps:spPr>
                              <a:xfrm>
                                <a:off x="0" y="0"/>
                                <a:ext cx="5918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69215" cy="175260"/>
                      <wp:effectExtent l="0" t="0" r="0" b="0"/>
                      <wp:wrapNone/>
                      <wp:docPr id="224" name="Frame22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217170" cy="175260"/>
                      <wp:effectExtent l="0" t="0" r="0" b="0"/>
                      <wp:wrapNone/>
                      <wp:docPr id="225" name="Frame225"/>
                      <a:graphic xmlns:a="http://schemas.openxmlformats.org/drawingml/2006/main">
                        <a:graphicData uri="http://schemas.microsoft.com/office/word/2010/wordprocessingShape">
                          <wps:wsp>
                            <wps:cNvSpPr txBox="1"/>
                            <wps:spPr>
                              <a:xfrm>
                                <a:off x="0" y="0"/>
                                <a:ext cx="2171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592455" cy="175260"/>
                      <wp:effectExtent l="0" t="0" r="0" b="0"/>
                      <wp:wrapNone/>
                      <wp:docPr id="226" name="Frame226"/>
                      <a:graphic xmlns:a="http://schemas.openxmlformats.org/drawingml/2006/main">
                        <a:graphicData uri="http://schemas.microsoft.com/office/word/2010/wordprocessingShape">
                          <wps:wsp>
                            <wps:cNvSpPr txBox="1"/>
                            <wps:spPr>
                              <a:xfrm>
                                <a:off x="0" y="0"/>
                                <a:ext cx="5924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69215" cy="175260"/>
                      <wp:effectExtent l="0" t="0" r="0" b="0"/>
                      <wp:wrapNone/>
                      <wp:docPr id="227" name="Frame22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196850" cy="175260"/>
                      <wp:effectExtent l="0" t="0" r="0" b="0"/>
                      <wp:wrapNone/>
                      <wp:docPr id="228" name="Frame228"/>
                      <a:graphic xmlns:a="http://schemas.openxmlformats.org/drawingml/2006/main">
                        <a:graphicData uri="http://schemas.microsoft.com/office/word/2010/wordprocessingShape">
                          <wps:wsp>
                            <wps:cNvSpPr txBox="1"/>
                            <wps:spPr>
                              <a:xfrm>
                                <a:off x="0" y="0"/>
                                <a:ext cx="1968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641350" cy="175260"/>
                      <wp:effectExtent l="0" t="0" r="0" b="0"/>
                      <wp:wrapNone/>
                      <wp:docPr id="229" name="Frame229"/>
                      <a:graphic xmlns:a="http://schemas.openxmlformats.org/drawingml/2006/main">
                        <a:graphicData uri="http://schemas.microsoft.com/office/word/2010/wordprocessingShape">
                          <wps:wsp>
                            <wps:cNvSpPr txBox="1"/>
                            <wps:spPr>
                              <a:xfrm>
                                <a:off x="0" y="0"/>
                                <a:ext cx="6413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4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672"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Three Months Ended</w:t>
            </w:r>
          </w:p>
        </w:tc>
        <w:tc>
          <w:tcPr>
            <w:tcW w:w="109" w:type="dxa"/>
            <w:tcBorders/>
            <w:vAlign w:val="center"/>
          </w:tcPr>
          <w:p>
            <w:pPr>
              <w:pStyle w:val="TableContents"/>
              <w:bidi w:val="0"/>
              <w:spacing w:before="0" w:after="0"/>
              <w:ind w:left="0" w:right="0" w:hanging="0"/>
              <w:jc w:val="left"/>
              <w:rPr/>
            </w:pPr>
            <w:r>
              <w:rPr/>
              <w:t>​</w:t>
            </w:r>
          </w:p>
        </w:tc>
        <w:tc>
          <w:tcPr>
            <w:tcW w:w="270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Six Months Ended</w:t>
            </w:r>
          </w:p>
        </w:tc>
      </w:tr>
      <w:tr>
        <w:trPr/>
        <w:tc>
          <w:tcPr>
            <w:tcW w:w="44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2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2026</w:t>
            </w:r>
          </w:p>
        </w:tc>
        <w:tc>
          <w:tcPr>
            <w:tcW w:w="122" w:type="dxa"/>
            <w:tcBorders/>
            <w:vAlign w:val="center"/>
          </w:tcPr>
          <w:p>
            <w:pPr>
              <w:pStyle w:val="TableContents"/>
              <w:bidi w:val="0"/>
              <w:spacing w:before="0" w:after="0"/>
              <w:ind w:left="0" w:right="0" w:hanging="0"/>
              <w:jc w:val="center"/>
              <w:rPr/>
            </w:pPr>
            <w:r>
              <w:rPr/>
              <w:t>​</w:t>
            </w:r>
          </w:p>
        </w:tc>
        <w:tc>
          <w:tcPr>
            <w:tcW w:w="12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2025</w:t>
            </w:r>
          </w:p>
        </w:tc>
        <w:tc>
          <w:tcPr>
            <w:tcW w:w="109" w:type="dxa"/>
            <w:tcBorders/>
            <w:vAlign w:val="center"/>
          </w:tcPr>
          <w:p>
            <w:pPr>
              <w:pStyle w:val="TableContents"/>
              <w:bidi w:val="0"/>
              <w:spacing w:before="0" w:after="0"/>
              <w:ind w:left="0" w:right="0" w:hanging="0"/>
              <w:jc w:val="left"/>
              <w:rPr/>
            </w:pPr>
            <w:r>
              <w:rPr/>
              <w:t>​</w:t>
            </w:r>
          </w:p>
        </w:tc>
        <w:tc>
          <w:tcPr>
            <w:tcW w:w="12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2026</w:t>
            </w:r>
          </w:p>
        </w:tc>
        <w:tc>
          <w:tcPr>
            <w:tcW w:w="109" w:type="dxa"/>
            <w:tcBorders/>
            <w:vAlign w:val="center"/>
          </w:tcPr>
          <w:p>
            <w:pPr>
              <w:pStyle w:val="TableContents"/>
              <w:bidi w:val="0"/>
              <w:spacing w:before="0" w:after="0"/>
              <w:ind w:left="0" w:right="0" w:hanging="0"/>
              <w:jc w:val="center"/>
              <w:rPr/>
            </w:pPr>
            <w:r>
              <w:rPr/>
              <w:t>​</w:t>
            </w:r>
          </w:p>
        </w:tc>
        <w:tc>
          <w:tcPr>
            <w:tcW w:w="13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2025</w:t>
            </w:r>
          </w:p>
        </w:tc>
      </w:tr>
      <w:tr>
        <w:trPr/>
        <w:tc>
          <w:tcPr>
            <w:tcW w:w="44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Amortization Expense </w:t>
            </w:r>
          </w:p>
        </w:tc>
        <w:tc>
          <w:tcPr>
            <w:tcW w:w="109" w:type="dxa"/>
            <w:tcBorders/>
            <w:shd w:fill="CCEEFF" w:val="clear"/>
            <w:vAlign w:val="center"/>
          </w:tcPr>
          <w:p>
            <w:pPr>
              <w:pStyle w:val="TableContents"/>
              <w:bidi w:val="0"/>
              <w:spacing w:before="0" w:after="0"/>
              <w:ind w:left="0" w:right="0" w:hanging="0"/>
              <w:jc w:val="left"/>
              <w:rPr/>
            </w:pPr>
            <w:r>
              <w:rPr/>
              <w:t>​</w:t>
            </w:r>
          </w:p>
        </w:tc>
        <w:tc>
          <w:tcPr>
            <w:tcW w:w="34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2,529</w:t>
            </w:r>
          </w:p>
        </w:tc>
        <w:tc>
          <w:tcPr>
            <w:tcW w:w="122" w:type="dxa"/>
            <w:tcBorders/>
            <w:shd w:fill="CCEEFF" w:val="clear"/>
            <w:vAlign w:val="center"/>
          </w:tcPr>
          <w:p>
            <w:pPr>
              <w:pStyle w:val="TableContents"/>
              <w:bidi w:val="0"/>
              <w:spacing w:before="0" w:after="0"/>
              <w:ind w:left="0" w:right="0" w:hanging="0"/>
              <w:jc w:val="left"/>
              <w:rPr/>
            </w:pPr>
            <w:r>
              <w:rPr/>
              <w:t>​</w:t>
            </w:r>
          </w:p>
        </w:tc>
        <w:tc>
          <w:tcPr>
            <w:tcW w:w="34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2,077</w:t>
            </w:r>
          </w:p>
        </w:tc>
        <w:tc>
          <w:tcPr>
            <w:tcW w:w="109" w:type="dxa"/>
            <w:tcBorders/>
            <w:shd w:fill="CCEEFF" w:val="clear"/>
            <w:vAlign w:val="center"/>
          </w:tcPr>
          <w:p>
            <w:pPr>
              <w:pStyle w:val="TableContents"/>
              <w:bidi w:val="0"/>
              <w:spacing w:before="0" w:after="0"/>
              <w:ind w:left="0" w:right="0" w:hanging="0"/>
              <w:jc w:val="left"/>
              <w:rPr/>
            </w:pPr>
            <w:r>
              <w:rPr/>
              <w:t>​</w:t>
            </w:r>
          </w:p>
        </w:tc>
        <w:tc>
          <w:tcPr>
            <w:tcW w:w="3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5,169</w:t>
            </w:r>
          </w:p>
        </w:tc>
        <w:tc>
          <w:tcPr>
            <w:tcW w:w="109"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4,596</w:t>
            </w:r>
          </w:p>
        </w:tc>
      </w:tr>
      <w:tr>
        <w:trPr/>
        <w:tc>
          <w:tcPr>
            <w:tcW w:w="44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Accretion to Properties Revenue</w:t>
            </w:r>
          </w:p>
        </w:tc>
        <w:tc>
          <w:tcPr>
            <w:tcW w:w="109" w:type="dxa"/>
            <w:tcBorders/>
            <w:vAlign w:val="center"/>
          </w:tcPr>
          <w:p>
            <w:pPr>
              <w:pStyle w:val="TableContents"/>
              <w:bidi w:val="0"/>
              <w:spacing w:before="0" w:after="0"/>
              <w:ind w:left="0" w:right="0" w:hanging="0"/>
              <w:jc w:val="left"/>
              <w:rPr/>
            </w:pPr>
            <w:r>
              <w:rPr/>
              <w:t>​</w:t>
            </w:r>
          </w:p>
        </w:tc>
        <w:tc>
          <w:tcPr>
            <w:tcW w:w="34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(241)</w:t>
            </w:r>
          </w:p>
        </w:tc>
        <w:tc>
          <w:tcPr>
            <w:tcW w:w="122" w:type="dxa"/>
            <w:tcBorders/>
            <w:vAlign w:val="center"/>
          </w:tcPr>
          <w:p>
            <w:pPr>
              <w:pStyle w:val="TableContents"/>
              <w:bidi w:val="0"/>
              <w:spacing w:before="0" w:after="0"/>
              <w:ind w:left="0" w:right="0" w:hanging="0"/>
              <w:jc w:val="left"/>
              <w:rPr/>
            </w:pPr>
            <w:r>
              <w:rPr/>
              <w:t>​</w:t>
            </w:r>
          </w:p>
        </w:tc>
        <w:tc>
          <w:tcPr>
            <w:tcW w:w="34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w:t>
            </w:r>
          </w:p>
        </w:tc>
        <w:tc>
          <w:tcPr>
            <w:tcW w:w="109" w:type="dxa"/>
            <w:tcBorders/>
            <w:vAlign w:val="center"/>
          </w:tcPr>
          <w:p>
            <w:pPr>
              <w:pStyle w:val="TableContents"/>
              <w:bidi w:val="0"/>
              <w:spacing w:before="0" w:after="0"/>
              <w:ind w:left="0" w:right="0" w:hanging="0"/>
              <w:jc w:val="left"/>
              <w:rPr/>
            </w:pPr>
            <w:r>
              <w:rPr/>
              <w:t>​</w:t>
            </w:r>
          </w:p>
        </w:tc>
        <w:tc>
          <w:tcPr>
            <w:tcW w:w="34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(477)</w:t>
            </w:r>
          </w:p>
        </w:tc>
        <w:tc>
          <w:tcPr>
            <w:tcW w:w="109" w:type="dxa"/>
            <w:tcBorders/>
            <w:vAlign w:val="center"/>
          </w:tcPr>
          <w:p>
            <w:pPr>
              <w:pStyle w:val="TableContents"/>
              <w:bidi w:val="0"/>
              <w:spacing w:before="0" w:after="0"/>
              <w:ind w:left="0" w:right="0" w:hanging="0"/>
              <w:jc w:val="left"/>
              <w:rPr/>
            </w:pPr>
            <w:r>
              <w:rPr/>
              <w:t>​</w:t>
            </w:r>
          </w:p>
        </w:tc>
        <w:tc>
          <w:tcPr>
            <w:tcW w:w="31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1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(246)</w:t>
            </w:r>
          </w:p>
        </w:tc>
      </w:tr>
      <w:tr>
        <w:trPr/>
        <w:tc>
          <w:tcPr>
            <w:tcW w:w="44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Amortization of Intangible Assets and Liabilities</w:t>
            </w:r>
          </w:p>
        </w:tc>
        <w:tc>
          <w:tcPr>
            <w:tcW w:w="109" w:type="dxa"/>
            <w:tcBorders/>
            <w:shd w:fill="CCEEFF" w:val="clear"/>
            <w:vAlign w:val="center"/>
          </w:tcPr>
          <w:p>
            <w:pPr>
              <w:pStyle w:val="TableContents"/>
              <w:bidi w:val="0"/>
              <w:spacing w:before="0" w:after="0"/>
              <w:ind w:left="0" w:right="0" w:hanging="0"/>
              <w:jc w:val="left"/>
              <w:rPr/>
            </w:pPr>
            <w:r>
              <w:rPr/>
              <w:t>​</w:t>
            </w:r>
          </w:p>
        </w:tc>
        <w:tc>
          <w:tcPr>
            <w:tcW w:w="34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2,288</w:t>
            </w:r>
          </w:p>
        </w:tc>
        <w:tc>
          <w:tcPr>
            <w:tcW w:w="122" w:type="dxa"/>
            <w:tcBorders/>
            <w:shd w:fill="CCEEFF" w:val="clear"/>
            <w:vAlign w:val="center"/>
          </w:tcPr>
          <w:p>
            <w:pPr>
              <w:pStyle w:val="TableContents"/>
              <w:bidi w:val="0"/>
              <w:spacing w:before="0" w:after="0"/>
              <w:ind w:left="0" w:right="0" w:hanging="0"/>
              <w:jc w:val="left"/>
              <w:rPr/>
            </w:pPr>
            <w:r>
              <w:rPr/>
              <w:t>​</w:t>
            </w:r>
          </w:p>
        </w:tc>
        <w:tc>
          <w:tcPr>
            <w:tcW w:w="34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1,911</w:t>
            </w:r>
          </w:p>
        </w:tc>
        <w:tc>
          <w:tcPr>
            <w:tcW w:w="109" w:type="dxa"/>
            <w:tcBorders/>
            <w:shd w:fill="CCEEFF" w:val="clear"/>
            <w:vAlign w:val="center"/>
          </w:tcPr>
          <w:p>
            <w:pPr>
              <w:pStyle w:val="TableContents"/>
              <w:bidi w:val="0"/>
              <w:spacing w:before="0" w:after="0"/>
              <w:ind w:left="0" w:right="0" w:hanging="0"/>
              <w:jc w:val="left"/>
              <w:rPr/>
            </w:pPr>
            <w:r>
              <w:rPr/>
              <w:t>​</w:t>
            </w:r>
          </w:p>
        </w:tc>
        <w:tc>
          <w:tcPr>
            <w:tcW w:w="34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4,692</w:t>
            </w:r>
          </w:p>
        </w:tc>
        <w:tc>
          <w:tcPr>
            <w:tcW w:w="109" w:type="dxa"/>
            <w:tcBorders/>
            <w:shd w:fill="CCEEFF" w:val="clear"/>
            <w:vAlign w:val="center"/>
          </w:tcPr>
          <w:p>
            <w:pPr>
              <w:pStyle w:val="TableContents"/>
              <w:bidi w:val="0"/>
              <w:spacing w:before="0" w:after="0"/>
              <w:ind w:left="0" w:right="0" w:hanging="0"/>
              <w:jc w:val="left"/>
              <w:rPr/>
            </w:pPr>
            <w:r>
              <w:rPr/>
              <w:t>​</w:t>
            </w:r>
          </w:p>
        </w:tc>
        <w:tc>
          <w:tcPr>
            <w:tcW w:w="31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4,350</w:t>
            </w:r>
          </w:p>
        </w:tc>
      </w:tr>
    </w:tbl>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estimated future amortization expense (income) related to net intangible assets and liabilities is as follows (in thousands):</w:t>
      </w:r>
    </w:p>
    <w:p>
      <w:pPr>
        <w:pStyle w:val="TextBody"/>
        <w:bidi w:val="0"/>
        <w:spacing w:before="0" w:after="0"/>
        <w:ind w:left="0" w:right="0" w:firstLine="360"/>
        <w:jc w:val="both"/>
        <w:rPr/>
      </w:pPr>
      <w:r>
        <w:rPr/>
        <w:t>​</w:t>
      </w:r>
    </w:p>
    <w:tbl>
      <w:tblPr>
        <w:tblW w:w="10205" w:type="dxa"/>
        <w:jc w:val="left"/>
        <w:tblInd w:w="0" w:type="dxa"/>
        <w:tblLayout w:type="fixed"/>
        <w:tblCellMar>
          <w:top w:w="0" w:type="dxa"/>
          <w:left w:w="0" w:type="dxa"/>
          <w:bottom w:w="0" w:type="dxa"/>
          <w:right w:w="0" w:type="dxa"/>
        </w:tblCellMar>
      </w:tblPr>
      <w:tblGrid>
        <w:gridCol w:w="2377"/>
        <w:gridCol w:w="109"/>
        <w:gridCol w:w="451"/>
        <w:gridCol w:w="1447"/>
        <w:gridCol w:w="109"/>
        <w:gridCol w:w="606"/>
        <w:gridCol w:w="1815"/>
        <w:gridCol w:w="109"/>
        <w:gridCol w:w="667"/>
        <w:gridCol w:w="2515"/>
      </w:tblGrid>
      <w:tr>
        <w:trPr/>
        <w:tc>
          <w:tcPr>
            <w:tcW w:w="2377"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14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918845" cy="175260"/>
                      <wp:effectExtent l="0" t="0" r="0" b="0"/>
                      <wp:wrapNone/>
                      <wp:docPr id="230" name="Frame230"/>
                      <a:graphic xmlns:a="http://schemas.openxmlformats.org/drawingml/2006/main">
                        <a:graphicData uri="http://schemas.microsoft.com/office/word/2010/wordprocessingShape">
                          <wps:wsp>
                            <wps:cNvSpPr txBox="1"/>
                            <wps:spPr>
                              <a:xfrm>
                                <a:off x="0" y="0"/>
                                <a:ext cx="9188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69215" cy="175260"/>
                      <wp:effectExtent l="0" t="0" r="0" b="0"/>
                      <wp:wrapNone/>
                      <wp:docPr id="231" name="Frame23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6" w:type="dxa"/>
            <w:tcBorders/>
            <w:vAlign w:val="center"/>
          </w:tcPr>
          <w:p>
            <w:pPr>
              <w:pStyle w:val="TableContents"/>
              <w:bidi w:val="0"/>
              <w:spacing w:before="0" w:after="0"/>
              <w:ind w:left="0" w:right="0" w:hanging="0"/>
              <w:jc w:val="left"/>
              <w:rPr/>
            </w:pPr>
            <w:r>
              <w:rPr/>
              <w:t>​</w:t>
            </w:r>
          </w:p>
        </w:tc>
        <w:tc>
          <w:tcPr>
            <w:tcW w:w="18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1152525" cy="175260"/>
                      <wp:effectExtent l="0" t="0" r="0" b="0"/>
                      <wp:wrapNone/>
                      <wp:docPr id="232" name="Frame232"/>
                      <a:graphic xmlns:a="http://schemas.openxmlformats.org/drawingml/2006/main">
                        <a:graphicData uri="http://schemas.microsoft.com/office/word/2010/wordprocessingShape">
                          <wps:wsp>
                            <wps:cNvSpPr txBox="1"/>
                            <wps:spPr>
                              <a:xfrm>
                                <a:off x="0" y="0"/>
                                <a:ext cx="11525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69215" cy="175260"/>
                      <wp:effectExtent l="0" t="0" r="0" b="0"/>
                      <wp:wrapNone/>
                      <wp:docPr id="233" name="Frame23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7" w:type="dxa"/>
            <w:tcBorders/>
            <w:vAlign w:val="center"/>
          </w:tcPr>
          <w:p>
            <w:pPr>
              <w:pStyle w:val="TableContents"/>
              <w:bidi w:val="0"/>
              <w:spacing w:before="0" w:after="0"/>
              <w:ind w:left="0" w:right="0" w:hanging="0"/>
              <w:jc w:val="left"/>
              <w:rPr/>
            </w:pPr>
            <w:r>
              <w:rPr/>
              <w:t>​</w:t>
            </w:r>
          </w:p>
        </w:tc>
        <w:tc>
          <w:tcPr>
            <w:tcW w:w="25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1597025" cy="175260"/>
                      <wp:effectExtent l="0" t="0" r="0" b="0"/>
                      <wp:wrapNone/>
                      <wp:docPr id="234" name="Frame234"/>
                      <a:graphic xmlns:a="http://schemas.openxmlformats.org/drawingml/2006/main">
                        <a:graphicData uri="http://schemas.microsoft.com/office/word/2010/wordprocessingShape">
                          <wps:wsp>
                            <wps:cNvSpPr txBox="1"/>
                            <wps:spPr>
                              <a:xfrm>
                                <a:off x="0" y="0"/>
                                <a:ext cx="15970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77"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Year Ending December 31,</w:t>
            </w:r>
          </w:p>
        </w:tc>
        <w:tc>
          <w:tcPr>
            <w:tcW w:w="109" w:type="dxa"/>
            <w:tcBorders/>
            <w:vAlign w:val="center"/>
          </w:tcPr>
          <w:p>
            <w:pPr>
              <w:pStyle w:val="TableContents"/>
              <w:bidi w:val="0"/>
              <w:spacing w:before="0" w:after="0"/>
              <w:ind w:left="0" w:right="0" w:hanging="0"/>
              <w:jc w:val="left"/>
              <w:rPr/>
            </w:pPr>
            <w:r>
              <w:rPr/>
              <w:t>​</w:t>
            </w:r>
          </w:p>
        </w:tc>
        <w:tc>
          <w:tcPr>
            <w:tcW w:w="189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Future Amortization Expense</w:t>
            </w:r>
          </w:p>
        </w:tc>
        <w:tc>
          <w:tcPr>
            <w:tcW w:w="109" w:type="dxa"/>
            <w:tcBorders/>
            <w:vAlign w:val="center"/>
          </w:tcPr>
          <w:p>
            <w:pPr>
              <w:pStyle w:val="TableContents"/>
              <w:bidi w:val="0"/>
              <w:spacing w:before="0" w:after="0"/>
              <w:ind w:left="0" w:right="0" w:hanging="0"/>
              <w:jc w:val="left"/>
              <w:rPr/>
            </w:pPr>
            <w:r>
              <w:rPr/>
              <w:t>​</w:t>
            </w:r>
          </w:p>
        </w:tc>
        <w:tc>
          <w:tcPr>
            <w:tcW w:w="242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Future Accretion to Property Revenue </w:t>
            </w:r>
          </w:p>
        </w:tc>
        <w:tc>
          <w:tcPr>
            <w:tcW w:w="109" w:type="dxa"/>
            <w:tcBorders/>
            <w:vAlign w:val="center"/>
          </w:tcPr>
          <w:p>
            <w:pPr>
              <w:pStyle w:val="TableContents"/>
              <w:bidi w:val="0"/>
              <w:spacing w:before="0" w:after="0"/>
              <w:ind w:left="0" w:right="0" w:hanging="0"/>
              <w:jc w:val="left"/>
              <w:rPr/>
            </w:pPr>
            <w:r>
              <w:rPr/>
              <w:t>​</w:t>
            </w:r>
          </w:p>
        </w:tc>
        <w:tc>
          <w:tcPr>
            <w:tcW w:w="31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Net Future Amortization of Intangible Assets and Liabilities </w:t>
            </w:r>
          </w:p>
        </w:tc>
      </w:tr>
      <w:tr>
        <w:trPr/>
        <w:tc>
          <w:tcPr>
            <w:tcW w:w="237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Remainder of 2026</w:t>
            </w:r>
          </w:p>
        </w:tc>
        <w:tc>
          <w:tcPr>
            <w:tcW w:w="109"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4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5,127</w:t>
            </w:r>
          </w:p>
        </w:tc>
        <w:tc>
          <w:tcPr>
            <w:tcW w:w="109" w:type="dxa"/>
            <w:tcBorders/>
            <w:shd w:fill="CCEEFF" w:val="clear"/>
            <w:vAlign w:val="center"/>
          </w:tcPr>
          <w:p>
            <w:pPr>
              <w:pStyle w:val="TableContents"/>
              <w:bidi w:val="0"/>
              <w:spacing w:before="0" w:after="0"/>
              <w:ind w:left="0" w:right="0" w:hanging="0"/>
              <w:jc w:val="left"/>
              <w:rPr/>
            </w:pPr>
            <w:r>
              <w:rPr/>
              <w:t>​</w:t>
            </w:r>
          </w:p>
        </w:tc>
        <w:tc>
          <w:tcPr>
            <w:tcW w:w="6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81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(468)</w:t>
            </w:r>
          </w:p>
        </w:tc>
        <w:tc>
          <w:tcPr>
            <w:tcW w:w="109" w:type="dxa"/>
            <w:tcBorders/>
            <w:shd w:fill="CCEEFF" w:val="clear"/>
            <w:vAlign w:val="center"/>
          </w:tcPr>
          <w:p>
            <w:pPr>
              <w:pStyle w:val="TableContents"/>
              <w:bidi w:val="0"/>
              <w:spacing w:before="0" w:after="0"/>
              <w:ind w:left="0" w:right="0" w:hanging="0"/>
              <w:jc w:val="left"/>
              <w:rPr/>
            </w:pPr>
            <w:r>
              <w:rPr/>
              <w:t>​</w:t>
            </w:r>
          </w:p>
        </w:tc>
        <w:tc>
          <w:tcPr>
            <w:tcW w:w="66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51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4,659</w:t>
            </w:r>
          </w:p>
        </w:tc>
      </w:tr>
      <w:tr>
        <w:trPr/>
        <w:tc>
          <w:tcPr>
            <w:tcW w:w="237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109"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144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8,843</w:t>
            </w:r>
          </w:p>
        </w:tc>
        <w:tc>
          <w:tcPr>
            <w:tcW w:w="109" w:type="dxa"/>
            <w:tcBorders/>
            <w:vAlign w:val="center"/>
          </w:tcPr>
          <w:p>
            <w:pPr>
              <w:pStyle w:val="TableContents"/>
              <w:bidi w:val="0"/>
              <w:spacing w:before="0" w:after="0"/>
              <w:ind w:left="0" w:right="0" w:hanging="0"/>
              <w:jc w:val="left"/>
              <w:rPr/>
            </w:pPr>
            <w:r>
              <w:rPr/>
              <w:t>​</w:t>
            </w:r>
          </w:p>
        </w:tc>
        <w:tc>
          <w:tcPr>
            <w:tcW w:w="606" w:type="dxa"/>
            <w:tcBorders/>
            <w:vAlign w:val="center"/>
          </w:tcPr>
          <w:p>
            <w:pPr>
              <w:pStyle w:val="TableContents"/>
              <w:bidi w:val="0"/>
              <w:spacing w:before="0" w:after="0"/>
              <w:ind w:left="0" w:right="0" w:hanging="0"/>
              <w:jc w:val="left"/>
              <w:rPr/>
            </w:pPr>
            <w:r>
              <w:rPr/>
              <w:t>​</w:t>
            </w:r>
          </w:p>
        </w:tc>
        <w:tc>
          <w:tcPr>
            <w:tcW w:w="181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(968)</w:t>
            </w:r>
          </w:p>
        </w:tc>
        <w:tc>
          <w:tcPr>
            <w:tcW w:w="109" w:type="dxa"/>
            <w:tcBorders/>
            <w:vAlign w:val="center"/>
          </w:tcPr>
          <w:p>
            <w:pPr>
              <w:pStyle w:val="TableContents"/>
              <w:bidi w:val="0"/>
              <w:spacing w:before="0" w:after="0"/>
              <w:ind w:left="0" w:right="0" w:hanging="0"/>
              <w:jc w:val="left"/>
              <w:rPr/>
            </w:pPr>
            <w:r>
              <w:rPr/>
              <w:t>​</w:t>
            </w:r>
          </w:p>
        </w:tc>
        <w:tc>
          <w:tcPr>
            <w:tcW w:w="667" w:type="dxa"/>
            <w:tcBorders/>
            <w:vAlign w:val="center"/>
          </w:tcPr>
          <w:p>
            <w:pPr>
              <w:pStyle w:val="TableContents"/>
              <w:bidi w:val="0"/>
              <w:spacing w:before="0" w:after="0"/>
              <w:ind w:left="0" w:right="0" w:hanging="0"/>
              <w:jc w:val="left"/>
              <w:rPr/>
            </w:pPr>
            <w:r>
              <w:rPr/>
              <w:t>​</w:t>
            </w:r>
          </w:p>
        </w:tc>
        <w:tc>
          <w:tcPr>
            <w:tcW w:w="251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7,875</w:t>
            </w:r>
          </w:p>
        </w:tc>
      </w:tr>
      <w:tr>
        <w:trPr/>
        <w:tc>
          <w:tcPr>
            <w:tcW w:w="237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109"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left"/>
              <w:rPr/>
            </w:pPr>
            <w:r>
              <w:rPr/>
              <w:t>​</w:t>
            </w:r>
          </w:p>
        </w:tc>
        <w:tc>
          <w:tcPr>
            <w:tcW w:w="144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7,218</w:t>
            </w:r>
          </w:p>
        </w:tc>
        <w:tc>
          <w:tcPr>
            <w:tcW w:w="109" w:type="dxa"/>
            <w:tcBorders/>
            <w:shd w:fill="CCEEFF" w:val="clear"/>
            <w:vAlign w:val="center"/>
          </w:tcPr>
          <w:p>
            <w:pPr>
              <w:pStyle w:val="TableContents"/>
              <w:bidi w:val="0"/>
              <w:spacing w:before="0" w:after="0"/>
              <w:ind w:left="0" w:right="0" w:hanging="0"/>
              <w:jc w:val="left"/>
              <w:rPr/>
            </w:pPr>
            <w:r>
              <w:rPr/>
              <w:t>​</w:t>
            </w:r>
          </w:p>
        </w:tc>
        <w:tc>
          <w:tcPr>
            <w:tcW w:w="606" w:type="dxa"/>
            <w:tcBorders/>
            <w:shd w:fill="CCEEFF" w:val="clear"/>
            <w:vAlign w:val="center"/>
          </w:tcPr>
          <w:p>
            <w:pPr>
              <w:pStyle w:val="TableContents"/>
              <w:bidi w:val="0"/>
              <w:spacing w:before="0" w:after="0"/>
              <w:ind w:left="0" w:right="0" w:hanging="0"/>
              <w:jc w:val="left"/>
              <w:rPr/>
            </w:pPr>
            <w:r>
              <w:rPr/>
              <w:t>​</w:t>
            </w:r>
          </w:p>
        </w:tc>
        <w:tc>
          <w:tcPr>
            <w:tcW w:w="181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(789)</w:t>
            </w:r>
          </w:p>
        </w:tc>
        <w:tc>
          <w:tcPr>
            <w:tcW w:w="109" w:type="dxa"/>
            <w:tcBorders/>
            <w:shd w:fill="CCEEFF" w:val="clear"/>
            <w:vAlign w:val="center"/>
          </w:tcPr>
          <w:p>
            <w:pPr>
              <w:pStyle w:val="TableContents"/>
              <w:bidi w:val="0"/>
              <w:spacing w:before="0" w:after="0"/>
              <w:ind w:left="0" w:right="0" w:hanging="0"/>
              <w:jc w:val="left"/>
              <w:rPr/>
            </w:pPr>
            <w:r>
              <w:rPr/>
              <w:t>​</w:t>
            </w:r>
          </w:p>
        </w:tc>
        <w:tc>
          <w:tcPr>
            <w:tcW w:w="667" w:type="dxa"/>
            <w:tcBorders/>
            <w:shd w:fill="CCEEFF" w:val="clear"/>
            <w:vAlign w:val="center"/>
          </w:tcPr>
          <w:p>
            <w:pPr>
              <w:pStyle w:val="TableContents"/>
              <w:bidi w:val="0"/>
              <w:spacing w:before="0" w:after="0"/>
              <w:ind w:left="0" w:right="0" w:hanging="0"/>
              <w:jc w:val="left"/>
              <w:rPr/>
            </w:pPr>
            <w:r>
              <w:rPr/>
              <w:t>​</w:t>
            </w:r>
          </w:p>
        </w:tc>
        <w:tc>
          <w:tcPr>
            <w:tcW w:w="251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6,429</w:t>
            </w:r>
          </w:p>
        </w:tc>
      </w:tr>
      <w:tr>
        <w:trPr/>
        <w:tc>
          <w:tcPr>
            <w:tcW w:w="237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w:t>
            </w:r>
          </w:p>
        </w:tc>
        <w:tc>
          <w:tcPr>
            <w:tcW w:w="109"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144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6,271</w:t>
            </w:r>
          </w:p>
        </w:tc>
        <w:tc>
          <w:tcPr>
            <w:tcW w:w="109" w:type="dxa"/>
            <w:tcBorders/>
            <w:vAlign w:val="center"/>
          </w:tcPr>
          <w:p>
            <w:pPr>
              <w:pStyle w:val="TableContents"/>
              <w:bidi w:val="0"/>
              <w:spacing w:before="0" w:after="0"/>
              <w:ind w:left="0" w:right="0" w:hanging="0"/>
              <w:jc w:val="left"/>
              <w:rPr/>
            </w:pPr>
            <w:r>
              <w:rPr/>
              <w:t>​</w:t>
            </w:r>
          </w:p>
        </w:tc>
        <w:tc>
          <w:tcPr>
            <w:tcW w:w="606" w:type="dxa"/>
            <w:tcBorders/>
            <w:vAlign w:val="center"/>
          </w:tcPr>
          <w:p>
            <w:pPr>
              <w:pStyle w:val="TableContents"/>
              <w:bidi w:val="0"/>
              <w:spacing w:before="0" w:after="0"/>
              <w:ind w:left="0" w:right="0" w:hanging="0"/>
              <w:jc w:val="left"/>
              <w:rPr/>
            </w:pPr>
            <w:r>
              <w:rPr/>
              <w:t>​</w:t>
            </w:r>
          </w:p>
        </w:tc>
        <w:tc>
          <w:tcPr>
            <w:tcW w:w="181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(551)</w:t>
            </w:r>
          </w:p>
        </w:tc>
        <w:tc>
          <w:tcPr>
            <w:tcW w:w="109" w:type="dxa"/>
            <w:tcBorders/>
            <w:vAlign w:val="center"/>
          </w:tcPr>
          <w:p>
            <w:pPr>
              <w:pStyle w:val="TableContents"/>
              <w:bidi w:val="0"/>
              <w:spacing w:before="0" w:after="0"/>
              <w:ind w:left="0" w:right="0" w:hanging="0"/>
              <w:jc w:val="left"/>
              <w:rPr/>
            </w:pPr>
            <w:r>
              <w:rPr/>
              <w:t>​</w:t>
            </w:r>
          </w:p>
        </w:tc>
        <w:tc>
          <w:tcPr>
            <w:tcW w:w="667" w:type="dxa"/>
            <w:tcBorders/>
            <w:vAlign w:val="center"/>
          </w:tcPr>
          <w:p>
            <w:pPr>
              <w:pStyle w:val="TableContents"/>
              <w:bidi w:val="0"/>
              <w:spacing w:before="0" w:after="0"/>
              <w:ind w:left="0" w:right="0" w:hanging="0"/>
              <w:jc w:val="left"/>
              <w:rPr/>
            </w:pPr>
            <w:r>
              <w:rPr/>
              <w:t>​</w:t>
            </w:r>
          </w:p>
        </w:tc>
        <w:tc>
          <w:tcPr>
            <w:tcW w:w="251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5,720</w:t>
            </w:r>
          </w:p>
        </w:tc>
      </w:tr>
      <w:tr>
        <w:trPr/>
        <w:tc>
          <w:tcPr>
            <w:tcW w:w="237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2030</w:t>
            </w:r>
          </w:p>
        </w:tc>
        <w:tc>
          <w:tcPr>
            <w:tcW w:w="109"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left"/>
              <w:rPr/>
            </w:pPr>
            <w:r>
              <w:rPr/>
              <w:t>​</w:t>
            </w:r>
          </w:p>
        </w:tc>
        <w:tc>
          <w:tcPr>
            <w:tcW w:w="144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5,281</w:t>
            </w:r>
          </w:p>
        </w:tc>
        <w:tc>
          <w:tcPr>
            <w:tcW w:w="109" w:type="dxa"/>
            <w:tcBorders/>
            <w:shd w:fill="CCEEFF" w:val="clear"/>
            <w:vAlign w:val="center"/>
          </w:tcPr>
          <w:p>
            <w:pPr>
              <w:pStyle w:val="TableContents"/>
              <w:bidi w:val="0"/>
              <w:spacing w:before="0" w:after="0"/>
              <w:ind w:left="0" w:right="0" w:hanging="0"/>
              <w:jc w:val="left"/>
              <w:rPr/>
            </w:pPr>
            <w:r>
              <w:rPr/>
              <w:t>​</w:t>
            </w:r>
          </w:p>
        </w:tc>
        <w:tc>
          <w:tcPr>
            <w:tcW w:w="606" w:type="dxa"/>
            <w:tcBorders/>
            <w:shd w:fill="CCEEFF" w:val="clear"/>
            <w:vAlign w:val="center"/>
          </w:tcPr>
          <w:p>
            <w:pPr>
              <w:pStyle w:val="TableContents"/>
              <w:bidi w:val="0"/>
              <w:spacing w:before="0" w:after="0"/>
              <w:ind w:left="0" w:right="0" w:hanging="0"/>
              <w:jc w:val="left"/>
              <w:rPr/>
            </w:pPr>
            <w:r>
              <w:rPr/>
              <w:t>​</w:t>
            </w:r>
          </w:p>
        </w:tc>
        <w:tc>
          <w:tcPr>
            <w:tcW w:w="181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(357)</w:t>
            </w:r>
          </w:p>
        </w:tc>
        <w:tc>
          <w:tcPr>
            <w:tcW w:w="109" w:type="dxa"/>
            <w:tcBorders/>
            <w:shd w:fill="CCEEFF" w:val="clear"/>
            <w:vAlign w:val="center"/>
          </w:tcPr>
          <w:p>
            <w:pPr>
              <w:pStyle w:val="TableContents"/>
              <w:bidi w:val="0"/>
              <w:spacing w:before="0" w:after="0"/>
              <w:ind w:left="0" w:right="0" w:hanging="0"/>
              <w:jc w:val="left"/>
              <w:rPr/>
            </w:pPr>
            <w:r>
              <w:rPr/>
              <w:t>​</w:t>
            </w:r>
          </w:p>
        </w:tc>
        <w:tc>
          <w:tcPr>
            <w:tcW w:w="667" w:type="dxa"/>
            <w:tcBorders/>
            <w:shd w:fill="CCEEFF" w:val="clear"/>
            <w:vAlign w:val="center"/>
          </w:tcPr>
          <w:p>
            <w:pPr>
              <w:pStyle w:val="TableContents"/>
              <w:bidi w:val="0"/>
              <w:spacing w:before="0" w:after="0"/>
              <w:ind w:left="0" w:right="0" w:hanging="0"/>
              <w:jc w:val="left"/>
              <w:rPr/>
            </w:pPr>
            <w:r>
              <w:rPr/>
              <w:t>​</w:t>
            </w:r>
          </w:p>
        </w:tc>
        <w:tc>
          <w:tcPr>
            <w:tcW w:w="251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4,924</w:t>
            </w:r>
          </w:p>
        </w:tc>
      </w:tr>
      <w:tr>
        <w:trPr/>
        <w:tc>
          <w:tcPr>
            <w:tcW w:w="237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2031</w:t>
            </w:r>
          </w:p>
        </w:tc>
        <w:tc>
          <w:tcPr>
            <w:tcW w:w="109"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144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4,614</w:t>
            </w:r>
          </w:p>
        </w:tc>
        <w:tc>
          <w:tcPr>
            <w:tcW w:w="109" w:type="dxa"/>
            <w:tcBorders/>
            <w:vAlign w:val="center"/>
          </w:tcPr>
          <w:p>
            <w:pPr>
              <w:pStyle w:val="TableContents"/>
              <w:bidi w:val="0"/>
              <w:spacing w:before="0" w:after="0"/>
              <w:ind w:left="0" w:right="0" w:hanging="0"/>
              <w:jc w:val="left"/>
              <w:rPr/>
            </w:pPr>
            <w:r>
              <w:rPr/>
              <w:t>​</w:t>
            </w:r>
          </w:p>
        </w:tc>
        <w:tc>
          <w:tcPr>
            <w:tcW w:w="606" w:type="dxa"/>
            <w:tcBorders/>
            <w:vAlign w:val="center"/>
          </w:tcPr>
          <w:p>
            <w:pPr>
              <w:pStyle w:val="TableContents"/>
              <w:bidi w:val="0"/>
              <w:spacing w:before="0" w:after="0"/>
              <w:ind w:left="0" w:right="0" w:hanging="0"/>
              <w:jc w:val="left"/>
              <w:rPr/>
            </w:pPr>
            <w:r>
              <w:rPr/>
              <w:t>​</w:t>
            </w:r>
          </w:p>
        </w:tc>
        <w:tc>
          <w:tcPr>
            <w:tcW w:w="181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(302)</w:t>
            </w:r>
          </w:p>
        </w:tc>
        <w:tc>
          <w:tcPr>
            <w:tcW w:w="109" w:type="dxa"/>
            <w:tcBorders/>
            <w:vAlign w:val="center"/>
          </w:tcPr>
          <w:p>
            <w:pPr>
              <w:pStyle w:val="TableContents"/>
              <w:bidi w:val="0"/>
              <w:spacing w:before="0" w:after="0"/>
              <w:ind w:left="0" w:right="0" w:hanging="0"/>
              <w:jc w:val="left"/>
              <w:rPr/>
            </w:pPr>
            <w:r>
              <w:rPr/>
              <w:t>​</w:t>
            </w:r>
          </w:p>
        </w:tc>
        <w:tc>
          <w:tcPr>
            <w:tcW w:w="667" w:type="dxa"/>
            <w:tcBorders/>
            <w:vAlign w:val="center"/>
          </w:tcPr>
          <w:p>
            <w:pPr>
              <w:pStyle w:val="TableContents"/>
              <w:bidi w:val="0"/>
              <w:spacing w:before="0" w:after="0"/>
              <w:ind w:left="0" w:right="0" w:hanging="0"/>
              <w:jc w:val="left"/>
              <w:rPr/>
            </w:pPr>
            <w:r>
              <w:rPr/>
              <w:t>​</w:t>
            </w:r>
          </w:p>
        </w:tc>
        <w:tc>
          <w:tcPr>
            <w:tcW w:w="251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4,312</w:t>
            </w:r>
          </w:p>
        </w:tc>
      </w:tr>
      <w:tr>
        <w:trPr/>
        <w:tc>
          <w:tcPr>
            <w:tcW w:w="237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2032 and Thereafter</w:t>
            </w:r>
          </w:p>
        </w:tc>
        <w:tc>
          <w:tcPr>
            <w:tcW w:w="109" w:type="dxa"/>
            <w:tcBorders/>
            <w:shd w:fill="CCEEFF" w:val="clear"/>
            <w:vAlign w:val="center"/>
          </w:tcPr>
          <w:p>
            <w:pPr>
              <w:pStyle w:val="TableContents"/>
              <w:bidi w:val="0"/>
              <w:spacing w:before="0" w:after="0"/>
              <w:ind w:left="0" w:right="0" w:hanging="0"/>
              <w:jc w:val="left"/>
              <w:rPr/>
            </w:pPr>
            <w:r>
              <w:rPr/>
              <w:t>​</w:t>
            </w:r>
          </w:p>
        </w:tc>
        <w:tc>
          <w:tcPr>
            <w:tcW w:w="45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44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7,759</w:t>
            </w:r>
          </w:p>
        </w:tc>
        <w:tc>
          <w:tcPr>
            <w:tcW w:w="109" w:type="dxa"/>
            <w:tcBorders/>
            <w:shd w:fill="CCEEFF" w:val="clear"/>
            <w:vAlign w:val="center"/>
          </w:tcPr>
          <w:p>
            <w:pPr>
              <w:pStyle w:val="TableContents"/>
              <w:bidi w:val="0"/>
              <w:spacing w:before="0" w:after="0"/>
              <w:ind w:left="0" w:right="0" w:hanging="0"/>
              <w:jc w:val="left"/>
              <w:rPr/>
            </w:pPr>
            <w:r>
              <w:rPr/>
              <w:t>​</w:t>
            </w:r>
          </w:p>
        </w:tc>
        <w:tc>
          <w:tcPr>
            <w:tcW w:w="60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81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w:t>
            </w:r>
          </w:p>
        </w:tc>
        <w:tc>
          <w:tcPr>
            <w:tcW w:w="109" w:type="dxa"/>
            <w:tcBorders/>
            <w:shd w:fill="CCEEFF" w:val="clear"/>
            <w:vAlign w:val="center"/>
          </w:tcPr>
          <w:p>
            <w:pPr>
              <w:pStyle w:val="TableContents"/>
              <w:bidi w:val="0"/>
              <w:spacing w:before="0" w:after="0"/>
              <w:ind w:left="0" w:right="0" w:hanging="0"/>
              <w:jc w:val="left"/>
              <w:rPr/>
            </w:pPr>
            <w:r>
              <w:rPr/>
              <w:t>​</w:t>
            </w:r>
          </w:p>
        </w:tc>
        <w:tc>
          <w:tcPr>
            <w:tcW w:w="66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51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7,630</w:t>
            </w:r>
          </w:p>
        </w:tc>
      </w:tr>
      <w:tr>
        <w:trPr/>
        <w:tc>
          <w:tcPr>
            <w:tcW w:w="237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109" w:type="dxa"/>
            <w:tcBorders/>
            <w:vAlign w:val="center"/>
          </w:tcPr>
          <w:p>
            <w:pPr>
              <w:pStyle w:val="TableContents"/>
              <w:bidi w:val="0"/>
              <w:spacing w:before="0" w:after="0"/>
              <w:ind w:left="0" w:right="0" w:hanging="0"/>
              <w:jc w:val="left"/>
              <w:rPr/>
            </w:pPr>
            <w:r>
              <w:rPr/>
              <w:t>​</w:t>
            </w:r>
          </w:p>
        </w:tc>
        <w:tc>
          <w:tcPr>
            <w:tcW w:w="45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4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45,113</w:t>
            </w:r>
          </w:p>
        </w:tc>
        <w:tc>
          <w:tcPr>
            <w:tcW w:w="109" w:type="dxa"/>
            <w:tcBorders/>
            <w:vAlign w:val="center"/>
          </w:tcPr>
          <w:p>
            <w:pPr>
              <w:pStyle w:val="TableContents"/>
              <w:bidi w:val="0"/>
              <w:spacing w:before="0" w:after="0"/>
              <w:ind w:left="0" w:right="0" w:hanging="0"/>
              <w:jc w:val="left"/>
              <w:rPr/>
            </w:pPr>
            <w:r>
              <w:rPr/>
              <w:t>​</w:t>
            </w:r>
          </w:p>
        </w:tc>
        <w:tc>
          <w:tcPr>
            <w:tcW w:w="60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81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(3,564)</w:t>
            </w:r>
          </w:p>
        </w:tc>
        <w:tc>
          <w:tcPr>
            <w:tcW w:w="109" w:type="dxa"/>
            <w:tcBorders/>
            <w:vAlign w:val="center"/>
          </w:tcPr>
          <w:p>
            <w:pPr>
              <w:pStyle w:val="TableContents"/>
              <w:bidi w:val="0"/>
              <w:spacing w:before="0" w:after="0"/>
              <w:ind w:left="0" w:right="0" w:hanging="0"/>
              <w:jc w:val="left"/>
              <w:rPr/>
            </w:pPr>
            <w:r>
              <w:rPr/>
              <w:t>​</w:t>
            </w:r>
          </w:p>
        </w:tc>
        <w:tc>
          <w:tcPr>
            <w:tcW w:w="66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515" w:type="dxa"/>
            <w:tcBorders>
              <w:bottom w:val="double" w:sz="6" w:space="0" w:color="000000"/>
            </w:tcBorders>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41,549</w:t>
            </w:r>
          </w:p>
        </w:tc>
      </w:tr>
    </w:tbl>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As of June 30, 2026, the weighted average amortization period of both the total intangible assets and liabilities was 8.7 years.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7. PROVISION FOR IMPAIRMENT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i/>
          <w:sz w:val="20"/>
        </w:rPr>
        <w:t>Income Properties</w:t>
      </w:r>
      <w:r>
        <w:rPr>
          <w:rFonts w:ascii="Times New Roman;Times;serif" w:hAnsi="Times New Roman;Times;serif"/>
          <w:sz w:val="20"/>
        </w:rPr>
        <w:t>. The Company assesses the impairment of long-lived assets whenever events or changes in circumstances indicate that the carrying amount of an asset may not be recoverable. The fair value of long-lived assets required to be assessed for impairment is determined on a non-recurring basis using Level 3 inputs in the fair value hierarchy. These Level 3 inputs may include, but are not limited to, letters of intent on specific properties, executed purchase and sale agreements on specific properties, third-party valuations, discounted cash flow models, and other model-based techniques.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During the three and six months ended June 30, 2026, the Company recorded a $0.2 million impairment charge related to a property within the Company’s income properties segment. The impairment charge was a result of the execution of a purchase and sale agreement during the three months ended June 30, 2026, under which the contractual sales price, less the property’s carrying value and estimated costs to sell, results in an impairment. The impairment during the six months ended June 30, 2026 is related to a property leased to Advance Auto Parts. The Company’s execution of the above-referenced purchase and sale agreement is consistent with the Company’s current intent to dispose of such property at a price less than its carrying value to facilitate the re-investment of the proceeds therefrom into new investment opportunities.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During the three and six months ended June 30, 2025, the Company recorded $2.8 million and $4.6 million of impairment charges, respectively, with respect to certain properties within the Company’s income properties segment. The impairment charges are a result of the execution during the respective periods of letters of intent and/or purchase and sale agreements under which the expected sales prices, less the properties’ carrying values and estimated costs to sell, resulted in impairments. The impairments during the six months ended June 30, 2025 are related to the following properties: (i) three convenience store properties, which were classified as held for sale; (ii) a property formerly leased to Party City; (iii) a property leased to At Home; (iv) a property formerly leased to Century Theater Center; and (v) two properties leased to Walgreens.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i/>
          <w:sz w:val="20"/>
        </w:rPr>
        <w:t>Commercial Loans and Investments</w:t>
      </w:r>
      <w:r>
        <w:rPr>
          <w:rFonts w:ascii="Times New Roman;Times;serif" w:hAnsi="Times New Roman;Times;serif"/>
          <w:sz w:val="20"/>
        </w:rPr>
        <w:t xml:space="preserve">. The Company evaluates the collectability of its commercial loans and investments, including sales-type lease investments, on a quarterly basis or whenever events or changes in circumstances indicate that the carrying amount of an asset may not be recoverable. The Company accounts for provisions for expected credit losses in accordance with ASC Topic 326, </w:t>
      </w:r>
      <w:r>
        <w:rPr>
          <w:rFonts w:ascii="Times New Roman;Times;serif" w:hAnsi="Times New Roman;Times;serif"/>
          <w:i/>
          <w:sz w:val="20"/>
        </w:rPr>
        <w:t>Measurement of Credit Losses on Financial Instruments</w:t>
      </w:r>
      <w:r>
        <w:rPr>
          <w:rFonts w:ascii="Times New Roman;Times;serif" w:hAnsi="Times New Roman;Times;serif"/>
          <w:sz w:val="20"/>
        </w:rPr>
        <w:t>. Changes in the Company’s allowance for credit losses are presented within the provision for impairment in the accompanying consolidated statements of operations.</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During the three and six months ended June 30, 2026, the Company recorded charges of $0.2 million and $0.7 million, respectively, representing the provision for credit losses related to our commercial loans and investments. The impairment charges were driven by the initial estimated CECL allowance based on our investment activity as well as loan repayments during the three and six months ended June 30, 2026. We are unable to use historical data to estimate expected credit losses as we have incurred no losses to date. Management utilizes a loss-rate method and considers macroeconomic factors to estimate its CECL allowance, which is calculated based on the amortized cost basis of the commercial loans.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During the six months ended June 30, 2025, the Company recorded an impairment charge of $0.2 million, which was incurred during the three months ended March 31, 2025, representing the provision for credit losses related to our commercial loans and investments. The impairment charges were driven by the initial estimated CECL allowance based on our investment activity as well as loan repayments during the three and six months ended June 30, 2025.</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268" w:name="Tc_7kIksKR0PEyTnqj2ZXSefw_10_5"/>
      <w:bookmarkStart w:id="1269" w:name="Tc_P4xNFC2WAkWK_WsnrbF47g_10_2"/>
      <w:bookmarkStart w:id="1270" w:name="Tc_m-Bqloo0mEyPstnDtUihnw_10_0"/>
      <w:bookmarkStart w:id="1271" w:name="Tc_6tZopQ3TbkK5gsk8Bzy1og_9_0"/>
      <w:bookmarkStart w:id="1272" w:name="Tc_3GxDyLCWx0aixD1sfnBtmg_8_0"/>
      <w:bookmarkStart w:id="1273" w:name="Tc_L50yg8SerUqGJPqCTv1DCQ_7_0"/>
      <w:bookmarkStart w:id="1274" w:name="Tc_hyVvJnE12EGZGII9hmSNdw_6_0"/>
      <w:bookmarkStart w:id="1275" w:name="Tc_CkXmWZlJe0ORCgcRMyOfKQ_5_6"/>
      <w:bookmarkStart w:id="1276" w:name="Tc_B9a6bw4i4UGBuROBqPl55Q_5_0"/>
      <w:bookmarkStart w:id="1277" w:name="Tc_pHeXv0MiIE2F54yV2YVzhQ_4_0"/>
      <w:bookmarkStart w:id="1278" w:name="Tc_FBTsS8uFYU-LU2QvHIETcA_3_5"/>
      <w:bookmarkStart w:id="1279" w:name="Tc_8zfVFsVUKkKz1MlbNcltQg_3_2"/>
      <w:bookmarkStart w:id="1280" w:name="Tc_iuLkNd_pMUuVUmtHJu8Piw_3_0"/>
      <w:bookmarkStart w:id="1281" w:name="Tc_GgD3eeNDpE6-mb3fD0U2VQ_2_5"/>
      <w:bookmarkStart w:id="1282" w:name="Tc_cyKP5LiNwEemW0Wl4jTvsQ_2_2"/>
      <w:bookmarkStart w:id="1283" w:name="Tc_kdSETnAivkC7CDOD2EQRIg_1_2"/>
      <w:bookmarkStart w:id="1284" w:name="_370ff305_a04d_43fc_835a_77b2e2ff6266"/>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r>
        <w:rPr>
          <w:rFonts w:ascii="Times New Roman;Times;serif" w:hAnsi="Times New Roman;Times;serif"/>
          <w:b/>
          <w:sz w:val="20"/>
        </w:rPr>
        <w:t>NOTE 8. OTHER ASSETS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Other assets consisted of the following (in thousands):</w:t>
      </w:r>
    </w:p>
    <w:p>
      <w:pPr>
        <w:pStyle w:val="TextBody"/>
        <w:bidi w:val="0"/>
        <w:spacing w:before="0" w:after="0"/>
        <w:ind w:left="0" w:right="0" w:firstLine="360"/>
        <w:jc w:val="both"/>
        <w:rPr/>
      </w:pPr>
      <w:r>
        <w:rPr/>
        <w:t>​</w:t>
      </w:r>
    </w:p>
    <w:tbl>
      <w:tblPr>
        <w:tblW w:w="8664" w:type="dxa"/>
        <w:jc w:val="left"/>
        <w:tblInd w:w="0" w:type="dxa"/>
        <w:tblLayout w:type="fixed"/>
        <w:tblCellMar>
          <w:top w:w="0" w:type="dxa"/>
          <w:left w:w="0" w:type="dxa"/>
          <w:bottom w:w="0" w:type="dxa"/>
          <w:right w:w="0" w:type="dxa"/>
        </w:tblCellMar>
      </w:tblPr>
      <w:tblGrid>
        <w:gridCol w:w="5401"/>
        <w:gridCol w:w="109"/>
        <w:gridCol w:w="303"/>
        <w:gridCol w:w="972"/>
        <w:gridCol w:w="109"/>
        <w:gridCol w:w="414"/>
        <w:gridCol w:w="1356"/>
      </w:tblGrid>
      <w:tr>
        <w:trPr/>
        <w:tc>
          <w:tcPr>
            <w:tcW w:w="54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3429635" cy="175260"/>
                      <wp:effectExtent l="0" t="0" r="0" b="0"/>
                      <wp:wrapNone/>
                      <wp:docPr id="235" name="Frame235"/>
                      <a:graphic xmlns:a="http://schemas.openxmlformats.org/drawingml/2006/main">
                        <a:graphicData uri="http://schemas.microsoft.com/office/word/2010/wordprocessingShape">
                          <wps:wsp>
                            <wps:cNvSpPr txBox="1"/>
                            <wps:spPr>
                              <a:xfrm>
                                <a:off x="0" y="0"/>
                                <a:ext cx="3429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69215" cy="175260"/>
                      <wp:effectExtent l="0" t="0" r="0" b="0"/>
                      <wp:wrapNone/>
                      <wp:docPr id="236" name="Frame23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192405" cy="175260"/>
                      <wp:effectExtent l="0" t="0" r="0" b="0"/>
                      <wp:wrapNone/>
                      <wp:docPr id="237" name="Frame237"/>
                      <a:graphic xmlns:a="http://schemas.openxmlformats.org/drawingml/2006/main">
                        <a:graphicData uri="http://schemas.microsoft.com/office/word/2010/wordprocessingShape">
                          <wps:wsp>
                            <wps:cNvSpPr txBox="1"/>
                            <wps:spPr>
                              <a:xfrm>
                                <a:off x="0" y="0"/>
                                <a:ext cx="1924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617220" cy="175260"/>
                      <wp:effectExtent l="0" t="0" r="0" b="0"/>
                      <wp:wrapNone/>
                      <wp:docPr id="238" name="Frame238"/>
                      <a:graphic xmlns:a="http://schemas.openxmlformats.org/drawingml/2006/main">
                        <a:graphicData uri="http://schemas.microsoft.com/office/word/2010/wordprocessingShape">
                          <wps:wsp>
                            <wps:cNvSpPr txBox="1"/>
                            <wps:spPr>
                              <a:xfrm>
                                <a:off x="0" y="0"/>
                                <a:ext cx="6172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69215" cy="175260"/>
                      <wp:effectExtent l="0" t="0" r="0" b="0"/>
                      <wp:wrapNone/>
                      <wp:docPr id="239" name="Frame23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262890" cy="175260"/>
                      <wp:effectExtent l="0" t="0" r="0" b="0"/>
                      <wp:wrapNone/>
                      <wp:docPr id="240" name="Frame240"/>
                      <a:graphic xmlns:a="http://schemas.openxmlformats.org/drawingml/2006/main">
                        <a:graphicData uri="http://schemas.microsoft.com/office/word/2010/wordprocessingShape">
                          <wps:wsp>
                            <wps:cNvSpPr txBox="1"/>
                            <wps:spPr>
                              <a:xfrm>
                                <a:off x="0" y="0"/>
                                <a:ext cx="2628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861060" cy="175260"/>
                      <wp:effectExtent l="0" t="0" r="0" b="0"/>
                      <wp:wrapNone/>
                      <wp:docPr id="241" name="Frame241"/>
                      <a:graphic xmlns:a="http://schemas.openxmlformats.org/drawingml/2006/main">
                        <a:graphicData uri="http://schemas.microsoft.com/office/word/2010/wordprocessingShape">
                          <wps:wsp>
                            <wps:cNvSpPr txBox="1"/>
                            <wps:spPr>
                              <a:xfrm>
                                <a:off x="0" y="0"/>
                                <a:ext cx="861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4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15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of</w:t>
            </w:r>
          </w:p>
        </w:tc>
      </w:tr>
      <w:tr>
        <w:trPr/>
        <w:tc>
          <w:tcPr>
            <w:tcW w:w="54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2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2026</w:t>
            </w:r>
          </w:p>
        </w:tc>
        <w:tc>
          <w:tcPr>
            <w:tcW w:w="109" w:type="dxa"/>
            <w:tcBorders/>
            <w:vAlign w:val="center"/>
          </w:tcPr>
          <w:p>
            <w:pPr>
              <w:pStyle w:val="TableContents"/>
              <w:bidi w:val="0"/>
              <w:spacing w:before="0" w:after="0"/>
              <w:ind w:left="0" w:right="0" w:hanging="0"/>
              <w:jc w:val="left"/>
              <w:rPr/>
            </w:pPr>
            <w:r>
              <w:rPr/>
              <w:t>​</w:t>
            </w:r>
          </w:p>
        </w:tc>
        <w:tc>
          <w:tcPr>
            <w:tcW w:w="17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2025</w:t>
            </w:r>
          </w:p>
        </w:tc>
      </w:tr>
      <w:tr>
        <w:trPr/>
        <w:tc>
          <w:tcPr>
            <w:tcW w:w="540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Tenant Receivables—Net of Allowance for Doubtful Accounts </w:t>
            </w:r>
            <w:r>
              <w:rPr>
                <w:rFonts w:ascii="Times New Roman;Times;serif" w:hAnsi="Times New Roman;Times;serif"/>
                <w:sz w:val="15"/>
              </w:rPr>
              <w:t>(1)</w:t>
            </w:r>
          </w:p>
        </w:tc>
        <w:tc>
          <w:tcPr>
            <w:tcW w:w="109"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1,582</w:t>
            </w:r>
          </w:p>
        </w:tc>
        <w:tc>
          <w:tcPr>
            <w:tcW w:w="109" w:type="dxa"/>
            <w:tcBorders/>
            <w:shd w:fill="CCEEFF" w:val="clear"/>
            <w:vAlign w:val="center"/>
          </w:tcPr>
          <w:p>
            <w:pPr>
              <w:pStyle w:val="TableContents"/>
              <w:bidi w:val="0"/>
              <w:spacing w:before="0" w:after="0"/>
              <w:ind w:left="0" w:right="0" w:hanging="0"/>
              <w:jc w:val="left"/>
              <w:rPr/>
            </w:pPr>
            <w:r>
              <w:rPr/>
              <w:t>​</w:t>
            </w:r>
          </w:p>
        </w:tc>
        <w:tc>
          <w:tcPr>
            <w:tcW w:w="41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889</w:t>
            </w:r>
          </w:p>
        </w:tc>
      </w:tr>
      <w:tr>
        <w:trPr/>
        <w:tc>
          <w:tcPr>
            <w:tcW w:w="54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Prepaid Insurance </w:t>
            </w:r>
          </w:p>
        </w:tc>
        <w:tc>
          <w:tcPr>
            <w:tcW w:w="109"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pPr>
            <w:r>
              <w:rPr/>
              <w:t>​</w:t>
            </w:r>
          </w:p>
        </w:tc>
        <w:tc>
          <w:tcPr>
            <w:tcW w:w="9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356</w:t>
            </w:r>
          </w:p>
        </w:tc>
        <w:tc>
          <w:tcPr>
            <w:tcW w:w="109" w:type="dxa"/>
            <w:tcBorders/>
            <w:vAlign w:val="center"/>
          </w:tcPr>
          <w:p>
            <w:pPr>
              <w:pStyle w:val="TableContents"/>
              <w:bidi w:val="0"/>
              <w:spacing w:before="0" w:after="0"/>
              <w:ind w:left="0" w:right="0" w:hanging="0"/>
              <w:jc w:val="left"/>
              <w:rPr/>
            </w:pPr>
            <w:r>
              <w:rPr/>
              <w:t>​</w:t>
            </w:r>
          </w:p>
        </w:tc>
        <w:tc>
          <w:tcPr>
            <w:tcW w:w="414" w:type="dxa"/>
            <w:tcBorders/>
            <w:vAlign w:val="center"/>
          </w:tcPr>
          <w:p>
            <w:pPr>
              <w:pStyle w:val="TableContents"/>
              <w:bidi w:val="0"/>
              <w:spacing w:before="0" w:after="0"/>
              <w:ind w:left="0" w:right="0" w:hanging="0"/>
              <w:jc w:val="left"/>
              <w:rPr/>
            </w:pPr>
            <w:r>
              <w:rPr/>
              <w:t>​</w:t>
            </w:r>
          </w:p>
        </w:tc>
        <w:tc>
          <w:tcPr>
            <w:tcW w:w="13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w:t>
            </w:r>
          </w:p>
        </w:tc>
      </w:tr>
      <w:tr>
        <w:trPr/>
        <w:tc>
          <w:tcPr>
            <w:tcW w:w="54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Deposits on Acquisitions</w:t>
            </w:r>
          </w:p>
        </w:tc>
        <w:tc>
          <w:tcPr>
            <w:tcW w:w="109"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pPr>
            <w:r>
              <w:rPr/>
              <w:t>​</w:t>
            </w:r>
          </w:p>
        </w:tc>
        <w:tc>
          <w:tcPr>
            <w:tcW w:w="97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450</w:t>
            </w:r>
          </w:p>
        </w:tc>
        <w:tc>
          <w:tcPr>
            <w:tcW w:w="109" w:type="dxa"/>
            <w:tcBorders/>
            <w:shd w:fill="CCEEFF" w:val="clear"/>
            <w:vAlign w:val="center"/>
          </w:tcPr>
          <w:p>
            <w:pPr>
              <w:pStyle w:val="TableContents"/>
              <w:bidi w:val="0"/>
              <w:spacing w:before="0" w:after="0"/>
              <w:ind w:left="0" w:right="0" w:hanging="0"/>
              <w:jc w:val="left"/>
              <w:rPr/>
            </w:pPr>
            <w:r>
              <w:rPr/>
              <w:t>​</w:t>
            </w:r>
          </w:p>
        </w:tc>
        <w:tc>
          <w:tcPr>
            <w:tcW w:w="414" w:type="dxa"/>
            <w:tcBorders/>
            <w:shd w:fill="CCEEFF" w:val="clear"/>
            <w:vAlign w:val="center"/>
          </w:tcPr>
          <w:p>
            <w:pPr>
              <w:pStyle w:val="TableContents"/>
              <w:bidi w:val="0"/>
              <w:spacing w:before="0" w:after="0"/>
              <w:ind w:left="0" w:right="0" w:hanging="0"/>
              <w:jc w:val="left"/>
              <w:rPr/>
            </w:pPr>
            <w:r>
              <w:rPr/>
              <w:t>​</w:t>
            </w:r>
          </w:p>
        </w:tc>
        <w:tc>
          <w:tcPr>
            <w:tcW w:w="1356" w:type="dxa"/>
            <w:tcBorders/>
            <w:shd w:fill="CCEEFF" w:val="clear"/>
            <w:vAlign w:val="center"/>
          </w:tcPr>
          <w:p>
            <w:pPr>
              <w:pStyle w:val="TableContents"/>
              <w:bidi w:val="0"/>
              <w:spacing w:before="0" w:after="0"/>
              <w:ind w:left="0" w:right="0" w:hanging="0"/>
              <w:jc w:val="right"/>
              <w:rPr/>
            </w:pPr>
            <w:r>
              <w:rPr/>
              <w:t>—</w:t>
            </w:r>
          </w:p>
        </w:tc>
      </w:tr>
      <w:tr>
        <w:trPr/>
        <w:tc>
          <w:tcPr>
            <w:tcW w:w="54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Expenses, Deposits, and Other</w:t>
            </w:r>
          </w:p>
        </w:tc>
        <w:tc>
          <w:tcPr>
            <w:tcW w:w="109"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pPr>
            <w:r>
              <w:rPr/>
              <w:t>​</w:t>
            </w:r>
          </w:p>
        </w:tc>
        <w:tc>
          <w:tcPr>
            <w:tcW w:w="9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2,867</w:t>
            </w:r>
          </w:p>
        </w:tc>
        <w:tc>
          <w:tcPr>
            <w:tcW w:w="109" w:type="dxa"/>
            <w:tcBorders/>
            <w:vAlign w:val="center"/>
          </w:tcPr>
          <w:p>
            <w:pPr>
              <w:pStyle w:val="TableContents"/>
              <w:bidi w:val="0"/>
              <w:spacing w:before="0" w:after="0"/>
              <w:ind w:left="0" w:right="0" w:hanging="0"/>
              <w:jc w:val="left"/>
              <w:rPr/>
            </w:pPr>
            <w:r>
              <w:rPr/>
              <w:t>​</w:t>
            </w:r>
          </w:p>
        </w:tc>
        <w:tc>
          <w:tcPr>
            <w:tcW w:w="414" w:type="dxa"/>
            <w:tcBorders/>
            <w:vAlign w:val="center"/>
          </w:tcPr>
          <w:p>
            <w:pPr>
              <w:pStyle w:val="TableContents"/>
              <w:bidi w:val="0"/>
              <w:spacing w:before="0" w:after="0"/>
              <w:ind w:left="0" w:right="0" w:hanging="0"/>
              <w:jc w:val="left"/>
              <w:rPr/>
            </w:pPr>
            <w:r>
              <w:rPr/>
              <w:t>​</w:t>
            </w:r>
          </w:p>
        </w:tc>
        <w:tc>
          <w:tcPr>
            <w:tcW w:w="13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1,958</w:t>
            </w:r>
          </w:p>
        </w:tc>
      </w:tr>
      <w:tr>
        <w:trPr/>
        <w:tc>
          <w:tcPr>
            <w:tcW w:w="54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Financing Costs—Net</w:t>
            </w:r>
          </w:p>
        </w:tc>
        <w:tc>
          <w:tcPr>
            <w:tcW w:w="109"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pPr>
            <w:r>
              <w:rPr/>
              <w:t>​</w:t>
            </w:r>
          </w:p>
        </w:tc>
        <w:tc>
          <w:tcPr>
            <w:tcW w:w="97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2,454</w:t>
            </w:r>
          </w:p>
        </w:tc>
        <w:tc>
          <w:tcPr>
            <w:tcW w:w="109" w:type="dxa"/>
            <w:tcBorders/>
            <w:shd w:fill="CCEEFF" w:val="clear"/>
            <w:vAlign w:val="center"/>
          </w:tcPr>
          <w:p>
            <w:pPr>
              <w:pStyle w:val="TableContents"/>
              <w:bidi w:val="0"/>
              <w:spacing w:before="0" w:after="0"/>
              <w:ind w:left="0" w:right="0" w:hanging="0"/>
              <w:jc w:val="left"/>
              <w:rPr/>
            </w:pPr>
            <w:r>
              <w:rPr/>
              <w:t>​</w:t>
            </w:r>
          </w:p>
        </w:tc>
        <w:tc>
          <w:tcPr>
            <w:tcW w:w="414" w:type="dxa"/>
            <w:tcBorders/>
            <w:shd w:fill="CCEEFF" w:val="clear"/>
            <w:vAlign w:val="center"/>
          </w:tcPr>
          <w:p>
            <w:pPr>
              <w:pStyle w:val="TableContents"/>
              <w:bidi w:val="0"/>
              <w:spacing w:before="0" w:after="0"/>
              <w:ind w:left="0" w:right="0" w:hanging="0"/>
              <w:jc w:val="left"/>
              <w:rPr/>
            </w:pPr>
            <w:r>
              <w:rPr/>
              <w:t>​</w:t>
            </w:r>
          </w:p>
        </w:tc>
        <w:tc>
          <w:tcPr>
            <w:tcW w:w="13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471</w:t>
            </w:r>
          </w:p>
        </w:tc>
      </w:tr>
      <w:tr>
        <w:trPr/>
        <w:tc>
          <w:tcPr>
            <w:tcW w:w="54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Rate Swaps</w:t>
            </w:r>
          </w:p>
        </w:tc>
        <w:tc>
          <w:tcPr>
            <w:tcW w:w="109"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pPr>
            <w:r>
              <w:rPr/>
              <w:t>​</w:t>
            </w:r>
          </w:p>
        </w:tc>
        <w:tc>
          <w:tcPr>
            <w:tcW w:w="9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4,133</w:t>
            </w:r>
          </w:p>
        </w:tc>
        <w:tc>
          <w:tcPr>
            <w:tcW w:w="109" w:type="dxa"/>
            <w:tcBorders/>
            <w:vAlign w:val="center"/>
          </w:tcPr>
          <w:p>
            <w:pPr>
              <w:pStyle w:val="TableContents"/>
              <w:bidi w:val="0"/>
              <w:spacing w:before="0" w:after="0"/>
              <w:ind w:left="0" w:right="0" w:hanging="0"/>
              <w:jc w:val="left"/>
              <w:rPr/>
            </w:pPr>
            <w:r>
              <w:rPr/>
              <w:t>​</w:t>
            </w:r>
          </w:p>
        </w:tc>
        <w:tc>
          <w:tcPr>
            <w:tcW w:w="414" w:type="dxa"/>
            <w:tcBorders/>
            <w:vAlign w:val="center"/>
          </w:tcPr>
          <w:p>
            <w:pPr>
              <w:pStyle w:val="TableContents"/>
              <w:bidi w:val="0"/>
              <w:spacing w:before="0" w:after="0"/>
              <w:ind w:left="0" w:right="0" w:hanging="0"/>
              <w:jc w:val="left"/>
              <w:rPr/>
            </w:pPr>
            <w:r>
              <w:rPr/>
              <w:t>​</w:t>
            </w:r>
          </w:p>
        </w:tc>
        <w:tc>
          <w:tcPr>
            <w:tcW w:w="13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2,315</w:t>
            </w:r>
          </w:p>
        </w:tc>
      </w:tr>
      <w:tr>
        <w:trPr/>
        <w:tc>
          <w:tcPr>
            <w:tcW w:w="540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Operating Leases - Right-of-Use Asset </w:t>
            </w:r>
            <w:r>
              <w:rPr>
                <w:rFonts w:ascii="Times New Roman;Times;serif" w:hAnsi="Times New Roman;Times;serif"/>
                <w:sz w:val="15"/>
              </w:rPr>
              <w:t>(2)</w:t>
            </w:r>
          </w:p>
        </w:tc>
        <w:tc>
          <w:tcPr>
            <w:tcW w:w="109" w:type="dxa"/>
            <w:tcBorders/>
            <w:shd w:fill="CCEEFF" w:val="clear"/>
            <w:vAlign w:val="center"/>
          </w:tcPr>
          <w:p>
            <w:pPr>
              <w:pStyle w:val="TableContents"/>
              <w:bidi w:val="0"/>
              <w:spacing w:before="0" w:after="0"/>
              <w:ind w:left="0" w:right="0" w:hanging="0"/>
              <w:jc w:val="left"/>
              <w:rPr/>
            </w:pPr>
            <w:r>
              <w:rPr/>
              <w:t>​</w:t>
            </w:r>
          </w:p>
        </w:tc>
        <w:tc>
          <w:tcPr>
            <w:tcW w:w="30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7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2,932</w:t>
            </w:r>
          </w:p>
        </w:tc>
        <w:tc>
          <w:tcPr>
            <w:tcW w:w="109" w:type="dxa"/>
            <w:tcBorders/>
            <w:shd w:fill="CCEEFF" w:val="clear"/>
            <w:vAlign w:val="center"/>
          </w:tcPr>
          <w:p>
            <w:pPr>
              <w:pStyle w:val="TableContents"/>
              <w:bidi w:val="0"/>
              <w:spacing w:before="0" w:after="0"/>
              <w:ind w:left="0" w:right="0" w:hanging="0"/>
              <w:jc w:val="left"/>
              <w:rPr/>
            </w:pPr>
            <w:r>
              <w:rPr/>
              <w:t>​</w:t>
            </w:r>
          </w:p>
        </w:tc>
        <w:tc>
          <w:tcPr>
            <w:tcW w:w="41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3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3,025</w:t>
            </w:r>
          </w:p>
        </w:tc>
      </w:tr>
      <w:tr>
        <w:trPr/>
        <w:tc>
          <w:tcPr>
            <w:tcW w:w="54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Other Assets</w:t>
            </w:r>
          </w:p>
        </w:tc>
        <w:tc>
          <w:tcPr>
            <w:tcW w:w="109" w:type="dxa"/>
            <w:tcBorders/>
            <w:vAlign w:val="center"/>
          </w:tcPr>
          <w:p>
            <w:pPr>
              <w:pStyle w:val="TableContents"/>
              <w:bidi w:val="0"/>
              <w:spacing w:before="0" w:after="0"/>
              <w:ind w:left="0" w:right="0" w:hanging="0"/>
              <w:jc w:val="left"/>
              <w:rPr/>
            </w:pPr>
            <w:r>
              <w:rPr/>
              <w:t>​</w:t>
            </w:r>
          </w:p>
        </w:tc>
        <w:tc>
          <w:tcPr>
            <w:tcW w:w="30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14,774</w:t>
            </w:r>
          </w:p>
        </w:tc>
        <w:tc>
          <w:tcPr>
            <w:tcW w:w="109" w:type="dxa"/>
            <w:tcBorders/>
            <w:vAlign w:val="center"/>
          </w:tcPr>
          <w:p>
            <w:pPr>
              <w:pStyle w:val="TableContents"/>
              <w:bidi w:val="0"/>
              <w:spacing w:before="0" w:after="0"/>
              <w:ind w:left="0" w:right="0" w:hanging="0"/>
              <w:jc w:val="left"/>
              <w:rPr/>
            </w:pPr>
            <w:r>
              <w:rPr/>
              <w:t>​</w:t>
            </w:r>
          </w:p>
        </w:tc>
        <w:tc>
          <w:tcPr>
            <w:tcW w:w="41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56" w:type="dxa"/>
            <w:tcBorders>
              <w:bottom w:val="double" w:sz="6" w:space="0" w:color="000000"/>
            </w:tcBorders>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8,908</w:t>
            </w:r>
          </w:p>
        </w:tc>
      </w:tr>
    </w:tbl>
    <w:tbl>
      <w:tblPr>
        <w:tblW w:w="9632" w:type="dxa"/>
        <w:jc w:val="left"/>
        <w:tblInd w:w="0" w:type="dxa"/>
        <w:tblLayout w:type="fixed"/>
        <w:tblCellMar>
          <w:top w:w="0" w:type="dxa"/>
          <w:left w:w="0" w:type="dxa"/>
          <w:bottom w:w="0" w:type="dxa"/>
          <w:right w:w="0" w:type="dxa"/>
        </w:tblCellMar>
      </w:tblPr>
      <w:tblGrid>
        <w:gridCol w:w="271"/>
        <w:gridCol w:w="9361"/>
      </w:tblGrid>
      <w:tr>
        <w:trPr/>
        <w:tc>
          <w:tcPr>
            <w:tcW w:w="271" w:type="dxa"/>
            <w:tcBorders/>
            <w:vAlign w:val="center"/>
          </w:tcPr>
          <w:p>
            <w:pPr>
              <w:pStyle w:val="TableContents"/>
              <w:bidi w:val="0"/>
              <w:spacing w:before="0" w:after="283"/>
              <w:jc w:val="left"/>
              <w:rPr>
                <w:rFonts w:ascii="Times New Roman;Times;serif" w:hAnsi="Times New Roman;Times;serif"/>
                <w:sz w:val="12"/>
              </w:rPr>
            </w:pPr>
            <w:r>
              <w:rPr>
                <w:rFonts w:ascii="Times New Roman;Times;serif" w:hAnsi="Times New Roman;Times;serif"/>
                <w:sz w:val="12"/>
              </w:rPr>
              <w:t>(1)</w:t>
            </w:r>
          </w:p>
        </w:tc>
        <w:tc>
          <w:tcPr>
            <w:tcW w:w="9361"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Includes a $0.3</w:t>
            </w:r>
            <w:r>
              <w:rPr>
                <w:caps w:val="false"/>
                <w:smallCaps w:val="false"/>
              </w:rPr>
              <w:t xml:space="preserve"> </w:t>
            </w:r>
            <w:r>
              <w:rPr>
                <w:rFonts w:ascii="Times New Roman;Times;serif" w:hAnsi="Times New Roman;Times;serif"/>
                <w:b w:val="false"/>
                <w:i w:val="false"/>
                <w:caps w:val="false"/>
                <w:smallCaps w:val="false"/>
                <w:sz w:val="16"/>
              </w:rPr>
              <w:t>million and $0.2</w:t>
            </w:r>
            <w:r>
              <w:rPr>
                <w:caps w:val="false"/>
                <w:smallCaps w:val="false"/>
              </w:rPr>
              <w:t xml:space="preserve"> </w:t>
            </w:r>
            <w:r>
              <w:rPr>
                <w:rFonts w:ascii="Times New Roman;Times;serif" w:hAnsi="Times New Roman;Times;serif"/>
                <w:b w:val="false"/>
                <w:i w:val="false"/>
                <w:caps w:val="false"/>
                <w:smallCaps w:val="false"/>
                <w:sz w:val="16"/>
              </w:rPr>
              <w:t>million allowance for doubtful accounts as of June 30, 2026 and December 31, 2025, respectively.</w:t>
            </w:r>
          </w:p>
        </w:tc>
      </w:tr>
    </w:tbl>
    <w:tbl>
      <w:tblPr>
        <w:tblW w:w="9557" w:type="dxa"/>
        <w:jc w:val="left"/>
        <w:tblInd w:w="0" w:type="dxa"/>
        <w:tblLayout w:type="fixed"/>
        <w:tblCellMar>
          <w:top w:w="0" w:type="dxa"/>
          <w:left w:w="0" w:type="dxa"/>
          <w:bottom w:w="0" w:type="dxa"/>
          <w:right w:w="0" w:type="dxa"/>
        </w:tblCellMar>
      </w:tblPr>
      <w:tblGrid>
        <w:gridCol w:w="271"/>
        <w:gridCol w:w="9286"/>
      </w:tblGrid>
      <w:tr>
        <w:trPr/>
        <w:tc>
          <w:tcPr>
            <w:tcW w:w="271" w:type="dxa"/>
            <w:tcBorders/>
            <w:vAlign w:val="center"/>
          </w:tcPr>
          <w:p>
            <w:pPr>
              <w:pStyle w:val="TableContents"/>
              <w:bidi w:val="0"/>
              <w:spacing w:before="0" w:after="283"/>
              <w:jc w:val="left"/>
              <w:rPr>
                <w:rFonts w:ascii="Times New Roman;Times;serif" w:hAnsi="Times New Roman;Times;serif"/>
                <w:sz w:val="12"/>
              </w:rPr>
            </w:pPr>
            <w:r>
              <w:rPr>
                <w:rFonts w:ascii="Times New Roman;Times;serif" w:hAnsi="Times New Roman;Times;serif"/>
                <w:sz w:val="12"/>
              </w:rPr>
              <w:t>(2)</w:t>
            </w:r>
          </w:p>
        </w:tc>
        <w:tc>
          <w:tcPr>
            <w:tcW w:w="928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See Note 9, “Operating Land Leases” for further disclosure related to the Company’s right-of-use asset balance as of June 30, 2026.</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240"/>
        <w:ind w:left="0" w:right="0" w:hanging="0"/>
        <w:jc w:val="left"/>
        <w:rPr/>
      </w:pPr>
      <w:bookmarkStart w:id="1285" w:name="Tc_ZzUmJeKhtkiLIU6BYS6suQ_6_10"/>
      <w:bookmarkStart w:id="1286" w:name="Tc_6taez_Mp7E2ovxCgFBUwzw_6_7"/>
      <w:bookmarkStart w:id="1287" w:name="Tc_pHpBRBQOykumalh7oP4nhA_6_4"/>
      <w:bookmarkStart w:id="1288" w:name="Tc_ASTonNL2VEeQqckkdgZDNA_6_0"/>
      <w:bookmarkStart w:id="1289" w:name="Tc_HsS5YeajK0KIYiwfYzUhuQ_5_0"/>
      <w:bookmarkStart w:id="1290" w:name="Tc_YEXbfSwiWEq49g30TZJ5ww_4_11"/>
      <w:bookmarkStart w:id="1291" w:name="Tc_g2LmrYiU1Ey402-Ku7KSBA_4_8"/>
      <w:bookmarkStart w:id="1292" w:name="Tc_hICaT73fUUKMzBgagK7aEg_4_5"/>
      <w:bookmarkStart w:id="1293" w:name="Tc_R3VMJl6Kb0CeU_Y2i2m4PQ_4_2"/>
      <w:bookmarkStart w:id="1294" w:name="Tc_a7dvES9y70CLysGWpUFMSg_4_0"/>
      <w:bookmarkStart w:id="1295" w:name="Tc_yj43UJGIhku6_n0QUbVgCw_2_11"/>
      <w:bookmarkStart w:id="1296" w:name="Tc_qo1bCfLxNEOBHwUCzeSTOQ_2_8"/>
      <w:bookmarkStart w:id="1297" w:name="Tc__BUqLKtgHEOb6XA4q4YJag_2_5"/>
      <w:bookmarkStart w:id="1298" w:name="Tc_WGJ9TOIW702396jYGkawWw_2_2"/>
      <w:bookmarkStart w:id="1299" w:name="Tc_QmgGNcUkqkuMkCZq15v4Jw_1_8"/>
      <w:bookmarkStart w:id="1300" w:name="Tc_noIMO-nQn0yiLLYdsQECzw_1_2"/>
      <w:bookmarkStart w:id="1301" w:name="_fdfe900e_7b39_471a_ae66_fb7b6b0d54ec"/>
      <w:bookmarkStart w:id="1302" w:name="_895381d2_b6c4_4200_bf6a_9f37dbff8aa6_3"/>
      <w:bookmarkStart w:id="1303" w:name="_895381d2_b6c4_4200_bf6a_9f37dbff8aa6_2"/>
      <w:bookmarkStart w:id="1304" w:name="_895381d2_b6c4_4200_bf6a_9f37dbff8aa6"/>
      <w:bookmarkStart w:id="1305" w:name="_a9a923d1_25b1_4ea4_afa6_91e575908244_3"/>
      <w:bookmarkStart w:id="1306" w:name="_a9a923d1_25b1_4ea4_afa6_91e575908244_2"/>
      <w:bookmarkStart w:id="1307" w:name="_a9a923d1_25b1_4ea4_afa6_91e575908244"/>
      <w:bookmarkStart w:id="1308" w:name="Narr_SD0jl2vKdUG4q-kG0y6PBA"/>
      <w:bookmarkStart w:id="1309" w:name="Narr_IDNjRPTr2kWLDvDZPANmDw"/>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9. OPERATING LAND LEASES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Company is the lessee under operating land leases for certain of its properties. FASB ASC Topic 842, </w:t>
      </w:r>
      <w:r>
        <w:rPr>
          <w:rFonts w:ascii="Times New Roman;Times;serif" w:hAnsi="Times New Roman;Times;serif"/>
          <w:i/>
          <w:sz w:val="20"/>
        </w:rPr>
        <w:t>Leases</w:t>
      </w:r>
      <w:r>
        <w:rPr>
          <w:rFonts w:ascii="Times New Roman;Times;serif" w:hAnsi="Times New Roman;Times;serif"/>
          <w:sz w:val="20"/>
        </w:rPr>
        <w:t xml:space="preserve">, requires a lessee to recognize right-of-use assets and lease liabilities that arise from leases, whether qualifying as an operating or finance lease. As of June 30, 2026 and December 31, 2025, the Company’s right-of-use assets totaled $2.9 and $3.0 million, respectively, and the corresponding lease liabilities totaled $3.0 million and $3.1 million, respectively, which balances are reflected within other assets and accounts payable, accrued expenses, and other liabilities, respectively, on the consolidated balance sheets. The right-of-use assets and lease liabilities are measured based on the present value of the lease payments utilizing discount rates estimated to be equal to that which the Company would pay to borrow on a collateralized basis over a similar term, for an amount equal to the lease payments, in a similar economic environment.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Company’s operating land leases do not include variable lease payments and generally provide renewal options, at the Company’s election, to extend the terms of the respective leases. Renewal option periods are included in the calculation of the right-of-use assets and corresponding lease liabilities when it is reasonably certain that the Company, as lessee, will exercise the option to extend the lease. </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Amortization of right-of-use assets for operating land leases is recognized on a straight-line basis over the term of the lease and is included within real estate expenses in the consolidated statements of operations. Amortization totaled less than $0.1 million during the three months ended June 30, 2026 and 2025. Amortization totaled $0.2 million and less than $0.1 million during the six months ended June 30, 2026 and 2025, respectively.</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following table reflects a summary of operating land leases, under which the Company is the lessee, for the three and six months ended June 30, 2026 and 2025 (in thousands):</w:t>
      </w:r>
    </w:p>
    <w:p>
      <w:pPr>
        <w:pStyle w:val="TextBody"/>
        <w:bidi w:val="0"/>
        <w:spacing w:before="0" w:after="0"/>
        <w:ind w:left="0" w:right="0" w:firstLine="360"/>
        <w:jc w:val="both"/>
        <w:rPr/>
      </w:pPr>
      <w:r>
        <w:rPr/>
        <w:t>​</w:t>
      </w:r>
    </w:p>
    <w:tbl>
      <w:tblPr>
        <w:tblW w:w="9665" w:type="dxa"/>
        <w:jc w:val="left"/>
        <w:tblInd w:w="0" w:type="dxa"/>
        <w:tblLayout w:type="fixed"/>
        <w:tblCellMar>
          <w:top w:w="0" w:type="dxa"/>
          <w:left w:w="0" w:type="dxa"/>
          <w:bottom w:w="0" w:type="dxa"/>
          <w:right w:w="0" w:type="dxa"/>
        </w:tblCellMar>
      </w:tblPr>
      <w:tblGrid>
        <w:gridCol w:w="3556"/>
        <w:gridCol w:w="109"/>
        <w:gridCol w:w="396"/>
        <w:gridCol w:w="879"/>
        <w:gridCol w:w="312"/>
        <w:gridCol w:w="396"/>
        <w:gridCol w:w="879"/>
        <w:gridCol w:w="271"/>
        <w:gridCol w:w="396"/>
        <w:gridCol w:w="879"/>
        <w:gridCol w:w="272"/>
        <w:gridCol w:w="385"/>
        <w:gridCol w:w="935"/>
      </w:tblGrid>
      <w:tr>
        <w:trPr/>
        <w:tc>
          <w:tcPr>
            <w:tcW w:w="35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2258060" cy="175260"/>
                      <wp:effectExtent l="0" t="0" r="0" b="0"/>
                      <wp:wrapNone/>
                      <wp:docPr id="242" name="Frame242"/>
                      <a:graphic xmlns:a="http://schemas.openxmlformats.org/drawingml/2006/main">
                        <a:graphicData uri="http://schemas.microsoft.com/office/word/2010/wordprocessingShape">
                          <wps:wsp>
                            <wps:cNvSpPr txBox="1"/>
                            <wps:spPr>
                              <a:xfrm>
                                <a:off x="0" y="0"/>
                                <a:ext cx="2258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69215" cy="175260"/>
                      <wp:effectExtent l="0" t="0" r="0" b="0"/>
                      <wp:wrapNone/>
                      <wp:docPr id="243" name="Frame24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251460" cy="175260"/>
                      <wp:effectExtent l="0" t="0" r="0" b="0"/>
                      <wp:wrapNone/>
                      <wp:docPr id="244" name="Frame244"/>
                      <a:graphic xmlns:a="http://schemas.openxmlformats.org/drawingml/2006/main">
                        <a:graphicData uri="http://schemas.microsoft.com/office/word/2010/wordprocessingShape">
                          <wps:wsp>
                            <wps:cNvSpPr txBox="1"/>
                            <wps:spPr>
                              <a:xfrm>
                                <a:off x="0" y="0"/>
                                <a:ext cx="251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558165" cy="175260"/>
                      <wp:effectExtent l="0" t="0" r="0" b="0"/>
                      <wp:wrapNone/>
                      <wp:docPr id="245" name="Frame245"/>
                      <a:graphic xmlns:a="http://schemas.openxmlformats.org/drawingml/2006/main">
                        <a:graphicData uri="http://schemas.microsoft.com/office/word/2010/wordprocessingShape">
                          <wps:wsp>
                            <wps:cNvSpPr txBox="1"/>
                            <wps:spPr>
                              <a:xfrm>
                                <a:off x="0" y="0"/>
                                <a:ext cx="5581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198120" cy="175260"/>
                      <wp:effectExtent l="0" t="0" r="0" b="0"/>
                      <wp:wrapNone/>
                      <wp:docPr id="246" name="Frame246"/>
                      <a:graphic xmlns:a="http://schemas.openxmlformats.org/drawingml/2006/main">
                        <a:graphicData uri="http://schemas.microsoft.com/office/word/2010/wordprocessingShape">
                          <wps:wsp>
                            <wps:cNvSpPr txBox="1"/>
                            <wps:spPr>
                              <a:xfrm>
                                <a:off x="0" y="0"/>
                                <a:ext cx="1981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251460" cy="175260"/>
                      <wp:effectExtent l="0" t="0" r="0" b="0"/>
                      <wp:wrapNone/>
                      <wp:docPr id="247" name="Frame247"/>
                      <a:graphic xmlns:a="http://schemas.openxmlformats.org/drawingml/2006/main">
                        <a:graphicData uri="http://schemas.microsoft.com/office/word/2010/wordprocessingShape">
                          <wps:wsp>
                            <wps:cNvSpPr txBox="1"/>
                            <wps:spPr>
                              <a:xfrm>
                                <a:off x="0" y="0"/>
                                <a:ext cx="251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558165" cy="175260"/>
                      <wp:effectExtent l="0" t="0" r="0" b="0"/>
                      <wp:wrapNone/>
                      <wp:docPr id="248" name="Frame248"/>
                      <a:graphic xmlns:a="http://schemas.openxmlformats.org/drawingml/2006/main">
                        <a:graphicData uri="http://schemas.microsoft.com/office/word/2010/wordprocessingShape">
                          <wps:wsp>
                            <wps:cNvSpPr txBox="1"/>
                            <wps:spPr>
                              <a:xfrm>
                                <a:off x="0" y="0"/>
                                <a:ext cx="5581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172085" cy="175260"/>
                      <wp:effectExtent l="0" t="0" r="0" b="0"/>
                      <wp:wrapNone/>
                      <wp:docPr id="249" name="Frame249"/>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251460" cy="175260"/>
                      <wp:effectExtent l="0" t="0" r="0" b="0"/>
                      <wp:wrapNone/>
                      <wp:docPr id="250" name="Frame250"/>
                      <a:graphic xmlns:a="http://schemas.openxmlformats.org/drawingml/2006/main">
                        <a:graphicData uri="http://schemas.microsoft.com/office/word/2010/wordprocessingShape">
                          <wps:wsp>
                            <wps:cNvSpPr txBox="1"/>
                            <wps:spPr>
                              <a:xfrm>
                                <a:off x="0" y="0"/>
                                <a:ext cx="251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558165" cy="175260"/>
                      <wp:effectExtent l="0" t="0" r="0" b="0"/>
                      <wp:wrapNone/>
                      <wp:docPr id="251" name="Frame251"/>
                      <a:graphic xmlns:a="http://schemas.openxmlformats.org/drawingml/2006/main">
                        <a:graphicData uri="http://schemas.microsoft.com/office/word/2010/wordprocessingShape">
                          <wps:wsp>
                            <wps:cNvSpPr txBox="1"/>
                            <wps:spPr>
                              <a:xfrm>
                                <a:off x="0" y="0"/>
                                <a:ext cx="5581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172720" cy="175260"/>
                      <wp:effectExtent l="0" t="0" r="0" b="0"/>
                      <wp:wrapNone/>
                      <wp:docPr id="252" name="Frame252"/>
                      <a:graphic xmlns:a="http://schemas.openxmlformats.org/drawingml/2006/main">
                        <a:graphicData uri="http://schemas.microsoft.com/office/word/2010/wordprocessingShape">
                          <wps:wsp>
                            <wps:cNvSpPr txBox="1"/>
                            <wps:spPr>
                              <a:xfrm>
                                <a:off x="0" y="0"/>
                                <a:ext cx="1727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244475" cy="175260"/>
                      <wp:effectExtent l="0" t="0" r="0" b="0"/>
                      <wp:wrapNone/>
                      <wp:docPr id="253" name="Frame253"/>
                      <a:graphic xmlns:a="http://schemas.openxmlformats.org/drawingml/2006/main">
                        <a:graphicData uri="http://schemas.microsoft.com/office/word/2010/wordprocessingShape">
                          <wps:wsp>
                            <wps:cNvSpPr txBox="1"/>
                            <wps:spPr>
                              <a:xfrm>
                                <a:off x="0" y="0"/>
                                <a:ext cx="2444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593725" cy="175260"/>
                      <wp:effectExtent l="0" t="0" r="0" b="0"/>
                      <wp:wrapNone/>
                      <wp:docPr id="254" name="Frame254"/>
                      <a:graphic xmlns:a="http://schemas.openxmlformats.org/drawingml/2006/main">
                        <a:graphicData uri="http://schemas.microsoft.com/office/word/2010/wordprocessingShape">
                          <wps:wsp>
                            <wps:cNvSpPr txBox="1"/>
                            <wps:spPr>
                              <a:xfrm>
                                <a:off x="0" y="0"/>
                                <a:ext cx="5937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55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862"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Three Months Ended</w:t>
            </w:r>
          </w:p>
        </w:tc>
        <w:tc>
          <w:tcPr>
            <w:tcW w:w="271" w:type="dxa"/>
            <w:tcBorders/>
            <w:vAlign w:val="center"/>
          </w:tcPr>
          <w:p>
            <w:pPr>
              <w:pStyle w:val="TableContents"/>
              <w:bidi w:val="0"/>
              <w:spacing w:before="0" w:after="0"/>
              <w:ind w:left="0" w:right="0" w:hanging="0"/>
              <w:jc w:val="left"/>
              <w:rPr/>
            </w:pPr>
            <w:r>
              <w:rPr/>
              <w:t>​</w:t>
            </w:r>
          </w:p>
        </w:tc>
        <w:tc>
          <w:tcPr>
            <w:tcW w:w="2867"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Six Months Ended</w:t>
            </w:r>
          </w:p>
        </w:tc>
      </w:tr>
      <w:tr>
        <w:trPr/>
        <w:tc>
          <w:tcPr>
            <w:tcW w:w="355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2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2026</w:t>
            </w:r>
          </w:p>
        </w:tc>
        <w:tc>
          <w:tcPr>
            <w:tcW w:w="312" w:type="dxa"/>
            <w:tcBorders/>
            <w:vAlign w:val="center"/>
          </w:tcPr>
          <w:p>
            <w:pPr>
              <w:pStyle w:val="TableContents"/>
              <w:bidi w:val="0"/>
              <w:spacing w:before="0" w:after="0"/>
              <w:ind w:left="0" w:right="0" w:hanging="0"/>
              <w:jc w:val="right"/>
              <w:rPr/>
            </w:pPr>
            <w:r>
              <w:rPr/>
              <w:t>​</w:t>
            </w:r>
          </w:p>
        </w:tc>
        <w:tc>
          <w:tcPr>
            <w:tcW w:w="12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2025</w:t>
            </w:r>
          </w:p>
        </w:tc>
        <w:tc>
          <w:tcPr>
            <w:tcW w:w="271" w:type="dxa"/>
            <w:tcBorders/>
            <w:vAlign w:val="center"/>
          </w:tcPr>
          <w:p>
            <w:pPr>
              <w:pStyle w:val="TableContents"/>
              <w:bidi w:val="0"/>
              <w:spacing w:before="0" w:after="0"/>
              <w:ind w:left="0" w:right="0" w:hanging="0"/>
              <w:jc w:val="left"/>
              <w:rPr/>
            </w:pPr>
            <w:r>
              <w:rPr/>
              <w:t>​</w:t>
            </w:r>
          </w:p>
        </w:tc>
        <w:tc>
          <w:tcPr>
            <w:tcW w:w="12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2026</w:t>
            </w:r>
          </w:p>
        </w:tc>
        <w:tc>
          <w:tcPr>
            <w:tcW w:w="272" w:type="dxa"/>
            <w:tcBorders/>
            <w:vAlign w:val="center"/>
          </w:tcPr>
          <w:p>
            <w:pPr>
              <w:pStyle w:val="TableContents"/>
              <w:bidi w:val="0"/>
              <w:spacing w:before="0" w:after="0"/>
              <w:ind w:left="0" w:right="0" w:hanging="0"/>
              <w:jc w:val="right"/>
              <w:rPr/>
            </w:pPr>
            <w:r>
              <w:rPr/>
              <w:t>​</w:t>
            </w:r>
          </w:p>
        </w:tc>
        <w:tc>
          <w:tcPr>
            <w:tcW w:w="13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2025</w:t>
            </w:r>
          </w:p>
        </w:tc>
      </w:tr>
      <w:tr>
        <w:trPr/>
        <w:tc>
          <w:tcPr>
            <w:tcW w:w="355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96" w:type="dxa"/>
            <w:tcBorders/>
            <w:vAlign w:val="center"/>
          </w:tcPr>
          <w:p>
            <w:pPr>
              <w:pStyle w:val="TableContents"/>
              <w:bidi w:val="0"/>
              <w:spacing w:before="0" w:after="0"/>
              <w:ind w:left="0" w:right="0" w:hanging="0"/>
              <w:jc w:val="left"/>
              <w:rPr/>
            </w:pPr>
            <w:r>
              <w:rPr/>
              <w:t>​</w:t>
            </w:r>
          </w:p>
        </w:tc>
        <w:tc>
          <w:tcPr>
            <w:tcW w:w="879" w:type="dxa"/>
            <w:tcBorders/>
            <w:vAlign w:val="center"/>
          </w:tcPr>
          <w:p>
            <w:pPr>
              <w:pStyle w:val="TableContents"/>
              <w:bidi w:val="0"/>
              <w:spacing w:before="0" w:after="0"/>
              <w:ind w:left="0" w:right="0" w:hanging="0"/>
              <w:jc w:val="left"/>
              <w:rPr/>
            </w:pPr>
            <w:r>
              <w:rPr/>
              <w:t>​</w:t>
            </w:r>
          </w:p>
        </w:tc>
        <w:tc>
          <w:tcPr>
            <w:tcW w:w="312" w:type="dxa"/>
            <w:tcBorders/>
            <w:vAlign w:val="center"/>
          </w:tcPr>
          <w:p>
            <w:pPr>
              <w:pStyle w:val="TableContents"/>
              <w:bidi w:val="0"/>
              <w:spacing w:before="0" w:after="0"/>
              <w:ind w:left="0" w:right="0" w:hanging="0"/>
              <w:jc w:val="left"/>
              <w:rPr/>
            </w:pPr>
            <w:r>
              <w:rPr/>
              <w:t>​</w:t>
            </w:r>
          </w:p>
        </w:tc>
        <w:tc>
          <w:tcPr>
            <w:tcW w:w="396" w:type="dxa"/>
            <w:tcBorders/>
            <w:vAlign w:val="center"/>
          </w:tcPr>
          <w:p>
            <w:pPr>
              <w:pStyle w:val="TableContents"/>
              <w:bidi w:val="0"/>
              <w:spacing w:before="0" w:after="0"/>
              <w:ind w:left="0" w:right="0" w:hanging="0"/>
              <w:jc w:val="left"/>
              <w:rPr/>
            </w:pPr>
            <w:r>
              <w:rPr/>
              <w:t>​</w:t>
            </w:r>
          </w:p>
        </w:tc>
        <w:tc>
          <w:tcPr>
            <w:tcW w:w="879"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396" w:type="dxa"/>
            <w:tcBorders/>
            <w:vAlign w:val="center"/>
          </w:tcPr>
          <w:p>
            <w:pPr>
              <w:pStyle w:val="TableContents"/>
              <w:bidi w:val="0"/>
              <w:spacing w:before="0" w:after="0"/>
              <w:ind w:left="0" w:right="0" w:hanging="0"/>
              <w:jc w:val="left"/>
              <w:rPr/>
            </w:pPr>
            <w:r>
              <w:rPr/>
              <w:t>​</w:t>
            </w:r>
          </w:p>
        </w:tc>
        <w:tc>
          <w:tcPr>
            <w:tcW w:w="879" w:type="dxa"/>
            <w:tcBorders/>
            <w:vAlign w:val="center"/>
          </w:tcPr>
          <w:p>
            <w:pPr>
              <w:pStyle w:val="TableContents"/>
              <w:bidi w:val="0"/>
              <w:spacing w:before="0" w:after="0"/>
              <w:ind w:left="0" w:right="0" w:hanging="0"/>
              <w:jc w:val="left"/>
              <w:rPr/>
            </w:pPr>
            <w:r>
              <w:rPr/>
              <w:t>​</w:t>
            </w:r>
          </w:p>
        </w:tc>
        <w:tc>
          <w:tcPr>
            <w:tcW w:w="272" w:type="dxa"/>
            <w:tcBorders/>
            <w:vAlign w:val="center"/>
          </w:tcPr>
          <w:p>
            <w:pPr>
              <w:pStyle w:val="TableContents"/>
              <w:bidi w:val="0"/>
              <w:spacing w:before="0" w:after="0"/>
              <w:ind w:left="0" w:right="0" w:hanging="0"/>
              <w:jc w:val="left"/>
              <w:rPr/>
            </w:pPr>
            <w:r>
              <w:rPr/>
              <w:t>​</w:t>
            </w:r>
          </w:p>
        </w:tc>
        <w:tc>
          <w:tcPr>
            <w:tcW w:w="385" w:type="dxa"/>
            <w:tcBorders/>
            <w:vAlign w:val="center"/>
          </w:tcPr>
          <w:p>
            <w:pPr>
              <w:pStyle w:val="TableContents"/>
              <w:bidi w:val="0"/>
              <w:spacing w:before="0" w:after="0"/>
              <w:ind w:left="0" w:right="0" w:hanging="0"/>
              <w:jc w:val="left"/>
              <w:rPr/>
            </w:pPr>
            <w:r>
              <w:rPr/>
              <w:t>​</w:t>
            </w:r>
          </w:p>
        </w:tc>
        <w:tc>
          <w:tcPr>
            <w:tcW w:w="935" w:type="dxa"/>
            <w:tcBorders/>
            <w:vAlign w:val="center"/>
          </w:tcPr>
          <w:p>
            <w:pPr>
              <w:pStyle w:val="TableContents"/>
              <w:bidi w:val="0"/>
              <w:spacing w:before="0" w:after="0"/>
              <w:ind w:left="0" w:right="0" w:hanging="0"/>
              <w:jc w:val="left"/>
              <w:rPr/>
            </w:pPr>
            <w:r>
              <w:rPr/>
              <w:t>​</w:t>
            </w:r>
          </w:p>
        </w:tc>
      </w:tr>
      <w:tr>
        <w:trPr/>
        <w:tc>
          <w:tcPr>
            <w:tcW w:w="35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Cash Outflows</w:t>
            </w:r>
          </w:p>
        </w:tc>
        <w:tc>
          <w:tcPr>
            <w:tcW w:w="109" w:type="dxa"/>
            <w:tcBorders/>
            <w:shd w:fill="CCEEFF" w:val="clear"/>
            <w:vAlign w:val="center"/>
          </w:tcPr>
          <w:p>
            <w:pPr>
              <w:pStyle w:val="TableContents"/>
              <w:bidi w:val="0"/>
              <w:spacing w:before="0" w:after="0"/>
              <w:ind w:left="0" w:right="0" w:hanging="0"/>
              <w:jc w:val="left"/>
              <w:rPr/>
            </w:pPr>
            <w:r>
              <w:rPr/>
              <w:t>​</w:t>
            </w:r>
          </w:p>
        </w:tc>
        <w:tc>
          <w:tcPr>
            <w:tcW w:w="3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w:t>
            </w:r>
          </w:p>
        </w:tc>
        <w:tc>
          <w:tcPr>
            <w:tcW w:w="312" w:type="dxa"/>
            <w:tcBorders/>
            <w:shd w:fill="CCEEFF" w:val="clear"/>
            <w:vAlign w:val="center"/>
          </w:tcPr>
          <w:p>
            <w:pPr>
              <w:pStyle w:val="TableContents"/>
              <w:bidi w:val="0"/>
              <w:spacing w:before="0" w:after="0"/>
              <w:ind w:left="0" w:right="0" w:hanging="0"/>
              <w:jc w:val="right"/>
              <w:rPr/>
            </w:pPr>
            <w:r>
              <w:rPr/>
              <w:t>​</w:t>
            </w:r>
          </w:p>
        </w:tc>
        <w:tc>
          <w:tcPr>
            <w:tcW w:w="3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w:t>
            </w:r>
          </w:p>
        </w:tc>
        <w:tc>
          <w:tcPr>
            <w:tcW w:w="271" w:type="dxa"/>
            <w:tcBorders/>
            <w:shd w:fill="CCEEFF" w:val="clear"/>
            <w:vAlign w:val="center"/>
          </w:tcPr>
          <w:p>
            <w:pPr>
              <w:pStyle w:val="TableContents"/>
              <w:bidi w:val="0"/>
              <w:spacing w:before="0" w:after="0"/>
              <w:ind w:left="0" w:right="0" w:hanging="0"/>
              <w:jc w:val="left"/>
              <w:rPr/>
            </w:pPr>
            <w:r>
              <w:rPr/>
              <w:t>​</w:t>
            </w:r>
          </w:p>
        </w:tc>
        <w:tc>
          <w:tcPr>
            <w:tcW w:w="3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w:t>
            </w:r>
          </w:p>
        </w:tc>
        <w:tc>
          <w:tcPr>
            <w:tcW w:w="272" w:type="dxa"/>
            <w:tcBorders/>
            <w:shd w:fill="CCEEFF" w:val="clear"/>
            <w:vAlign w:val="center"/>
          </w:tcPr>
          <w:p>
            <w:pPr>
              <w:pStyle w:val="TableContents"/>
              <w:bidi w:val="0"/>
              <w:spacing w:before="0" w:after="0"/>
              <w:ind w:left="0" w:right="0" w:hanging="0"/>
              <w:jc w:val="right"/>
              <w:rPr/>
            </w:pPr>
            <w:r>
              <w:rPr/>
              <w:t>​</w:t>
            </w:r>
          </w:p>
        </w:tc>
        <w:tc>
          <w:tcPr>
            <w:tcW w:w="3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w:t>
            </w:r>
          </w:p>
        </w:tc>
      </w:tr>
      <w:tr>
        <w:trPr/>
        <w:tc>
          <w:tcPr>
            <w:tcW w:w="35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Remaining Lease Term</w:t>
            </w:r>
          </w:p>
        </w:tc>
        <w:tc>
          <w:tcPr>
            <w:tcW w:w="109" w:type="dxa"/>
            <w:tcBorders/>
            <w:vAlign w:val="center"/>
          </w:tcPr>
          <w:p>
            <w:pPr>
              <w:pStyle w:val="TableContents"/>
              <w:bidi w:val="0"/>
              <w:spacing w:before="0" w:after="0"/>
              <w:ind w:left="0" w:right="0" w:hanging="0"/>
              <w:jc w:val="left"/>
              <w:rPr/>
            </w:pPr>
            <w:r>
              <w:rPr/>
              <w:t>​</w:t>
            </w:r>
          </w:p>
        </w:tc>
        <w:tc>
          <w:tcPr>
            <w:tcW w:w="396" w:type="dxa"/>
            <w:tcBorders/>
            <w:vAlign w:val="center"/>
          </w:tcPr>
          <w:p>
            <w:pPr>
              <w:pStyle w:val="TableContents"/>
              <w:bidi w:val="0"/>
              <w:spacing w:before="0" w:after="0"/>
              <w:ind w:left="0" w:right="0" w:hanging="0"/>
              <w:jc w:val="left"/>
              <w:rPr/>
            </w:pPr>
            <w:r>
              <w:rPr/>
              <w:t>​</w:t>
            </w:r>
          </w:p>
        </w:tc>
        <w:tc>
          <w:tcPr>
            <w:tcW w:w="87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22.2</w:t>
            </w:r>
          </w:p>
        </w:tc>
        <w:tc>
          <w:tcPr>
            <w:tcW w:w="312" w:type="dxa"/>
            <w:tcBorders/>
            <w:vAlign w:val="center"/>
          </w:tcPr>
          <w:p>
            <w:pPr>
              <w:pStyle w:val="TableContents"/>
              <w:bidi w:val="0"/>
              <w:spacing w:before="0" w:after="0"/>
              <w:ind w:left="0" w:right="0" w:hanging="0"/>
              <w:jc w:val="right"/>
              <w:rPr/>
            </w:pPr>
            <w:r>
              <w:rPr/>
              <w:t>​</w:t>
            </w:r>
          </w:p>
        </w:tc>
        <w:tc>
          <w:tcPr>
            <w:tcW w:w="396" w:type="dxa"/>
            <w:tcBorders/>
            <w:vAlign w:val="center"/>
          </w:tcPr>
          <w:p>
            <w:pPr>
              <w:pStyle w:val="TableContents"/>
              <w:bidi w:val="0"/>
              <w:spacing w:before="0" w:after="0"/>
              <w:ind w:left="0" w:right="0" w:hanging="0"/>
              <w:jc w:val="left"/>
              <w:rPr/>
            </w:pPr>
            <w:r>
              <w:rPr/>
              <w:t>​</w:t>
            </w:r>
          </w:p>
        </w:tc>
        <w:tc>
          <w:tcPr>
            <w:tcW w:w="87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22.3</w:t>
            </w:r>
          </w:p>
        </w:tc>
        <w:tc>
          <w:tcPr>
            <w:tcW w:w="271" w:type="dxa"/>
            <w:tcBorders/>
            <w:vAlign w:val="center"/>
          </w:tcPr>
          <w:p>
            <w:pPr>
              <w:pStyle w:val="TableContents"/>
              <w:bidi w:val="0"/>
              <w:spacing w:before="0" w:after="0"/>
              <w:ind w:left="0" w:right="0" w:hanging="0"/>
              <w:jc w:val="left"/>
              <w:rPr/>
            </w:pPr>
            <w:r>
              <w:rPr/>
              <w:t>​</w:t>
            </w:r>
          </w:p>
        </w:tc>
        <w:tc>
          <w:tcPr>
            <w:tcW w:w="396" w:type="dxa"/>
            <w:tcBorders/>
            <w:vAlign w:val="center"/>
          </w:tcPr>
          <w:p>
            <w:pPr>
              <w:pStyle w:val="TableContents"/>
              <w:bidi w:val="0"/>
              <w:spacing w:before="0" w:after="0"/>
              <w:ind w:left="0" w:right="0" w:hanging="0"/>
              <w:jc w:val="left"/>
              <w:rPr/>
            </w:pPr>
            <w:r>
              <w:rPr/>
              <w:t>​</w:t>
            </w:r>
          </w:p>
        </w:tc>
        <w:tc>
          <w:tcPr>
            <w:tcW w:w="87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22.2</w:t>
            </w:r>
          </w:p>
        </w:tc>
        <w:tc>
          <w:tcPr>
            <w:tcW w:w="272" w:type="dxa"/>
            <w:tcBorders/>
            <w:vAlign w:val="center"/>
          </w:tcPr>
          <w:p>
            <w:pPr>
              <w:pStyle w:val="TableContents"/>
              <w:bidi w:val="0"/>
              <w:spacing w:before="0" w:after="0"/>
              <w:ind w:left="0" w:right="0" w:hanging="0"/>
              <w:jc w:val="right"/>
              <w:rPr/>
            </w:pPr>
            <w:r>
              <w:rPr/>
              <w:t>​</w:t>
            </w:r>
          </w:p>
        </w:tc>
        <w:tc>
          <w:tcPr>
            <w:tcW w:w="385" w:type="dxa"/>
            <w:tcBorders/>
            <w:vAlign w:val="center"/>
          </w:tcPr>
          <w:p>
            <w:pPr>
              <w:pStyle w:val="TableContents"/>
              <w:bidi w:val="0"/>
              <w:spacing w:before="0" w:after="0"/>
              <w:ind w:left="0" w:right="0" w:hanging="0"/>
              <w:jc w:val="left"/>
              <w:rPr/>
            </w:pPr>
            <w:r>
              <w:rPr/>
              <w:t>​</w:t>
            </w:r>
          </w:p>
        </w:tc>
        <w:tc>
          <w:tcPr>
            <w:tcW w:w="93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22.3</w:t>
            </w:r>
          </w:p>
        </w:tc>
      </w:tr>
      <w:tr>
        <w:trPr/>
        <w:tc>
          <w:tcPr>
            <w:tcW w:w="35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Discount Rate</w:t>
            </w:r>
          </w:p>
        </w:tc>
        <w:tc>
          <w:tcPr>
            <w:tcW w:w="109" w:type="dxa"/>
            <w:tcBorders/>
            <w:shd w:fill="CCEEFF" w:val="clear"/>
            <w:vAlign w:val="center"/>
          </w:tcPr>
          <w:p>
            <w:pPr>
              <w:pStyle w:val="TableContents"/>
              <w:bidi w:val="0"/>
              <w:spacing w:before="0" w:after="0"/>
              <w:ind w:left="0" w:right="0" w:hanging="0"/>
              <w:jc w:val="left"/>
              <w:rPr/>
            </w:pPr>
            <w:r>
              <w:rPr/>
              <w:t>​</w:t>
            </w:r>
          </w:p>
        </w:tc>
        <w:tc>
          <w:tcPr>
            <w:tcW w:w="396" w:type="dxa"/>
            <w:tcBorders/>
            <w:shd w:fill="CCEEFF" w:val="clear"/>
            <w:vAlign w:val="center"/>
          </w:tcPr>
          <w:p>
            <w:pPr>
              <w:pStyle w:val="TableContents"/>
              <w:bidi w:val="0"/>
              <w:spacing w:before="0" w:after="0"/>
              <w:ind w:left="0" w:right="0" w:hanging="0"/>
              <w:jc w:val="left"/>
              <w:rPr/>
            </w:pPr>
            <w:r>
              <w:rPr/>
              <w:t>​</w:t>
            </w:r>
          </w:p>
        </w:tc>
        <w:tc>
          <w:tcPr>
            <w:tcW w:w="8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c>
          <w:tcPr>
            <w:tcW w:w="31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96" w:type="dxa"/>
            <w:tcBorders/>
            <w:shd w:fill="CCEEFF" w:val="clear"/>
            <w:vAlign w:val="center"/>
          </w:tcPr>
          <w:p>
            <w:pPr>
              <w:pStyle w:val="TableContents"/>
              <w:bidi w:val="0"/>
              <w:spacing w:before="0" w:after="0"/>
              <w:ind w:left="0" w:right="0" w:hanging="0"/>
              <w:jc w:val="left"/>
              <w:rPr/>
            </w:pPr>
            <w:r>
              <w:rPr/>
              <w:t>​</w:t>
            </w:r>
          </w:p>
        </w:tc>
        <w:tc>
          <w:tcPr>
            <w:tcW w:w="8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96" w:type="dxa"/>
            <w:tcBorders/>
            <w:shd w:fill="CCEEFF" w:val="clear"/>
            <w:vAlign w:val="center"/>
          </w:tcPr>
          <w:p>
            <w:pPr>
              <w:pStyle w:val="TableContents"/>
              <w:bidi w:val="0"/>
              <w:spacing w:before="0" w:after="0"/>
              <w:ind w:left="0" w:right="0" w:hanging="0"/>
              <w:jc w:val="left"/>
              <w:rPr/>
            </w:pPr>
            <w:r>
              <w:rPr/>
              <w:t>​</w:t>
            </w:r>
          </w:p>
        </w:tc>
        <w:tc>
          <w:tcPr>
            <w:tcW w:w="8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c>
          <w:tcPr>
            <w:tcW w:w="27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85" w:type="dxa"/>
            <w:tcBorders/>
            <w:shd w:fill="CCEEFF" w:val="clear"/>
            <w:vAlign w:val="center"/>
          </w:tcPr>
          <w:p>
            <w:pPr>
              <w:pStyle w:val="TableContents"/>
              <w:bidi w:val="0"/>
              <w:spacing w:before="0" w:after="0"/>
              <w:ind w:left="0" w:right="0" w:hanging="0"/>
              <w:jc w:val="left"/>
              <w:rPr/>
            </w:pPr>
            <w:r>
              <w:rPr/>
              <w:t>​</w:t>
            </w:r>
          </w:p>
        </w:tc>
        <w:tc>
          <w:tcPr>
            <w:tcW w:w="935" w:type="dxa"/>
            <w:tcBorders/>
            <w:shd w:fill="CCEEFF" w:val="cle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4.2</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both"/>
        <w:rPr>
          <w:rFonts w:ascii="Times New Roman;Times;serif" w:hAnsi="Times New Roman;Times;serif"/>
          <w:sz w:val="20"/>
        </w:rPr>
      </w:pPr>
      <w:bookmarkStart w:id="1310" w:name="Tc_0E99a2VCCE-NWBltxVYyBQ_11_2"/>
      <w:bookmarkStart w:id="1311" w:name="Tc_c8YoBfsIeU-4uN0sN7fQ3A_11_0"/>
      <w:bookmarkStart w:id="1312" w:name="Tc_qyDfzaOLp0eODFjG5eGAwA_10_0"/>
      <w:bookmarkStart w:id="1313" w:name="Tc_mDBKGufut0i-XMPScZN5sA_9_2"/>
      <w:bookmarkStart w:id="1314" w:name="Tc_5qvgjn42aESRcZx3SZ6h5w_9_0"/>
      <w:bookmarkStart w:id="1315" w:name="Tc_0BI3AKdZjUadZhcPXc7zKQ_8_0"/>
      <w:bookmarkStart w:id="1316" w:name="Tc_8vnnEyR1c0OY_H11xS-UaQ_7_0"/>
      <w:bookmarkStart w:id="1317" w:name="Tc_IPgi1zBA00adDQN-CJbBpA_6_0"/>
      <w:bookmarkStart w:id="1318" w:name="Tc_uxG2vTbwN0afuWVqJay8Xw_5_0"/>
      <w:bookmarkStart w:id="1319" w:name="Tc_HpT687shX0yL1ycMrmE6hw_4_0"/>
      <w:bookmarkStart w:id="1320" w:name="Tc_OeS4QurFCEiI4c1GMDdCzA_3_0"/>
      <w:bookmarkStart w:id="1321" w:name="Tc_M7n_bcjoZUaVAmpfhm0T-Q_2_2"/>
      <w:bookmarkStart w:id="1322" w:name="Tc_wxfZ88t_oUSF_MWIt1ot3Q_2_0"/>
      <w:bookmarkStart w:id="1323" w:name="Tc_0t88tTXvGUa9V-977Trp9g_1_0"/>
      <w:bookmarkStart w:id="1324" w:name="_11dce88e_b412_4def_b957_34a9b82f070e"/>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r>
        <w:rPr>
          <w:rFonts w:ascii="Times New Roman;Times;serif" w:hAnsi="Times New Roman;Times;serif"/>
          <w:sz w:val="20"/>
        </w:rPr>
        <w:t xml:space="preserve">Minimum future lease payments under non-cancelable operating land leases, having remaining terms in excess of one year subsequent to June 30, 2026, are summarized as follows (in thousands):   </w:t>
      </w:r>
    </w:p>
    <w:p>
      <w:pPr>
        <w:pStyle w:val="TextBody"/>
        <w:bidi w:val="0"/>
        <w:spacing w:before="0" w:after="0"/>
        <w:ind w:left="0" w:right="0" w:firstLine="360"/>
        <w:jc w:val="both"/>
        <w:rPr>
          <w:shd w:fill="FFFF00" w:val="clear"/>
        </w:rPr>
      </w:pPr>
      <w:r>
        <w:rPr>
          <w:shd w:fill="FFFF00" w:val="clear"/>
        </w:rPr>
        <w:t>​</w:t>
      </w:r>
    </w:p>
    <w:tbl>
      <w:tblPr>
        <w:tblW w:w="3487" w:type="dxa"/>
        <w:jc w:val="left"/>
        <w:tblInd w:w="0" w:type="dxa"/>
        <w:tblLayout w:type="fixed"/>
        <w:tblCellMar>
          <w:top w:w="0" w:type="dxa"/>
          <w:left w:w="0" w:type="dxa"/>
          <w:bottom w:w="0" w:type="dxa"/>
          <w:right w:w="0" w:type="dxa"/>
        </w:tblCellMar>
      </w:tblPr>
      <w:tblGrid>
        <w:gridCol w:w="2431"/>
        <w:gridCol w:w="109"/>
        <w:gridCol w:w="211"/>
        <w:gridCol w:w="736"/>
      </w:tblGrid>
      <w:tr>
        <w:trPr/>
        <w:tc>
          <w:tcPr>
            <w:tcW w:w="24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1543685" cy="175260"/>
                      <wp:effectExtent l="0" t="0" r="0" b="0"/>
                      <wp:wrapNone/>
                      <wp:docPr id="255" name="Frame255"/>
                      <a:graphic xmlns:a="http://schemas.openxmlformats.org/drawingml/2006/main">
                        <a:graphicData uri="http://schemas.microsoft.com/office/word/2010/wordprocessingShape">
                          <wps:wsp>
                            <wps:cNvSpPr txBox="1"/>
                            <wps:spPr>
                              <a:xfrm>
                                <a:off x="0" y="0"/>
                                <a:ext cx="1543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69215" cy="175260"/>
                      <wp:effectExtent l="0" t="0" r="0" b="0"/>
                      <wp:wrapNone/>
                      <wp:docPr id="256" name="Frame25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133985" cy="175260"/>
                      <wp:effectExtent l="0" t="0" r="0" b="0"/>
                      <wp:wrapNone/>
                      <wp:docPr id="257" name="Frame25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467360" cy="175260"/>
                      <wp:effectExtent l="0" t="0" r="0" b="0"/>
                      <wp:wrapNone/>
                      <wp:docPr id="258" name="Frame258"/>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43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Year Ending December 31,</w:t>
            </w:r>
          </w:p>
        </w:tc>
        <w:tc>
          <w:tcPr>
            <w:tcW w:w="109" w:type="dxa"/>
            <w:tcBorders/>
            <w:vAlign w:val="center"/>
          </w:tcPr>
          <w:p>
            <w:pPr>
              <w:pStyle w:val="TableContents"/>
              <w:bidi w:val="0"/>
              <w:spacing w:before="0" w:after="0"/>
              <w:ind w:left="0" w:right="0" w:hanging="0"/>
              <w:jc w:val="left"/>
              <w:rPr/>
            </w:pPr>
            <w:r>
              <w:rPr/>
              <w:t>​</w:t>
            </w:r>
          </w:p>
        </w:tc>
        <w:tc>
          <w:tcPr>
            <w:tcW w:w="947" w:type="dxa"/>
            <w:gridSpan w:val="2"/>
            <w:tcBorders/>
            <w:vAlign w:val="center"/>
          </w:tcPr>
          <w:p>
            <w:pPr>
              <w:pStyle w:val="TableContents"/>
              <w:bidi w:val="0"/>
              <w:spacing w:before="0" w:after="0"/>
              <w:ind w:left="0" w:right="0" w:hanging="0"/>
              <w:jc w:val="center"/>
              <w:rPr/>
            </w:pPr>
            <w:r>
              <w:rPr/>
              <w:t>​</w:t>
            </w:r>
          </w:p>
        </w:tc>
      </w:tr>
      <w:tr>
        <w:trPr/>
        <w:tc>
          <w:tcPr>
            <w:tcW w:w="24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Remainder of 2026</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w:t>
            </w:r>
          </w:p>
        </w:tc>
      </w:tr>
      <w:tr>
        <w:trPr/>
        <w:tc>
          <w:tcPr>
            <w:tcW w:w="24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320</w:t>
            </w:r>
          </w:p>
        </w:tc>
      </w:tr>
      <w:tr>
        <w:trPr/>
        <w:tc>
          <w:tcPr>
            <w:tcW w:w="24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320</w:t>
            </w:r>
          </w:p>
        </w:tc>
      </w:tr>
      <w:tr>
        <w:trPr/>
        <w:tc>
          <w:tcPr>
            <w:tcW w:w="24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320</w:t>
            </w:r>
          </w:p>
        </w:tc>
      </w:tr>
      <w:tr>
        <w:trPr/>
        <w:tc>
          <w:tcPr>
            <w:tcW w:w="24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320</w:t>
            </w:r>
          </w:p>
        </w:tc>
      </w:tr>
      <w:tr>
        <w:trPr/>
        <w:tc>
          <w:tcPr>
            <w:tcW w:w="24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2031</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w:t>
            </w:r>
          </w:p>
        </w:tc>
      </w:tr>
      <w:tr>
        <w:trPr/>
        <w:tc>
          <w:tcPr>
            <w:tcW w:w="24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2032 and Thereafter</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3,587</w:t>
            </w:r>
          </w:p>
        </w:tc>
      </w:tr>
      <w:tr>
        <w:trPr/>
        <w:tc>
          <w:tcPr>
            <w:tcW w:w="24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Lease Payments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5,225</w:t>
            </w:r>
          </w:p>
        </w:tc>
      </w:tr>
      <w:tr>
        <w:trPr/>
        <w:tc>
          <w:tcPr>
            <w:tcW w:w="24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Imputed Interest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(2,215)</w:t>
            </w:r>
          </w:p>
        </w:tc>
      </w:tr>
      <w:tr>
        <w:trPr/>
        <w:tc>
          <w:tcPr>
            <w:tcW w:w="24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Leases – Liability</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bottom w:val="double" w:sz="6" w:space="0" w:color="000000"/>
            </w:tcBorders>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3,010</w:t>
            </w:r>
          </w:p>
        </w:tc>
      </w:tr>
    </w:tbl>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shd w:fill="FFFF00" w:val="clear"/>
        </w:rPr>
      </w:pPr>
      <w:r>
        <w:rPr>
          <w:shd w:fill="FFFF00" w:val="clear"/>
        </w:rPr>
        <w:t>​</w:t>
      </w:r>
    </w:p>
    <w:p>
      <w:pPr>
        <w:pStyle w:val="TextBody"/>
        <w:bidi w:val="0"/>
        <w:spacing w:before="0" w:after="240"/>
        <w:ind w:left="0" w:right="0" w:hanging="0"/>
        <w:jc w:val="both"/>
        <w:rPr/>
      </w:pPr>
      <w:bookmarkStart w:id="1325" w:name="Tc_uYXkDMQDDEaS71GMN11SJg_10_5"/>
      <w:bookmarkStart w:id="1326" w:name="Tc_Rt3q3HecRE-5a_9clwl2Ag_10_2"/>
      <w:bookmarkStart w:id="1327" w:name="Tc_GzJ2D15aCk6KbYL2xxyL0w_10_0"/>
      <w:bookmarkStart w:id="1328" w:name="Tc_aZzRB17otkmsGRS2LoHgoQ_9_0"/>
      <w:bookmarkStart w:id="1329" w:name="Tc_o_g5eyytkkmCPA5eWJP29A_8_5"/>
      <w:bookmarkStart w:id="1330" w:name="Tc_MOoBKMMl3UusIfNANta3hg_8_2"/>
      <w:bookmarkStart w:id="1331" w:name="Tc_EH-p5W-JlUa7ByUQwB7aew_8_0"/>
      <w:bookmarkStart w:id="1332" w:name="Tc_QA2AnRj_d0y5nejUKxIVhQ_7_0"/>
      <w:bookmarkStart w:id="1333" w:name="Tc_NqgeQd8Fi0OCAtPJ9nOw6g_6_0"/>
      <w:bookmarkStart w:id="1334" w:name="Tc_Szw6FI63iUeOwbCtC4Zt5w_5_0"/>
      <w:bookmarkStart w:id="1335" w:name="Tc_KFgKlqQ_l0mUvEXAZiziOw_4_0"/>
      <w:bookmarkStart w:id="1336" w:name="Tc_0Nq_JhH4IUyJ1Waq6ltwaQ_3_5"/>
      <w:bookmarkStart w:id="1337" w:name="Tc_qHywQ1yyREa0S-bI9Y_Swg_3_2"/>
      <w:bookmarkStart w:id="1338" w:name="Tc_NxAUi_x5o0iN3dCC2_QbBw_3_0"/>
      <w:bookmarkStart w:id="1339" w:name="Tc_GBvL05rZdUSY0poj6HovFA_2_5"/>
      <w:bookmarkStart w:id="1340" w:name="Tc_BuPK22Wv00KfTa-CWkZnFg_2_2"/>
      <w:bookmarkStart w:id="1341" w:name="Tc_hq1SJ3ogNkuDP83fyu5fCA_1_2"/>
      <w:bookmarkStart w:id="1342" w:name="_b310b152_b0cf_421a_bc06_35bab80b82da"/>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NOTE 10. ASSETS HELD FOR SALE</w:t>
      </w:r>
    </w:p>
    <w:p>
      <w:pPr>
        <w:pStyle w:val="TextBody"/>
        <w:bidi w:val="0"/>
        <w:spacing w:before="240" w:after="0"/>
        <w:ind w:left="0" w:right="0" w:firstLine="360"/>
        <w:jc w:val="both"/>
        <w:rPr>
          <w:rFonts w:ascii="Times New Roman;Times;serif" w:hAnsi="Times New Roman;Times;serif"/>
          <w:sz w:val="20"/>
        </w:rPr>
      </w:pPr>
      <w:r>
        <w:rPr>
          <w:rFonts w:ascii="Times New Roman;Times;serif" w:hAnsi="Times New Roman;Times;serif"/>
          <w:sz w:val="20"/>
        </w:rPr>
        <w:t>Assets held for sale were comprised of two properties as of June 30, 2026 and three properties as of December 31, 2025. One of the properties classified as held for sale as of December 31, 2025 was placed back into service during the six</w:t>
      </w:r>
      <w:r>
        <w:rPr>
          <w:rFonts w:ascii="Times New Roman;Times;serif" w:hAnsi="Times New Roman;Times;serif"/>
          <w:sz w:val="20"/>
          <w:shd w:fill="FFFF00" w:val="clear"/>
        </w:rPr>
        <w:t xml:space="preserve"> </w:t>
      </w:r>
      <w:r>
        <w:rPr>
          <w:rFonts w:ascii="Times New Roman;Times;serif" w:hAnsi="Times New Roman;Times;serif"/>
          <w:sz w:val="20"/>
        </w:rPr>
        <w:t>months ended June 30, 2026. The Company determined the property no longer met the criteria to be classified as held for sale as the sale is no longer deemed probable due to the termination of the underlying purchase and sale agreement. As a result, the Company recorded $0.3 million of depreciation and amortization expense during the six months ended June 30, 2026 to account for the property being placed back into service.</w:t>
      </w:r>
    </w:p>
    <w:p>
      <w:pPr>
        <w:pStyle w:val="TextBody"/>
        <w:bidi w:val="0"/>
        <w:spacing w:before="240" w:after="240"/>
        <w:ind w:left="0" w:right="0" w:firstLine="360"/>
        <w:jc w:val="both"/>
        <w:rPr>
          <w:rFonts w:ascii="Times New Roman;Times;serif" w:hAnsi="Times New Roman;Times;serif"/>
          <w:sz w:val="20"/>
        </w:rPr>
      </w:pPr>
      <w:r>
        <w:rPr>
          <w:rFonts w:ascii="Times New Roman;Times;serif" w:hAnsi="Times New Roman;Times;serif"/>
          <w:sz w:val="20"/>
        </w:rPr>
        <w:t>Assets held for sale consisted of the following (in thousands):</w:t>
      </w:r>
    </w:p>
    <w:tbl>
      <w:tblPr>
        <w:tblW w:w="6609" w:type="dxa"/>
        <w:jc w:val="left"/>
        <w:tblInd w:w="0" w:type="dxa"/>
        <w:tblLayout w:type="fixed"/>
        <w:tblCellMar>
          <w:top w:w="0" w:type="dxa"/>
          <w:left w:w="0" w:type="dxa"/>
          <w:bottom w:w="0" w:type="dxa"/>
          <w:right w:w="0" w:type="dxa"/>
        </w:tblCellMar>
      </w:tblPr>
      <w:tblGrid>
        <w:gridCol w:w="3346"/>
        <w:gridCol w:w="109"/>
        <w:gridCol w:w="298"/>
        <w:gridCol w:w="977"/>
        <w:gridCol w:w="109"/>
        <w:gridCol w:w="400"/>
        <w:gridCol w:w="1370"/>
      </w:tblGrid>
      <w:tr>
        <w:trPr/>
        <w:tc>
          <w:tcPr>
            <w:tcW w:w="3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69215" cy="175260"/>
                      <wp:effectExtent l="0" t="0" r="0" b="0"/>
                      <wp:wrapNone/>
                      <wp:docPr id="259" name="Frame25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189230" cy="175260"/>
                      <wp:effectExtent l="0" t="0" r="0" b="0"/>
                      <wp:wrapNone/>
                      <wp:docPr id="260" name="Frame260"/>
                      <a:graphic xmlns:a="http://schemas.openxmlformats.org/drawingml/2006/main">
                        <a:graphicData uri="http://schemas.microsoft.com/office/word/2010/wordprocessingShape">
                          <wps:wsp>
                            <wps:cNvSpPr txBox="1"/>
                            <wps:spPr>
                              <a:xfrm>
                                <a:off x="0" y="0"/>
                                <a:ext cx="1892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620395" cy="175260"/>
                      <wp:effectExtent l="0" t="0" r="0" b="0"/>
                      <wp:wrapNone/>
                      <wp:docPr id="261" name="Frame261"/>
                      <a:graphic xmlns:a="http://schemas.openxmlformats.org/drawingml/2006/main">
                        <a:graphicData uri="http://schemas.microsoft.com/office/word/2010/wordprocessingShape">
                          <wps:wsp>
                            <wps:cNvSpPr txBox="1"/>
                            <wps:spPr>
                              <a:xfrm>
                                <a:off x="0" y="0"/>
                                <a:ext cx="6203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69215" cy="175260"/>
                      <wp:effectExtent l="0" t="0" r="0" b="0"/>
                      <wp:wrapNone/>
                      <wp:docPr id="262" name="Frame26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254000" cy="175260"/>
                      <wp:effectExtent l="0" t="0" r="0" b="0"/>
                      <wp:wrapNone/>
                      <wp:docPr id="263" name="Frame263"/>
                      <a:graphic xmlns:a="http://schemas.openxmlformats.org/drawingml/2006/main">
                        <a:graphicData uri="http://schemas.microsoft.com/office/word/2010/wordprocessingShape">
                          <wps:wsp>
                            <wps:cNvSpPr txBox="1"/>
                            <wps:spPr>
                              <a:xfrm>
                                <a:off x="0" y="0"/>
                                <a:ext cx="2540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869950" cy="175260"/>
                      <wp:effectExtent l="0" t="0" r="0" b="0"/>
                      <wp:wrapNone/>
                      <wp:docPr id="264" name="Frame264"/>
                      <a:graphic xmlns:a="http://schemas.openxmlformats.org/drawingml/2006/main">
                        <a:graphicData uri="http://schemas.microsoft.com/office/word/2010/wordprocessingShape">
                          <wps:wsp>
                            <wps:cNvSpPr txBox="1"/>
                            <wps:spPr>
                              <a:xfrm>
                                <a:off x="0" y="0"/>
                                <a:ext cx="8699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15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As of</w:t>
            </w:r>
          </w:p>
        </w:tc>
      </w:tr>
      <w:tr>
        <w:trPr/>
        <w:tc>
          <w:tcPr>
            <w:tcW w:w="334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2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2026</w:t>
            </w:r>
          </w:p>
        </w:tc>
        <w:tc>
          <w:tcPr>
            <w:tcW w:w="109" w:type="dxa"/>
            <w:tcBorders/>
            <w:vAlign w:val="center"/>
          </w:tcPr>
          <w:p>
            <w:pPr>
              <w:pStyle w:val="TableContents"/>
              <w:bidi w:val="0"/>
              <w:spacing w:before="0" w:after="0"/>
              <w:ind w:left="0" w:right="0" w:hanging="0"/>
              <w:jc w:val="center"/>
              <w:rPr/>
            </w:pPr>
            <w:r>
              <w:rPr/>
              <w:t>​</w:t>
            </w:r>
          </w:p>
        </w:tc>
        <w:tc>
          <w:tcPr>
            <w:tcW w:w="17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2025</w:t>
            </w:r>
          </w:p>
        </w:tc>
      </w:tr>
      <w:tr>
        <w:trPr/>
        <w:tc>
          <w:tcPr>
            <w:tcW w:w="3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Real Estate—Net</w:t>
            </w:r>
          </w:p>
        </w:tc>
        <w:tc>
          <w:tcPr>
            <w:tcW w:w="109" w:type="dxa"/>
            <w:tcBorders/>
            <w:shd w:fill="CCEEFF" w:val="clear"/>
            <w:vAlign w:val="center"/>
          </w:tcPr>
          <w:p>
            <w:pPr>
              <w:pStyle w:val="TableContents"/>
              <w:bidi w:val="0"/>
              <w:spacing w:before="0" w:after="0"/>
              <w:ind w:left="0" w:right="0" w:hanging="0"/>
              <w:jc w:val="left"/>
              <w:rPr/>
            </w:pPr>
            <w:r>
              <w:rPr/>
              <w:t>​</w:t>
            </w:r>
          </w:p>
        </w:tc>
        <w:tc>
          <w:tcPr>
            <w:tcW w:w="29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2,194</w:t>
            </w:r>
          </w:p>
        </w:tc>
        <w:tc>
          <w:tcPr>
            <w:tcW w:w="109" w:type="dxa"/>
            <w:tcBorders/>
            <w:shd w:fill="CCEEFF" w:val="clear"/>
            <w:vAlign w:val="center"/>
          </w:tcPr>
          <w:p>
            <w:pPr>
              <w:pStyle w:val="TableContents"/>
              <w:bidi w:val="0"/>
              <w:spacing w:before="0" w:after="0"/>
              <w:ind w:left="0" w:right="0" w:hanging="0"/>
              <w:jc w:val="right"/>
              <w:rPr/>
            </w:pPr>
            <w:r>
              <w:rPr/>
              <w:t>​</w:t>
            </w:r>
          </w:p>
        </w:tc>
        <w:tc>
          <w:tcPr>
            <w:tcW w:w="40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7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9,093</w:t>
            </w:r>
          </w:p>
        </w:tc>
      </w:tr>
      <w:tr>
        <w:trPr/>
        <w:tc>
          <w:tcPr>
            <w:tcW w:w="3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Intangible Lease Assets—Net</w:t>
            </w:r>
          </w:p>
        </w:tc>
        <w:tc>
          <w:tcPr>
            <w:tcW w:w="109" w:type="dxa"/>
            <w:tcBorders/>
            <w:vAlign w:val="center"/>
          </w:tcPr>
          <w:p>
            <w:pPr>
              <w:pStyle w:val="TableContents"/>
              <w:bidi w:val="0"/>
              <w:spacing w:before="0" w:after="0"/>
              <w:ind w:left="0" w:right="0" w:hanging="0"/>
              <w:jc w:val="left"/>
              <w:rPr/>
            </w:pPr>
            <w:r>
              <w:rPr/>
              <w:t>​</w:t>
            </w:r>
          </w:p>
        </w:tc>
        <w:tc>
          <w:tcPr>
            <w:tcW w:w="298" w:type="dxa"/>
            <w:tcBorders/>
            <w:vAlign w:val="center"/>
          </w:tcPr>
          <w:p>
            <w:pPr>
              <w:pStyle w:val="TableContents"/>
              <w:bidi w:val="0"/>
              <w:spacing w:before="0" w:after="0"/>
              <w:ind w:left="0" w:right="0" w:hanging="0"/>
              <w:jc w:val="left"/>
              <w:rPr/>
            </w:pPr>
            <w:r>
              <w:rPr/>
              <w:t>​</w:t>
            </w:r>
          </w:p>
        </w:tc>
        <w:tc>
          <w:tcPr>
            <w:tcW w:w="97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263</w:t>
            </w:r>
          </w:p>
        </w:tc>
        <w:tc>
          <w:tcPr>
            <w:tcW w:w="109" w:type="dxa"/>
            <w:tcBorders/>
            <w:vAlign w:val="center"/>
          </w:tcPr>
          <w:p>
            <w:pPr>
              <w:pStyle w:val="TableContents"/>
              <w:bidi w:val="0"/>
              <w:spacing w:before="0" w:after="0"/>
              <w:ind w:left="0" w:right="0" w:hanging="0"/>
              <w:jc w:val="right"/>
              <w:rPr/>
            </w:pPr>
            <w:r>
              <w:rPr/>
              <w:t>​</w:t>
            </w:r>
          </w:p>
        </w:tc>
        <w:tc>
          <w:tcPr>
            <w:tcW w:w="400" w:type="dxa"/>
            <w:tcBorders/>
            <w:vAlign w:val="center"/>
          </w:tcPr>
          <w:p>
            <w:pPr>
              <w:pStyle w:val="TableContents"/>
              <w:bidi w:val="0"/>
              <w:spacing w:before="0" w:after="0"/>
              <w:ind w:left="0" w:right="0" w:hanging="0"/>
              <w:jc w:val="left"/>
              <w:rPr/>
            </w:pPr>
            <w:r>
              <w:rPr/>
              <w:t>​</w:t>
            </w:r>
          </w:p>
        </w:tc>
        <w:tc>
          <w:tcPr>
            <w:tcW w:w="137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1,132</w:t>
            </w:r>
          </w:p>
        </w:tc>
      </w:tr>
      <w:tr>
        <w:trPr/>
        <w:tc>
          <w:tcPr>
            <w:tcW w:w="3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Intangible Lease Liabilities—Net</w:t>
            </w:r>
          </w:p>
        </w:tc>
        <w:tc>
          <w:tcPr>
            <w:tcW w:w="109" w:type="dxa"/>
            <w:tcBorders/>
            <w:shd w:fill="CCEEFF" w:val="clear"/>
            <w:vAlign w:val="center"/>
          </w:tcPr>
          <w:p>
            <w:pPr>
              <w:pStyle w:val="TableContents"/>
              <w:bidi w:val="0"/>
              <w:spacing w:before="0" w:after="0"/>
              <w:ind w:left="0" w:right="0" w:hanging="0"/>
              <w:jc w:val="left"/>
              <w:rPr/>
            </w:pPr>
            <w:r>
              <w:rPr/>
              <w:t>​</w:t>
            </w:r>
          </w:p>
        </w:tc>
        <w:tc>
          <w:tcPr>
            <w:tcW w:w="298" w:type="dxa"/>
            <w:tcBorders/>
            <w:shd w:fill="CCEEFF" w:val="clear"/>
            <w:vAlign w:val="center"/>
          </w:tcPr>
          <w:p>
            <w:pPr>
              <w:pStyle w:val="TableContents"/>
              <w:bidi w:val="0"/>
              <w:spacing w:before="0" w:after="0"/>
              <w:ind w:left="0" w:right="0" w:hanging="0"/>
              <w:jc w:val="left"/>
              <w:rPr/>
            </w:pPr>
            <w:r>
              <w:rPr/>
              <w:t>​</w:t>
            </w:r>
          </w:p>
        </w:tc>
        <w:tc>
          <w:tcPr>
            <w:tcW w:w="97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c>
          <w:tcPr>
            <w:tcW w:w="109" w:type="dxa"/>
            <w:tcBorders/>
            <w:shd w:fill="CCEEFF" w:val="clear"/>
            <w:vAlign w:val="center"/>
          </w:tcPr>
          <w:p>
            <w:pPr>
              <w:pStyle w:val="TableContents"/>
              <w:bidi w:val="0"/>
              <w:spacing w:before="0" w:after="0"/>
              <w:ind w:left="0" w:right="0" w:hanging="0"/>
              <w:jc w:val="right"/>
              <w:rPr/>
            </w:pPr>
            <w:r>
              <w:rPr/>
              <w:t>​</w:t>
            </w:r>
          </w:p>
        </w:tc>
        <w:tc>
          <w:tcPr>
            <w:tcW w:w="400" w:type="dxa"/>
            <w:tcBorders/>
            <w:shd w:fill="CCEEFF" w:val="clear"/>
            <w:vAlign w:val="center"/>
          </w:tcPr>
          <w:p>
            <w:pPr>
              <w:pStyle w:val="TableContents"/>
              <w:bidi w:val="0"/>
              <w:spacing w:before="0" w:after="0"/>
              <w:ind w:left="0" w:right="0" w:hanging="0"/>
              <w:jc w:val="left"/>
              <w:rPr/>
            </w:pPr>
            <w:r>
              <w:rPr/>
              <w:t>​</w:t>
            </w:r>
          </w:p>
        </w:tc>
        <w:tc>
          <w:tcPr>
            <w:tcW w:w="137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w:t>
            </w:r>
          </w:p>
        </w:tc>
      </w:tr>
      <w:tr>
        <w:trPr/>
        <w:tc>
          <w:tcPr>
            <w:tcW w:w="3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Straight-Line Rent Adjustment</w:t>
            </w:r>
          </w:p>
        </w:tc>
        <w:tc>
          <w:tcPr>
            <w:tcW w:w="109" w:type="dxa"/>
            <w:tcBorders/>
            <w:vAlign w:val="center"/>
          </w:tcPr>
          <w:p>
            <w:pPr>
              <w:pStyle w:val="TableContents"/>
              <w:bidi w:val="0"/>
              <w:spacing w:before="0" w:after="0"/>
              <w:ind w:left="0" w:right="0" w:hanging="0"/>
              <w:jc w:val="left"/>
              <w:rPr/>
            </w:pPr>
            <w:r>
              <w:rPr/>
              <w:t>​</w:t>
            </w:r>
          </w:p>
        </w:tc>
        <w:tc>
          <w:tcPr>
            <w:tcW w:w="298" w:type="dxa"/>
            <w:tcBorders/>
            <w:vAlign w:val="center"/>
          </w:tcPr>
          <w:p>
            <w:pPr>
              <w:pStyle w:val="TableContents"/>
              <w:bidi w:val="0"/>
              <w:spacing w:before="0" w:after="0"/>
              <w:ind w:left="0" w:right="0" w:hanging="0"/>
              <w:jc w:val="left"/>
              <w:rPr/>
            </w:pPr>
            <w:r>
              <w:rPr/>
              <w:t>​</w:t>
            </w:r>
          </w:p>
        </w:tc>
        <w:tc>
          <w:tcPr>
            <w:tcW w:w="97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w:t>
            </w:r>
          </w:p>
        </w:tc>
        <w:tc>
          <w:tcPr>
            <w:tcW w:w="109" w:type="dxa"/>
            <w:tcBorders/>
            <w:vAlign w:val="center"/>
          </w:tcPr>
          <w:p>
            <w:pPr>
              <w:pStyle w:val="TableContents"/>
              <w:bidi w:val="0"/>
              <w:spacing w:before="0" w:after="0"/>
              <w:ind w:left="0" w:right="0" w:hanging="0"/>
              <w:jc w:val="right"/>
              <w:rPr/>
            </w:pPr>
            <w:r>
              <w:rPr/>
              <w:t>​</w:t>
            </w:r>
          </w:p>
        </w:tc>
        <w:tc>
          <w:tcPr>
            <w:tcW w:w="400" w:type="dxa"/>
            <w:tcBorders/>
            <w:vAlign w:val="center"/>
          </w:tcPr>
          <w:p>
            <w:pPr>
              <w:pStyle w:val="TableContents"/>
              <w:bidi w:val="0"/>
              <w:spacing w:before="0" w:after="0"/>
              <w:ind w:left="0" w:right="0" w:hanging="0"/>
              <w:jc w:val="left"/>
              <w:rPr/>
            </w:pPr>
            <w:r>
              <w:rPr/>
              <w:t>​</w:t>
            </w:r>
          </w:p>
        </w:tc>
        <w:tc>
          <w:tcPr>
            <w:tcW w:w="137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w:t>
            </w:r>
          </w:p>
        </w:tc>
      </w:tr>
      <w:tr>
        <w:trPr/>
        <w:tc>
          <w:tcPr>
            <w:tcW w:w="3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109" w:type="dxa"/>
            <w:tcBorders/>
            <w:shd w:fill="CCEEFF" w:val="clear"/>
            <w:vAlign w:val="center"/>
          </w:tcPr>
          <w:p>
            <w:pPr>
              <w:pStyle w:val="TableContents"/>
              <w:bidi w:val="0"/>
              <w:spacing w:before="0" w:after="0"/>
              <w:ind w:left="0" w:right="0" w:hanging="0"/>
              <w:jc w:val="left"/>
              <w:rPr/>
            </w:pPr>
            <w:r>
              <w:rPr/>
              <w:t>​</w:t>
            </w:r>
          </w:p>
        </w:tc>
        <w:tc>
          <w:tcPr>
            <w:tcW w:w="29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7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109" w:type="dxa"/>
            <w:tcBorders/>
            <w:shd w:fill="CCEEFF" w:val="clear"/>
            <w:vAlign w:val="center"/>
          </w:tcPr>
          <w:p>
            <w:pPr>
              <w:pStyle w:val="TableContents"/>
              <w:bidi w:val="0"/>
              <w:spacing w:before="0" w:after="0"/>
              <w:ind w:left="0" w:right="0" w:hanging="0"/>
              <w:jc w:val="right"/>
              <w:rPr/>
            </w:pPr>
            <w:r>
              <w:rPr/>
              <w:t>​</w:t>
            </w:r>
          </w:p>
        </w:tc>
        <w:tc>
          <w:tcPr>
            <w:tcW w:w="40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37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3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Assets Prior to Provision for Impairment</w:t>
            </w:r>
          </w:p>
        </w:tc>
        <w:tc>
          <w:tcPr>
            <w:tcW w:w="109" w:type="dxa"/>
            <w:tcBorders/>
            <w:vAlign w:val="center"/>
          </w:tcPr>
          <w:p>
            <w:pPr>
              <w:pStyle w:val="TableContents"/>
              <w:bidi w:val="0"/>
              <w:spacing w:before="0" w:after="0"/>
              <w:ind w:left="0" w:right="0" w:hanging="0"/>
              <w:jc w:val="left"/>
              <w:rPr/>
            </w:pPr>
            <w:r>
              <w:rPr/>
              <w:t>​</w:t>
            </w:r>
          </w:p>
        </w:tc>
        <w:tc>
          <w:tcPr>
            <w:tcW w:w="29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2,470</w:t>
            </w:r>
          </w:p>
        </w:tc>
        <w:tc>
          <w:tcPr>
            <w:tcW w:w="109" w:type="dxa"/>
            <w:tcBorders/>
            <w:vAlign w:val="center"/>
          </w:tcPr>
          <w:p>
            <w:pPr>
              <w:pStyle w:val="TableContents"/>
              <w:bidi w:val="0"/>
              <w:spacing w:before="0" w:after="0"/>
              <w:ind w:left="0" w:right="0" w:hanging="0"/>
              <w:jc w:val="right"/>
              <w:rPr/>
            </w:pPr>
            <w:r>
              <w:rPr/>
              <w:t>​</w:t>
            </w:r>
          </w:p>
        </w:tc>
        <w:tc>
          <w:tcPr>
            <w:tcW w:w="40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7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10,172</w:t>
            </w:r>
          </w:p>
        </w:tc>
      </w:tr>
      <w:tr>
        <w:trPr/>
        <w:tc>
          <w:tcPr>
            <w:tcW w:w="3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Provision for Impairment</w:t>
            </w:r>
          </w:p>
        </w:tc>
        <w:tc>
          <w:tcPr>
            <w:tcW w:w="109" w:type="dxa"/>
            <w:tcBorders/>
            <w:shd w:fill="CCEEFF" w:val="clear"/>
            <w:vAlign w:val="center"/>
          </w:tcPr>
          <w:p>
            <w:pPr>
              <w:pStyle w:val="TableContents"/>
              <w:bidi w:val="0"/>
              <w:spacing w:before="0" w:after="0"/>
              <w:ind w:left="0" w:right="0" w:hanging="0"/>
              <w:jc w:val="left"/>
              <w:rPr/>
            </w:pPr>
            <w:r>
              <w:rPr/>
              <w:t>​</w:t>
            </w:r>
          </w:p>
        </w:tc>
        <w:tc>
          <w:tcPr>
            <w:tcW w:w="29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7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(2,095)</w:t>
            </w:r>
          </w:p>
        </w:tc>
        <w:tc>
          <w:tcPr>
            <w:tcW w:w="109" w:type="dxa"/>
            <w:tcBorders/>
            <w:shd w:fill="CCEEFF" w:val="clear"/>
            <w:vAlign w:val="center"/>
          </w:tcPr>
          <w:p>
            <w:pPr>
              <w:pStyle w:val="TableContents"/>
              <w:bidi w:val="0"/>
              <w:spacing w:before="0" w:after="0"/>
              <w:ind w:left="0" w:right="0" w:hanging="0"/>
              <w:jc w:val="right"/>
              <w:rPr/>
            </w:pPr>
            <w:r>
              <w:rPr/>
              <w:t>​</w:t>
            </w:r>
          </w:p>
        </w:tc>
        <w:tc>
          <w:tcPr>
            <w:tcW w:w="40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37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(2,095)</w:t>
            </w:r>
          </w:p>
        </w:tc>
      </w:tr>
      <w:tr>
        <w:trPr/>
        <w:tc>
          <w:tcPr>
            <w:tcW w:w="3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Assets Held for Sale</w:t>
            </w:r>
          </w:p>
        </w:tc>
        <w:tc>
          <w:tcPr>
            <w:tcW w:w="109" w:type="dxa"/>
            <w:tcBorders/>
            <w:vAlign w:val="center"/>
          </w:tcPr>
          <w:p>
            <w:pPr>
              <w:pStyle w:val="TableContents"/>
              <w:bidi w:val="0"/>
              <w:spacing w:before="0" w:after="0"/>
              <w:ind w:left="0" w:right="0" w:hanging="0"/>
              <w:jc w:val="left"/>
              <w:rPr/>
            </w:pPr>
            <w:r>
              <w:rPr/>
              <w:t>​</w:t>
            </w:r>
          </w:p>
        </w:tc>
        <w:tc>
          <w:tcPr>
            <w:tcW w:w="29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375</w:t>
            </w:r>
          </w:p>
        </w:tc>
        <w:tc>
          <w:tcPr>
            <w:tcW w:w="109" w:type="dxa"/>
            <w:tcBorders/>
            <w:vAlign w:val="center"/>
          </w:tcPr>
          <w:p>
            <w:pPr>
              <w:pStyle w:val="TableContents"/>
              <w:bidi w:val="0"/>
              <w:spacing w:before="0" w:after="0"/>
              <w:ind w:left="0" w:right="0" w:hanging="0"/>
              <w:jc w:val="right"/>
              <w:rPr/>
            </w:pPr>
            <w:r>
              <w:rPr/>
              <w:t>​</w:t>
            </w:r>
          </w:p>
        </w:tc>
        <w:tc>
          <w:tcPr>
            <w:tcW w:w="40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70" w:type="dxa"/>
            <w:tcBorders>
              <w:bottom w:val="double" w:sz="6" w:space="0" w:color="000000"/>
            </w:tcBorders>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8,077</w:t>
            </w:r>
          </w:p>
        </w:tc>
      </w:tr>
    </w:tbl>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pPr>
      <w:bookmarkStart w:id="1343" w:name="Tc_zV7tiNSZBEmDJ44n0drZ8Q_10_5"/>
      <w:bookmarkStart w:id="1344" w:name="Tc_L5kbPIkRYUCtlopnD_zWqQ_10_2"/>
      <w:bookmarkStart w:id="1345" w:name="Tc_VH7tJ68URE2IB2SBg-4UvA_10_0"/>
      <w:bookmarkStart w:id="1346" w:name="Tc_1jbAoqbDTkCAPiYChDpqFQ_9_0"/>
      <w:bookmarkStart w:id="1347" w:name="Tc_XBHCyNp4NkOxuguSjq966w_8_0"/>
      <w:bookmarkStart w:id="1348" w:name="Tc_E_aKD1XYJk2jF-qKwUzB_Q_7_3"/>
      <w:bookmarkStart w:id="1349" w:name="Tc_-sKT-kagYUyj5_9TEmwaWA_7_0"/>
      <w:bookmarkStart w:id="1350" w:name="Tc_kMeyu_pLmE2AORQa1lFo-Q_5_0"/>
      <w:bookmarkStart w:id="1351" w:name="Tc_0kr5CaAchkSbGsQYiaAkYQ_4_0"/>
      <w:bookmarkStart w:id="1352" w:name="Tc_namxlke-pU2vZk1zrJHWmg_3_5"/>
      <w:bookmarkStart w:id="1353" w:name="Tc_aLZ_olKqdUCtGUzoo8RMUA_3_2"/>
      <w:bookmarkStart w:id="1354" w:name="Tc_o1BPohYQQUuCo95cm64QLQ_3_0"/>
      <w:bookmarkStart w:id="1355" w:name="Tc_twDehTISKki6HCa5UNpF9w_2_5"/>
      <w:bookmarkStart w:id="1356" w:name="Tc_VRKpaorntEOVx3YcECpt7Q_2_2"/>
      <w:bookmarkStart w:id="1357" w:name="Tc_vQg3Pu5B9EiewHyhl5-S3Q_1_2"/>
      <w:bookmarkStart w:id="1358" w:name="_bd2245f6_a4c6_45f7_a7c0_b8e96619703f"/>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 11. ACCOUNTS PAYABLE, ACCRUED EXPENSES, AND OTHER LIABILITIES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Accounts payable, accrued expenses, and other liabilities consisted of the following (in thousands):</w:t>
      </w:r>
    </w:p>
    <w:p>
      <w:pPr>
        <w:pStyle w:val="TextBody"/>
        <w:bidi w:val="0"/>
        <w:spacing w:before="0" w:after="0"/>
        <w:ind w:left="0" w:right="0" w:firstLine="360"/>
        <w:jc w:val="both"/>
        <w:rPr/>
      </w:pPr>
      <w:r>
        <w:rPr/>
        <w:t>​</w:t>
      </w:r>
    </w:p>
    <w:tbl>
      <w:tblPr>
        <w:tblW w:w="8664" w:type="dxa"/>
        <w:jc w:val="left"/>
        <w:tblInd w:w="0" w:type="dxa"/>
        <w:tblLayout w:type="fixed"/>
        <w:tblCellMar>
          <w:top w:w="0" w:type="dxa"/>
          <w:left w:w="0" w:type="dxa"/>
          <w:bottom w:w="0" w:type="dxa"/>
          <w:right w:w="0" w:type="dxa"/>
        </w:tblCellMar>
      </w:tblPr>
      <w:tblGrid>
        <w:gridCol w:w="5401"/>
        <w:gridCol w:w="109"/>
        <w:gridCol w:w="303"/>
        <w:gridCol w:w="972"/>
        <w:gridCol w:w="109"/>
        <w:gridCol w:w="414"/>
        <w:gridCol w:w="1356"/>
      </w:tblGrid>
      <w:tr>
        <w:trPr/>
        <w:tc>
          <w:tcPr>
            <w:tcW w:w="54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3429635" cy="175260"/>
                      <wp:effectExtent l="0" t="0" r="0" b="0"/>
                      <wp:wrapNone/>
                      <wp:docPr id="265" name="Frame265"/>
                      <a:graphic xmlns:a="http://schemas.openxmlformats.org/drawingml/2006/main">
                        <a:graphicData uri="http://schemas.microsoft.com/office/word/2010/wordprocessingShape">
                          <wps:wsp>
                            <wps:cNvSpPr txBox="1"/>
                            <wps:spPr>
                              <a:xfrm>
                                <a:off x="0" y="0"/>
                                <a:ext cx="3429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69215" cy="175260"/>
                      <wp:effectExtent l="0" t="0" r="0" b="0"/>
                      <wp:wrapNone/>
                      <wp:docPr id="266" name="Frame26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192405" cy="175260"/>
                      <wp:effectExtent l="0" t="0" r="0" b="0"/>
                      <wp:wrapNone/>
                      <wp:docPr id="267" name="Frame267"/>
                      <a:graphic xmlns:a="http://schemas.openxmlformats.org/drawingml/2006/main">
                        <a:graphicData uri="http://schemas.microsoft.com/office/word/2010/wordprocessingShape">
                          <wps:wsp>
                            <wps:cNvSpPr txBox="1"/>
                            <wps:spPr>
                              <a:xfrm>
                                <a:off x="0" y="0"/>
                                <a:ext cx="1924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617220" cy="175260"/>
                      <wp:effectExtent l="0" t="0" r="0" b="0"/>
                      <wp:wrapNone/>
                      <wp:docPr id="268" name="Frame268"/>
                      <a:graphic xmlns:a="http://schemas.openxmlformats.org/drawingml/2006/main">
                        <a:graphicData uri="http://schemas.microsoft.com/office/word/2010/wordprocessingShape">
                          <wps:wsp>
                            <wps:cNvSpPr txBox="1"/>
                            <wps:spPr>
                              <a:xfrm>
                                <a:off x="0" y="0"/>
                                <a:ext cx="6172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69215" cy="175260"/>
                      <wp:effectExtent l="0" t="0" r="0" b="0"/>
                      <wp:wrapNone/>
                      <wp:docPr id="269" name="Frame26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262890" cy="175260"/>
                      <wp:effectExtent l="0" t="0" r="0" b="0"/>
                      <wp:wrapNone/>
                      <wp:docPr id="270" name="Frame270"/>
                      <a:graphic xmlns:a="http://schemas.openxmlformats.org/drawingml/2006/main">
                        <a:graphicData uri="http://schemas.microsoft.com/office/word/2010/wordprocessingShape">
                          <wps:wsp>
                            <wps:cNvSpPr txBox="1"/>
                            <wps:spPr>
                              <a:xfrm>
                                <a:off x="0" y="0"/>
                                <a:ext cx="2628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861060" cy="175260"/>
                      <wp:effectExtent l="0" t="0" r="0" b="0"/>
                      <wp:wrapNone/>
                      <wp:docPr id="271" name="Frame271"/>
                      <a:graphic xmlns:a="http://schemas.openxmlformats.org/drawingml/2006/main">
                        <a:graphicData uri="http://schemas.microsoft.com/office/word/2010/wordprocessingShape">
                          <wps:wsp>
                            <wps:cNvSpPr txBox="1"/>
                            <wps:spPr>
                              <a:xfrm>
                                <a:off x="0" y="0"/>
                                <a:ext cx="861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4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15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of</w:t>
            </w:r>
          </w:p>
        </w:tc>
      </w:tr>
      <w:tr>
        <w:trPr/>
        <w:tc>
          <w:tcPr>
            <w:tcW w:w="54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2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2026</w:t>
            </w:r>
          </w:p>
        </w:tc>
        <w:tc>
          <w:tcPr>
            <w:tcW w:w="109" w:type="dxa"/>
            <w:tcBorders/>
            <w:vAlign w:val="center"/>
          </w:tcPr>
          <w:p>
            <w:pPr>
              <w:pStyle w:val="TableContents"/>
              <w:bidi w:val="0"/>
              <w:spacing w:before="0" w:after="0"/>
              <w:ind w:left="0" w:right="0" w:hanging="0"/>
              <w:jc w:val="left"/>
              <w:rPr/>
            </w:pPr>
            <w:r>
              <w:rPr/>
              <w:t>​</w:t>
            </w:r>
          </w:p>
        </w:tc>
        <w:tc>
          <w:tcPr>
            <w:tcW w:w="17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2025</w:t>
            </w:r>
          </w:p>
        </w:tc>
      </w:tr>
      <w:tr>
        <w:trPr/>
        <w:tc>
          <w:tcPr>
            <w:tcW w:w="54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Accounts Payable </w:t>
            </w:r>
          </w:p>
        </w:tc>
        <w:tc>
          <w:tcPr>
            <w:tcW w:w="109"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w:t>
            </w:r>
          </w:p>
        </w:tc>
        <w:tc>
          <w:tcPr>
            <w:tcW w:w="109" w:type="dxa"/>
            <w:tcBorders/>
            <w:shd w:fill="CCEEFF" w:val="clear"/>
            <w:vAlign w:val="center"/>
          </w:tcPr>
          <w:p>
            <w:pPr>
              <w:pStyle w:val="TableContents"/>
              <w:bidi w:val="0"/>
              <w:spacing w:before="0" w:after="0"/>
              <w:ind w:left="0" w:right="0" w:hanging="0"/>
              <w:jc w:val="left"/>
              <w:rPr/>
            </w:pPr>
            <w:r>
              <w:rPr/>
              <w:t>​</w:t>
            </w:r>
          </w:p>
        </w:tc>
        <w:tc>
          <w:tcPr>
            <w:tcW w:w="41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r>
      <w:tr>
        <w:trPr/>
        <w:tc>
          <w:tcPr>
            <w:tcW w:w="54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Expenses</w:t>
            </w:r>
          </w:p>
        </w:tc>
        <w:tc>
          <w:tcPr>
            <w:tcW w:w="109"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pPr>
            <w:r>
              <w:rPr/>
              <w:t>​</w:t>
            </w:r>
          </w:p>
        </w:tc>
        <w:tc>
          <w:tcPr>
            <w:tcW w:w="9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2,494</w:t>
            </w:r>
          </w:p>
        </w:tc>
        <w:tc>
          <w:tcPr>
            <w:tcW w:w="109" w:type="dxa"/>
            <w:tcBorders/>
            <w:vAlign w:val="center"/>
          </w:tcPr>
          <w:p>
            <w:pPr>
              <w:pStyle w:val="TableContents"/>
              <w:bidi w:val="0"/>
              <w:spacing w:before="0" w:after="0"/>
              <w:ind w:left="0" w:right="0" w:hanging="0"/>
              <w:jc w:val="left"/>
              <w:rPr/>
            </w:pPr>
            <w:r>
              <w:rPr/>
              <w:t>​</w:t>
            </w:r>
          </w:p>
        </w:tc>
        <w:tc>
          <w:tcPr>
            <w:tcW w:w="414" w:type="dxa"/>
            <w:tcBorders/>
            <w:vAlign w:val="center"/>
          </w:tcPr>
          <w:p>
            <w:pPr>
              <w:pStyle w:val="TableContents"/>
              <w:bidi w:val="0"/>
              <w:spacing w:before="0" w:after="0"/>
              <w:ind w:left="0" w:right="0" w:hanging="0"/>
              <w:jc w:val="left"/>
              <w:rPr/>
            </w:pPr>
            <w:r>
              <w:rPr/>
              <w:t>​</w:t>
            </w:r>
          </w:p>
        </w:tc>
        <w:tc>
          <w:tcPr>
            <w:tcW w:w="13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2,416</w:t>
            </w:r>
          </w:p>
        </w:tc>
      </w:tr>
      <w:tr>
        <w:trPr/>
        <w:tc>
          <w:tcPr>
            <w:tcW w:w="54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Tenant Security Deposits</w:t>
            </w:r>
          </w:p>
        </w:tc>
        <w:tc>
          <w:tcPr>
            <w:tcW w:w="109"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pPr>
            <w:r>
              <w:rPr/>
              <w:t>​</w:t>
            </w:r>
          </w:p>
        </w:tc>
        <w:tc>
          <w:tcPr>
            <w:tcW w:w="97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w:t>
            </w:r>
          </w:p>
        </w:tc>
        <w:tc>
          <w:tcPr>
            <w:tcW w:w="109" w:type="dxa"/>
            <w:tcBorders/>
            <w:shd w:fill="CCEEFF" w:val="clear"/>
            <w:vAlign w:val="center"/>
          </w:tcPr>
          <w:p>
            <w:pPr>
              <w:pStyle w:val="TableContents"/>
              <w:bidi w:val="0"/>
              <w:spacing w:before="0" w:after="0"/>
              <w:ind w:left="0" w:right="0" w:hanging="0"/>
              <w:jc w:val="left"/>
              <w:rPr/>
            </w:pPr>
            <w:r>
              <w:rPr/>
              <w:t>​</w:t>
            </w:r>
          </w:p>
        </w:tc>
        <w:tc>
          <w:tcPr>
            <w:tcW w:w="414" w:type="dxa"/>
            <w:tcBorders/>
            <w:shd w:fill="CCEEFF" w:val="clear"/>
            <w:vAlign w:val="center"/>
          </w:tcPr>
          <w:p>
            <w:pPr>
              <w:pStyle w:val="TableContents"/>
              <w:bidi w:val="0"/>
              <w:spacing w:before="0" w:after="0"/>
              <w:ind w:left="0" w:right="0" w:hanging="0"/>
              <w:jc w:val="left"/>
              <w:rPr/>
            </w:pPr>
            <w:r>
              <w:rPr/>
              <w:t>​</w:t>
            </w:r>
          </w:p>
        </w:tc>
        <w:tc>
          <w:tcPr>
            <w:tcW w:w="13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w:t>
            </w:r>
          </w:p>
        </w:tc>
      </w:tr>
      <w:tr>
        <w:trPr/>
        <w:tc>
          <w:tcPr>
            <w:tcW w:w="5401"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CTO</w:t>
            </w:r>
          </w:p>
        </w:tc>
        <w:tc>
          <w:tcPr>
            <w:tcW w:w="109"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pPr>
            <w:r>
              <w:rPr/>
              <w:t>​</w:t>
            </w:r>
          </w:p>
        </w:tc>
        <w:tc>
          <w:tcPr>
            <w:tcW w:w="9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1,400</w:t>
            </w:r>
          </w:p>
        </w:tc>
        <w:tc>
          <w:tcPr>
            <w:tcW w:w="109" w:type="dxa"/>
            <w:tcBorders/>
            <w:vAlign w:val="center"/>
          </w:tcPr>
          <w:p>
            <w:pPr>
              <w:pStyle w:val="TableContents"/>
              <w:bidi w:val="0"/>
              <w:spacing w:before="0" w:after="0"/>
              <w:ind w:left="0" w:right="0" w:hanging="0"/>
              <w:jc w:val="left"/>
              <w:rPr/>
            </w:pPr>
            <w:r>
              <w:rPr/>
              <w:t>​</w:t>
            </w:r>
          </w:p>
        </w:tc>
        <w:tc>
          <w:tcPr>
            <w:tcW w:w="414" w:type="dxa"/>
            <w:tcBorders/>
            <w:vAlign w:val="center"/>
          </w:tcPr>
          <w:p>
            <w:pPr>
              <w:pStyle w:val="TableContents"/>
              <w:bidi w:val="0"/>
              <w:spacing w:before="0" w:after="0"/>
              <w:ind w:left="0" w:right="0" w:hanging="0"/>
              <w:jc w:val="left"/>
              <w:rPr/>
            </w:pPr>
            <w:r>
              <w:rPr/>
              <w:t>​</w:t>
            </w:r>
          </w:p>
        </w:tc>
        <w:tc>
          <w:tcPr>
            <w:tcW w:w="13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1,350</w:t>
            </w:r>
          </w:p>
        </w:tc>
      </w:tr>
      <w:tr>
        <w:trPr/>
        <w:tc>
          <w:tcPr>
            <w:tcW w:w="54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Rate Swaps</w:t>
            </w:r>
          </w:p>
        </w:tc>
        <w:tc>
          <w:tcPr>
            <w:tcW w:w="109"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pPr>
            <w:r>
              <w:rPr/>
              <w:t>​</w:t>
            </w:r>
          </w:p>
        </w:tc>
        <w:tc>
          <w:tcPr>
            <w:tcW w:w="972"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14" w:type="dxa"/>
            <w:tcBorders/>
            <w:shd w:fill="CCEEFF" w:val="clear"/>
            <w:vAlign w:val="center"/>
          </w:tcPr>
          <w:p>
            <w:pPr>
              <w:pStyle w:val="TableContents"/>
              <w:bidi w:val="0"/>
              <w:spacing w:before="0" w:after="0"/>
              <w:ind w:left="0" w:right="0" w:hanging="0"/>
              <w:jc w:val="left"/>
              <w:rPr/>
            </w:pPr>
            <w:r>
              <w:rPr/>
              <w:t>​</w:t>
            </w:r>
          </w:p>
        </w:tc>
        <w:tc>
          <w:tcPr>
            <w:tcW w:w="13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w:t>
            </w:r>
          </w:p>
        </w:tc>
      </w:tr>
      <w:tr>
        <w:trPr/>
        <w:tc>
          <w:tcPr>
            <w:tcW w:w="54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Loan Reserves</w:t>
            </w:r>
          </w:p>
        </w:tc>
        <w:tc>
          <w:tcPr>
            <w:tcW w:w="109"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pPr>
            <w:r>
              <w:rPr/>
              <w:t>​</w:t>
            </w:r>
          </w:p>
        </w:tc>
        <w:tc>
          <w:tcPr>
            <w:tcW w:w="9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7,028</w:t>
            </w:r>
          </w:p>
        </w:tc>
        <w:tc>
          <w:tcPr>
            <w:tcW w:w="109" w:type="dxa"/>
            <w:tcBorders/>
            <w:vAlign w:val="center"/>
          </w:tcPr>
          <w:p>
            <w:pPr>
              <w:pStyle w:val="TableContents"/>
              <w:bidi w:val="0"/>
              <w:spacing w:before="0" w:after="0"/>
              <w:ind w:left="0" w:right="0" w:hanging="0"/>
              <w:jc w:val="left"/>
              <w:rPr/>
            </w:pPr>
            <w:r>
              <w:rPr/>
              <w:t>​</w:t>
            </w:r>
          </w:p>
        </w:tc>
        <w:tc>
          <w:tcPr>
            <w:tcW w:w="414" w:type="dxa"/>
            <w:tcBorders/>
            <w:vAlign w:val="center"/>
          </w:tcPr>
          <w:p>
            <w:pPr>
              <w:pStyle w:val="TableContents"/>
              <w:bidi w:val="0"/>
              <w:spacing w:before="0" w:after="0"/>
              <w:ind w:left="0" w:right="0" w:hanging="0"/>
              <w:jc w:val="left"/>
              <w:rPr/>
            </w:pPr>
            <w:r>
              <w:rPr/>
              <w:t>​</w:t>
            </w:r>
          </w:p>
        </w:tc>
        <w:tc>
          <w:tcPr>
            <w:tcW w:w="13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715</w:t>
            </w:r>
          </w:p>
        </w:tc>
      </w:tr>
      <w:tr>
        <w:trPr/>
        <w:tc>
          <w:tcPr>
            <w:tcW w:w="540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Operating Leases - Liability </w:t>
            </w:r>
            <w:r>
              <w:rPr>
                <w:rFonts w:ascii="Times New Roman;Times;serif" w:hAnsi="Times New Roman;Times;serif"/>
                <w:sz w:val="15"/>
              </w:rPr>
              <w:t>(1)</w:t>
            </w:r>
          </w:p>
        </w:tc>
        <w:tc>
          <w:tcPr>
            <w:tcW w:w="109" w:type="dxa"/>
            <w:tcBorders/>
            <w:shd w:fill="CCEEFF" w:val="clear"/>
            <w:vAlign w:val="center"/>
          </w:tcPr>
          <w:p>
            <w:pPr>
              <w:pStyle w:val="TableContents"/>
              <w:bidi w:val="0"/>
              <w:spacing w:before="0" w:after="0"/>
              <w:ind w:left="0" w:right="0" w:hanging="0"/>
              <w:jc w:val="left"/>
              <w:rPr/>
            </w:pPr>
            <w:r>
              <w:rPr/>
              <w:t>​</w:t>
            </w:r>
          </w:p>
        </w:tc>
        <w:tc>
          <w:tcPr>
            <w:tcW w:w="30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7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3,010</w:t>
            </w:r>
          </w:p>
        </w:tc>
        <w:tc>
          <w:tcPr>
            <w:tcW w:w="109" w:type="dxa"/>
            <w:tcBorders/>
            <w:shd w:fill="CCEEFF" w:val="clear"/>
            <w:vAlign w:val="center"/>
          </w:tcPr>
          <w:p>
            <w:pPr>
              <w:pStyle w:val="TableContents"/>
              <w:bidi w:val="0"/>
              <w:spacing w:before="0" w:after="0"/>
              <w:ind w:left="0" w:right="0" w:hanging="0"/>
              <w:jc w:val="left"/>
              <w:rPr/>
            </w:pPr>
            <w:r>
              <w:rPr/>
              <w:t>​</w:t>
            </w:r>
          </w:p>
        </w:tc>
        <w:tc>
          <w:tcPr>
            <w:tcW w:w="41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3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3,092</w:t>
            </w:r>
          </w:p>
        </w:tc>
      </w:tr>
      <w:tr>
        <w:trPr/>
        <w:tc>
          <w:tcPr>
            <w:tcW w:w="54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Accounts Payable, Accrued Expenses, and Other Liabilities</w:t>
            </w:r>
          </w:p>
        </w:tc>
        <w:tc>
          <w:tcPr>
            <w:tcW w:w="109" w:type="dxa"/>
            <w:tcBorders/>
            <w:vAlign w:val="center"/>
          </w:tcPr>
          <w:p>
            <w:pPr>
              <w:pStyle w:val="TableContents"/>
              <w:bidi w:val="0"/>
              <w:spacing w:before="0" w:after="0"/>
              <w:ind w:left="0" w:right="0" w:hanging="0"/>
              <w:jc w:val="left"/>
              <w:rPr/>
            </w:pPr>
            <w:r>
              <w:rPr/>
              <w:t>​</w:t>
            </w:r>
          </w:p>
        </w:tc>
        <w:tc>
          <w:tcPr>
            <w:tcW w:w="30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14,093</w:t>
            </w:r>
          </w:p>
        </w:tc>
        <w:tc>
          <w:tcPr>
            <w:tcW w:w="109" w:type="dxa"/>
            <w:tcBorders/>
            <w:vAlign w:val="center"/>
          </w:tcPr>
          <w:p>
            <w:pPr>
              <w:pStyle w:val="TableContents"/>
              <w:bidi w:val="0"/>
              <w:spacing w:before="0" w:after="0"/>
              <w:ind w:left="0" w:right="0" w:hanging="0"/>
              <w:jc w:val="left"/>
              <w:rPr/>
            </w:pPr>
            <w:r>
              <w:rPr/>
              <w:t>​</w:t>
            </w:r>
          </w:p>
        </w:tc>
        <w:tc>
          <w:tcPr>
            <w:tcW w:w="41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56" w:type="dxa"/>
            <w:tcBorders>
              <w:bottom w:val="double" w:sz="6" w:space="0" w:color="000000"/>
            </w:tcBorders>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7,877</w:t>
            </w:r>
          </w:p>
        </w:tc>
      </w:tr>
    </w:tbl>
    <w:tbl>
      <w:tblPr>
        <w:tblW w:w="10037" w:type="dxa"/>
        <w:jc w:val="left"/>
        <w:tblInd w:w="0" w:type="dxa"/>
        <w:tblLayout w:type="fixed"/>
        <w:tblCellMar>
          <w:top w:w="0" w:type="dxa"/>
          <w:left w:w="0" w:type="dxa"/>
          <w:bottom w:w="0" w:type="dxa"/>
          <w:right w:w="0" w:type="dxa"/>
        </w:tblCellMar>
      </w:tblPr>
      <w:tblGrid>
        <w:gridCol w:w="271"/>
        <w:gridCol w:w="9766"/>
      </w:tblGrid>
      <w:tr>
        <w:trPr/>
        <w:tc>
          <w:tcPr>
            <w:tcW w:w="271" w:type="dxa"/>
            <w:tcBorders/>
            <w:vAlign w:val="center"/>
          </w:tcPr>
          <w:p>
            <w:pPr>
              <w:pStyle w:val="TableContents"/>
              <w:bidi w:val="0"/>
              <w:spacing w:before="0" w:after="283"/>
              <w:jc w:val="left"/>
              <w:rPr>
                <w:rFonts w:ascii="Times New Roman;Times;serif" w:hAnsi="Times New Roman;Times;serif"/>
                <w:sz w:val="12"/>
              </w:rPr>
            </w:pPr>
            <w:r>
              <w:rPr>
                <w:rFonts w:ascii="Times New Roman;Times;serif" w:hAnsi="Times New Roman;Times;serif"/>
                <w:sz w:val="12"/>
              </w:rPr>
              <w:t>(1)</w:t>
            </w:r>
          </w:p>
        </w:tc>
        <w:tc>
          <w:tcPr>
            <w:tcW w:w="9766"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See Note 9, “Operating Land Leases” for further disclosure related to the Company’s operating lease liability balance as of June 30, 2026.</w:t>
            </w:r>
            <w:r>
              <w:rPr>
                <w:caps w:val="false"/>
                <w:smallCaps w:val="false"/>
              </w:rPr>
              <w:t> </w:t>
            </w:r>
          </w:p>
        </w:tc>
      </w:tr>
    </w:tbl>
    <w:p>
      <w:pPr>
        <w:pStyle w:val="TextBody"/>
        <w:bidi w:val="0"/>
        <w:spacing w:before="0" w:after="0"/>
        <w:ind w:left="0" w:right="0" w:hanging="0"/>
        <w:jc w:val="left"/>
        <w:rPr/>
      </w:pPr>
      <w:r>
        <w:rPr/>
        <w: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12. OBLIGATION UNDER PARTICIPATION AGREEMENT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As discussed in Note 2, “Summary of Significant Accounting Policies,” the Company follows the guidance in FASB Topic ASC 860, </w:t>
      </w:r>
      <w:r>
        <w:rPr>
          <w:rFonts w:ascii="Times New Roman;Times;serif" w:hAnsi="Times New Roman;Times;serif"/>
          <w:i/>
          <w:sz w:val="20"/>
        </w:rPr>
        <w:t>Transfers and Servicing</w:t>
      </w:r>
      <w:r>
        <w:rPr>
          <w:rFonts w:ascii="Times New Roman;Times;serif" w:hAnsi="Times New Roman;Times;serif"/>
          <w:sz w:val="20"/>
        </w:rPr>
        <w:t xml:space="preserve"> when accounting for participation in commercial loans and investments. ASC 860 states, if the sale of a participation does not have all of the characteristics of a participating interest, it does not achieve sale accounting and is treated as a secured borrowing and accordingly, the original commercial loan investment remains on the Company’s consolidated balance sheets and the proceeds are recorded as an obligation under participation agreement.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As described in Note 4, “Commercial Loans and Investments”, the Company’s 2025 Loan Participation Sale for $10.0 million and 2026 Loan Participation Sale for $10.8 million at a 10.0% interest rate did not achieve sale accounting. As of June 30, 2026, the Company’s obligation under participation agreement had a face value of $19.1 million, and the carrying value of the loan that is associated with this obligation under participation agreement was $18.9 million, net of a CECL reserve of $0.2 million. As of December 31, 2025, the Company’s obligation under participation agreement had a face value of $10.0 million, and the carrying value of the loan that is associated with this obligation under participation agreement was $9.9 million, net of a CECL reserve of $0.1 million.</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359" w:name="Tc_zH0y046KTkeDitR9qvUcQw_5_2"/>
      <w:bookmarkStart w:id="1360" w:name="Tc_mSLAnGU6XU2CAN-svA8fdA_5_0"/>
      <w:bookmarkStart w:id="1361" w:name="Tc_LZxEKNIQxk2z58u3u4g_QA_4_9"/>
      <w:bookmarkStart w:id="1362" w:name="Tc_L4-LW2g6JkSfyHiQ5NH24g_4_5"/>
      <w:bookmarkStart w:id="1363" w:name="Tc_h0OA7ARN9EGlbjvr1TtIPQ_4_0"/>
      <w:bookmarkStart w:id="1364" w:name="Tc_h5NG2ad1YEmWaSqHABX2Ow_3_9"/>
      <w:bookmarkStart w:id="1365" w:name="Tc_7g0WGees80WAua6ksjOzTA_3_5"/>
      <w:bookmarkStart w:id="1366" w:name="Tc_H-LZAlSfS0GFJXpUf7PgXA_3_0"/>
      <w:bookmarkStart w:id="1367" w:name="Tc_-6w4WSstN0KjIGE6maKMJg_2_9"/>
      <w:bookmarkStart w:id="1368" w:name="Tc_Sm7zO8MmGk6VeOkg7b5RvQ_2_5"/>
      <w:bookmarkStart w:id="1369" w:name="Tc_MNwj9eYm2EaGlbtQ-IJo4Q_2_2"/>
      <w:bookmarkStart w:id="1370" w:name="Tc_fYiJ0VRhfUKzW4PMKBpRhA_2_0"/>
      <w:bookmarkStart w:id="1371" w:name="Tc_RzzZhhKCc06y8at4G8sxew_1_9"/>
      <w:bookmarkStart w:id="1372" w:name="Tc_RFzN81l800-AK21E4A_pzQ_1_7"/>
      <w:bookmarkStart w:id="1373" w:name="Tc_khYON5Wi30m6oYTIhJMt6Q_1_5"/>
      <w:bookmarkStart w:id="1374" w:name="Tc_jpa2yd7EoEO37PrWCb3PUw_1_2"/>
      <w:bookmarkStart w:id="1375" w:name="_cf9818a2_5bc2_45b1_8aa6_30dcfe31daf2"/>
      <w:bookmarkStart w:id="1376" w:name="LT_DEBT"/>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r>
        <w:rPr>
          <w:rFonts w:ascii="Times New Roman;Times;serif" w:hAnsi="Times New Roman;Times;serif"/>
          <w:b/>
          <w:sz w:val="20"/>
        </w:rPr>
        <w:t>NOTE 13. LONG-TERM DEBT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As of June 30, 2026, the Company’s outstanding indebtedness, at face value, was as follows. See Note 14, “Interest Rate Swaps” for further disclosure related to the Company’s interest rate swaps.</w:t>
      </w:r>
    </w:p>
    <w:p>
      <w:pPr>
        <w:pStyle w:val="TextBody"/>
        <w:bidi w:val="0"/>
        <w:spacing w:before="0" w:after="0"/>
        <w:ind w:left="0" w:right="0" w:firstLine="490"/>
        <w:jc w:val="both"/>
        <w:rPr/>
      </w:pPr>
      <w:r>
        <w:rPr/>
        <w:t>​</w:t>
      </w:r>
    </w:p>
    <w:tbl>
      <w:tblPr>
        <w:tblW w:w="10205" w:type="dxa"/>
        <w:jc w:val="left"/>
        <w:tblInd w:w="0" w:type="dxa"/>
        <w:tblLayout w:type="fixed"/>
        <w:tblCellMar>
          <w:top w:w="0" w:type="dxa"/>
          <w:left w:w="0" w:type="dxa"/>
          <w:bottom w:w="0" w:type="dxa"/>
          <w:right w:w="0" w:type="dxa"/>
        </w:tblCellMar>
      </w:tblPr>
      <w:tblGrid>
        <w:gridCol w:w="2791"/>
        <w:gridCol w:w="109"/>
        <w:gridCol w:w="299"/>
        <w:gridCol w:w="1108"/>
        <w:gridCol w:w="109"/>
        <w:gridCol w:w="1599"/>
        <w:gridCol w:w="109"/>
        <w:gridCol w:w="2686"/>
        <w:gridCol w:w="109"/>
        <w:gridCol w:w="1286"/>
      </w:tblGrid>
      <w:tr>
        <w:trPr/>
        <w:tc>
          <w:tcPr>
            <w:tcW w:w="27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1772285" cy="175260"/>
                      <wp:effectExtent l="0" t="0" r="0" b="0"/>
                      <wp:wrapNone/>
                      <wp:docPr id="272" name="Frame272"/>
                      <a:graphic xmlns:a="http://schemas.openxmlformats.org/drawingml/2006/main">
                        <a:graphicData uri="http://schemas.microsoft.com/office/word/2010/wordprocessingShape">
                          <wps:wsp>
                            <wps:cNvSpPr txBox="1"/>
                            <wps:spPr>
                              <a:xfrm>
                                <a:off x="0" y="0"/>
                                <a:ext cx="1772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69215" cy="175260"/>
                      <wp:effectExtent l="0" t="0" r="0" b="0"/>
                      <wp:wrapNone/>
                      <wp:docPr id="273" name="Frame27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189865" cy="175260"/>
                      <wp:effectExtent l="0" t="0" r="0" b="0"/>
                      <wp:wrapNone/>
                      <wp:docPr id="274" name="Frame274"/>
                      <a:graphic xmlns:a="http://schemas.openxmlformats.org/drawingml/2006/main">
                        <a:graphicData uri="http://schemas.microsoft.com/office/word/2010/wordprocessingShape">
                          <wps:wsp>
                            <wps:cNvSpPr txBox="1"/>
                            <wps:spPr>
                              <a:xfrm>
                                <a:off x="0" y="0"/>
                                <a:ext cx="189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703580" cy="175260"/>
                      <wp:effectExtent l="0" t="0" r="0" b="0"/>
                      <wp:wrapNone/>
                      <wp:docPr id="275" name="Frame275"/>
                      <a:graphic xmlns:a="http://schemas.openxmlformats.org/drawingml/2006/main">
                        <a:graphicData uri="http://schemas.microsoft.com/office/word/2010/wordprocessingShape">
                          <wps:wsp>
                            <wps:cNvSpPr txBox="1"/>
                            <wps:spPr>
                              <a:xfrm>
                                <a:off x="0" y="0"/>
                                <a:ext cx="7035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69215" cy="175260"/>
                      <wp:effectExtent l="0" t="0" r="0" b="0"/>
                      <wp:wrapNone/>
                      <wp:docPr id="276" name="Frame27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1015365" cy="175260"/>
                      <wp:effectExtent l="0" t="0" r="0" b="0"/>
                      <wp:wrapNone/>
                      <wp:docPr id="277" name="Frame277"/>
                      <a:graphic xmlns:a="http://schemas.openxmlformats.org/drawingml/2006/main">
                        <a:graphicData uri="http://schemas.microsoft.com/office/word/2010/wordprocessingShape">
                          <wps:wsp>
                            <wps:cNvSpPr txBox="1"/>
                            <wps:spPr>
                              <a:xfrm>
                                <a:off x="0" y="0"/>
                                <a:ext cx="10153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9.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69215" cy="175260"/>
                      <wp:effectExtent l="0" t="0" r="0" b="0"/>
                      <wp:wrapNone/>
                      <wp:docPr id="278" name="Frame27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1705610" cy="175260"/>
                      <wp:effectExtent l="0" t="0" r="0" b="0"/>
                      <wp:wrapNone/>
                      <wp:docPr id="279" name="Frame279"/>
                      <a:graphic xmlns:a="http://schemas.openxmlformats.org/drawingml/2006/main">
                        <a:graphicData uri="http://schemas.microsoft.com/office/word/2010/wordprocessingShape">
                          <wps:wsp>
                            <wps:cNvSpPr txBox="1"/>
                            <wps:spPr>
                              <a:xfrm>
                                <a:off x="0" y="0"/>
                                <a:ext cx="1705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69215" cy="175260"/>
                      <wp:effectExtent l="0" t="0" r="0" b="0"/>
                      <wp:wrapNone/>
                      <wp:docPr id="280" name="Frame28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816610" cy="175260"/>
                      <wp:effectExtent l="0" t="0" r="0" b="0"/>
                      <wp:wrapNone/>
                      <wp:docPr id="281" name="Frame281"/>
                      <a:graphic xmlns:a="http://schemas.openxmlformats.org/drawingml/2006/main">
                        <a:graphicData uri="http://schemas.microsoft.com/office/word/2010/wordprocessingShape">
                          <wps:wsp>
                            <wps:cNvSpPr txBox="1"/>
                            <wps:spPr>
                              <a:xfrm>
                                <a:off x="0" y="0"/>
                                <a:ext cx="816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4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Face Value Debt</w:t>
              <w:br/>
            </w:r>
            <w:r>
              <w:rPr>
                <w:rFonts w:ascii="Times New Roman;Times;serif" w:hAnsi="Times New Roman;Times;serif"/>
                <w:sz w:val="20"/>
              </w:rPr>
              <w:t>(in thousands)</w:t>
            </w:r>
          </w:p>
        </w:tc>
        <w:tc>
          <w:tcPr>
            <w:tcW w:w="109" w:type="dxa"/>
            <w:tcBorders/>
            <w:vAlign w:val="center"/>
          </w:tcPr>
          <w:p>
            <w:pPr>
              <w:pStyle w:val="TableContents"/>
              <w:bidi w:val="0"/>
              <w:spacing w:before="0" w:after="0"/>
              <w:ind w:left="0" w:right="0" w:hanging="0"/>
              <w:jc w:val="left"/>
              <w:rPr/>
            </w:pPr>
            <w:r>
              <w:rPr/>
              <w:t>​</w:t>
            </w:r>
          </w:p>
        </w:tc>
        <w:tc>
          <w:tcPr>
            <w:tcW w:w="159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Stated Interest Rate</w:t>
            </w:r>
          </w:p>
        </w:tc>
        <w:tc>
          <w:tcPr>
            <w:tcW w:w="109" w:type="dxa"/>
            <w:tcBorders/>
            <w:vAlign w:val="center"/>
          </w:tcPr>
          <w:p>
            <w:pPr>
              <w:pStyle w:val="TableContents"/>
              <w:bidi w:val="0"/>
              <w:spacing w:before="0" w:after="0"/>
              <w:ind w:left="0" w:right="0" w:hanging="0"/>
              <w:jc w:val="left"/>
              <w:rPr/>
            </w:pPr>
            <w:r>
              <w:rPr/>
              <w:t>​</w:t>
            </w:r>
          </w:p>
        </w:tc>
        <w:tc>
          <w:tcPr>
            <w:tcW w:w="26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Wtd. Avg. Rate as of June 30, 2026</w:t>
            </w:r>
          </w:p>
        </w:tc>
        <w:tc>
          <w:tcPr>
            <w:tcW w:w="109" w:type="dxa"/>
            <w:tcBorders/>
            <w:vAlign w:val="center"/>
          </w:tcPr>
          <w:p>
            <w:pPr>
              <w:pStyle w:val="TableContents"/>
              <w:bidi w:val="0"/>
              <w:spacing w:before="0" w:after="0"/>
              <w:ind w:left="0" w:right="0" w:hanging="0"/>
              <w:jc w:val="left"/>
              <w:rPr/>
            </w:pPr>
            <w:r>
              <w:rPr/>
              <w:t>​</w:t>
            </w:r>
          </w:p>
        </w:tc>
        <w:tc>
          <w:tcPr>
            <w:tcW w:w="12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Maturity Date</w:t>
            </w:r>
          </w:p>
        </w:tc>
      </w:tr>
      <w:tr>
        <w:trPr/>
        <w:tc>
          <w:tcPr>
            <w:tcW w:w="279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Revolving Facility </w:t>
            </w:r>
            <w:r>
              <w:rPr>
                <w:rFonts w:ascii="Times New Roman;Times;serif" w:hAnsi="Times New Roman;Times;serif"/>
                <w:sz w:val="15"/>
              </w:rPr>
              <w:t>(1)</w:t>
            </w:r>
          </w:p>
        </w:tc>
        <w:tc>
          <w:tcPr>
            <w:tcW w:w="109" w:type="dxa"/>
            <w:tcBorders/>
            <w:shd w:fill="CCEEFF" w:val="clear"/>
            <w:vAlign w:val="center"/>
          </w:tcPr>
          <w:p>
            <w:pPr>
              <w:pStyle w:val="TableContents"/>
              <w:bidi w:val="0"/>
              <w:spacing w:before="0" w:after="0"/>
              <w:ind w:left="0" w:right="0" w:hanging="0"/>
              <w:jc w:val="left"/>
              <w:rPr/>
            </w:pPr>
            <w:r>
              <w:rPr/>
              <w:t>​</w:t>
            </w:r>
          </w:p>
        </w:tc>
        <w:tc>
          <w:tcPr>
            <w:tcW w:w="29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0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169,500</w:t>
            </w:r>
          </w:p>
        </w:tc>
        <w:tc>
          <w:tcPr>
            <w:tcW w:w="109" w:type="dxa"/>
            <w:tcBorders/>
            <w:shd w:fill="CCEEFF" w:val="clear"/>
            <w:vAlign w:val="center"/>
          </w:tcPr>
          <w:p>
            <w:pPr>
              <w:pStyle w:val="TableContents"/>
              <w:bidi w:val="0"/>
              <w:spacing w:before="0" w:after="0"/>
              <w:ind w:left="0" w:right="0" w:hanging="0"/>
              <w:jc w:val="left"/>
              <w:rPr/>
            </w:pPr>
            <w:r>
              <w:rPr/>
              <w:t>​</w:t>
            </w:r>
          </w:p>
        </w:tc>
        <w:tc>
          <w:tcPr>
            <w:tcW w:w="1599"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SOFR +</w:t>
              <w:br/>
              <w:t>[1.25% - 2.20%]</w:t>
            </w:r>
          </w:p>
        </w:tc>
        <w:tc>
          <w:tcPr>
            <w:tcW w:w="109" w:type="dxa"/>
            <w:tcBorders/>
            <w:shd w:fill="CCEEFF" w:val="clear"/>
            <w:vAlign w:val="center"/>
          </w:tcPr>
          <w:p>
            <w:pPr>
              <w:pStyle w:val="TableContents"/>
              <w:bidi w:val="0"/>
              <w:spacing w:before="0" w:after="0"/>
              <w:ind w:left="0" w:right="0" w:hanging="0"/>
              <w:jc w:val="left"/>
              <w:rPr/>
            </w:pPr>
            <w:r>
              <w:rPr/>
              <w:t>​</w:t>
            </w:r>
          </w:p>
        </w:tc>
        <w:tc>
          <w:tcPr>
            <w:tcW w:w="268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4.82%</w:t>
            </w:r>
          </w:p>
        </w:tc>
        <w:tc>
          <w:tcPr>
            <w:tcW w:w="109" w:type="dxa"/>
            <w:tcBorders/>
            <w:shd w:fill="CCEEFF" w:val="clear"/>
            <w:vAlign w:val="center"/>
          </w:tcPr>
          <w:p>
            <w:pPr>
              <w:pStyle w:val="TableContents"/>
              <w:bidi w:val="0"/>
              <w:spacing w:before="0" w:after="0"/>
              <w:ind w:left="0" w:right="0" w:hanging="0"/>
              <w:jc w:val="left"/>
              <w:rPr/>
            </w:pPr>
            <w:r>
              <w:rPr/>
              <w:t>​</w:t>
            </w:r>
          </w:p>
        </w:tc>
        <w:tc>
          <w:tcPr>
            <w:tcW w:w="128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February 2030</w:t>
            </w:r>
          </w:p>
        </w:tc>
      </w:tr>
      <w:tr>
        <w:trPr/>
        <w:tc>
          <w:tcPr>
            <w:tcW w:w="2791"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2029 Term Loan </w:t>
            </w:r>
            <w:r>
              <w:rPr>
                <w:rFonts w:ascii="Times New Roman;Times;serif" w:hAnsi="Times New Roman;Times;serif"/>
                <w:sz w:val="15"/>
              </w:rPr>
              <w:t>(2)</w:t>
            </w:r>
          </w:p>
        </w:tc>
        <w:tc>
          <w:tcPr>
            <w:tcW w:w="109" w:type="dxa"/>
            <w:tcBorders/>
            <w:vAlign w:val="center"/>
          </w:tcPr>
          <w:p>
            <w:pPr>
              <w:pStyle w:val="TableContents"/>
              <w:bidi w:val="0"/>
              <w:spacing w:before="0" w:after="0"/>
              <w:ind w:left="0" w:right="0" w:hanging="0"/>
              <w:jc w:val="left"/>
              <w:rPr/>
            </w:pPr>
            <w:r>
              <w:rPr/>
              <w:t>​</w:t>
            </w:r>
          </w:p>
        </w:tc>
        <w:tc>
          <w:tcPr>
            <w:tcW w:w="299" w:type="dxa"/>
            <w:tcBorders/>
            <w:vAlign w:val="center"/>
          </w:tcPr>
          <w:p>
            <w:pPr>
              <w:pStyle w:val="TableContents"/>
              <w:bidi w:val="0"/>
              <w:spacing w:before="0" w:after="0"/>
              <w:ind w:left="0" w:right="0" w:hanging="0"/>
              <w:jc w:val="left"/>
              <w:rPr/>
            </w:pPr>
            <w:r>
              <w:rPr/>
              <w:t>​</w:t>
            </w:r>
          </w:p>
        </w:tc>
        <w:tc>
          <w:tcPr>
            <w:tcW w:w="110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100,000</w:t>
            </w:r>
          </w:p>
        </w:tc>
        <w:tc>
          <w:tcPr>
            <w:tcW w:w="109" w:type="dxa"/>
            <w:tcBorders/>
            <w:vAlign w:val="center"/>
          </w:tcPr>
          <w:p>
            <w:pPr>
              <w:pStyle w:val="TableContents"/>
              <w:bidi w:val="0"/>
              <w:spacing w:before="0" w:after="0"/>
              <w:ind w:left="0" w:right="0" w:hanging="0"/>
              <w:jc w:val="left"/>
              <w:rPr/>
            </w:pPr>
            <w:r>
              <w:rPr/>
              <w:t>​</w:t>
            </w:r>
          </w:p>
        </w:tc>
        <w:tc>
          <w:tcPr>
            <w:tcW w:w="159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SOFR +</w:t>
              <w:br/>
              <w:t>[1.25% - 1.90%]</w:t>
            </w:r>
          </w:p>
        </w:tc>
        <w:tc>
          <w:tcPr>
            <w:tcW w:w="109" w:type="dxa"/>
            <w:tcBorders/>
            <w:vAlign w:val="center"/>
          </w:tcPr>
          <w:p>
            <w:pPr>
              <w:pStyle w:val="TableContents"/>
              <w:bidi w:val="0"/>
              <w:spacing w:before="0" w:after="0"/>
              <w:ind w:left="0" w:right="0" w:hanging="0"/>
              <w:jc w:val="left"/>
              <w:rPr/>
            </w:pPr>
            <w:r>
              <w:rPr/>
              <w:t>​</w:t>
            </w:r>
          </w:p>
        </w:tc>
        <w:tc>
          <w:tcPr>
            <w:tcW w:w="26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4.66%</w:t>
            </w:r>
          </w:p>
        </w:tc>
        <w:tc>
          <w:tcPr>
            <w:tcW w:w="109" w:type="dxa"/>
            <w:tcBorders/>
            <w:vAlign w:val="center"/>
          </w:tcPr>
          <w:p>
            <w:pPr>
              <w:pStyle w:val="TableContents"/>
              <w:bidi w:val="0"/>
              <w:spacing w:before="0" w:after="0"/>
              <w:ind w:left="0" w:right="0" w:hanging="0"/>
              <w:jc w:val="left"/>
              <w:rPr/>
            </w:pPr>
            <w:r>
              <w:rPr/>
              <w:t>​</w:t>
            </w:r>
          </w:p>
        </w:tc>
        <w:tc>
          <w:tcPr>
            <w:tcW w:w="12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February 2029</w:t>
            </w:r>
          </w:p>
        </w:tc>
      </w:tr>
      <w:tr>
        <w:trPr/>
        <w:tc>
          <w:tcPr>
            <w:tcW w:w="279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2031 Term Loan </w:t>
            </w:r>
            <w:r>
              <w:rPr>
                <w:rFonts w:ascii="Times New Roman;Times;serif" w:hAnsi="Times New Roman;Times;serif"/>
                <w:sz w:val="15"/>
              </w:rPr>
              <w:t>(3)</w:t>
            </w:r>
          </w:p>
        </w:tc>
        <w:tc>
          <w:tcPr>
            <w:tcW w:w="109" w:type="dxa"/>
            <w:tcBorders/>
            <w:shd w:fill="CCEEFF" w:val="clear"/>
            <w:vAlign w:val="center"/>
          </w:tcPr>
          <w:p>
            <w:pPr>
              <w:pStyle w:val="TableContents"/>
              <w:bidi w:val="0"/>
              <w:spacing w:before="0" w:after="0"/>
              <w:ind w:left="0" w:right="0" w:hanging="0"/>
              <w:jc w:val="left"/>
              <w:rPr/>
            </w:pPr>
            <w:r>
              <w:rPr/>
              <w:t>​</w:t>
            </w:r>
          </w:p>
        </w:tc>
        <w:tc>
          <w:tcPr>
            <w:tcW w:w="29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0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100,000</w:t>
            </w:r>
          </w:p>
        </w:tc>
        <w:tc>
          <w:tcPr>
            <w:tcW w:w="109" w:type="dxa"/>
            <w:tcBorders/>
            <w:shd w:fill="CCEEFF" w:val="clear"/>
            <w:vAlign w:val="center"/>
          </w:tcPr>
          <w:p>
            <w:pPr>
              <w:pStyle w:val="TableContents"/>
              <w:bidi w:val="0"/>
              <w:spacing w:before="0" w:after="0"/>
              <w:ind w:left="0" w:right="0" w:hanging="0"/>
              <w:jc w:val="left"/>
              <w:rPr/>
            </w:pPr>
            <w:r>
              <w:rPr/>
              <w:t>​</w:t>
            </w:r>
          </w:p>
        </w:tc>
        <w:tc>
          <w:tcPr>
            <w:tcW w:w="1599"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SOFR +</w:t>
              <w:br/>
              <w:t>[1.25% - 1.90%]</w:t>
            </w:r>
          </w:p>
        </w:tc>
        <w:tc>
          <w:tcPr>
            <w:tcW w:w="109" w:type="dxa"/>
            <w:tcBorders/>
            <w:shd w:fill="CCEEFF" w:val="clear"/>
            <w:vAlign w:val="center"/>
          </w:tcPr>
          <w:p>
            <w:pPr>
              <w:pStyle w:val="TableContents"/>
              <w:bidi w:val="0"/>
              <w:spacing w:before="0" w:after="0"/>
              <w:ind w:left="0" w:right="0" w:hanging="0"/>
              <w:jc w:val="left"/>
              <w:rPr/>
            </w:pPr>
            <w:r>
              <w:rPr/>
              <w:t>​</w:t>
            </w:r>
          </w:p>
        </w:tc>
        <w:tc>
          <w:tcPr>
            <w:tcW w:w="2686"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3.35%</w:t>
            </w:r>
          </w:p>
        </w:tc>
        <w:tc>
          <w:tcPr>
            <w:tcW w:w="109" w:type="dxa"/>
            <w:tcBorders/>
            <w:shd w:fill="CCEEFF" w:val="clear"/>
            <w:vAlign w:val="center"/>
          </w:tcPr>
          <w:p>
            <w:pPr>
              <w:pStyle w:val="TableContents"/>
              <w:bidi w:val="0"/>
              <w:spacing w:before="0" w:after="0"/>
              <w:ind w:left="0" w:right="0" w:hanging="0"/>
              <w:jc w:val="left"/>
              <w:rPr/>
            </w:pPr>
            <w:r>
              <w:rPr/>
              <w:t>​</w:t>
            </w:r>
          </w:p>
        </w:tc>
        <w:tc>
          <w:tcPr>
            <w:tcW w:w="128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February 2031</w:t>
            </w:r>
          </w:p>
        </w:tc>
      </w:tr>
      <w:tr>
        <w:trPr/>
        <w:tc>
          <w:tcPr>
            <w:tcW w:w="27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Debt/Weighted-Average Rate</w:t>
            </w:r>
          </w:p>
        </w:tc>
        <w:tc>
          <w:tcPr>
            <w:tcW w:w="109" w:type="dxa"/>
            <w:tcBorders/>
            <w:vAlign w:val="center"/>
          </w:tcPr>
          <w:p>
            <w:pPr>
              <w:pStyle w:val="TableContents"/>
              <w:bidi w:val="0"/>
              <w:spacing w:before="0" w:after="0"/>
              <w:ind w:left="0" w:right="0" w:hanging="0"/>
              <w:jc w:val="left"/>
              <w:rPr/>
            </w:pPr>
            <w:r>
              <w:rPr/>
              <w:t>​</w:t>
            </w:r>
          </w:p>
        </w:tc>
        <w:tc>
          <w:tcPr>
            <w:tcW w:w="29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0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369,500</w:t>
            </w:r>
          </w:p>
        </w:tc>
        <w:tc>
          <w:tcPr>
            <w:tcW w:w="109" w:type="dxa"/>
            <w:tcBorders/>
            <w:vAlign w:val="center"/>
          </w:tcPr>
          <w:p>
            <w:pPr>
              <w:pStyle w:val="TableContents"/>
              <w:bidi w:val="0"/>
              <w:spacing w:before="0" w:after="0"/>
              <w:ind w:left="0" w:right="0" w:hanging="0"/>
              <w:jc w:val="left"/>
              <w:rPr/>
            </w:pPr>
            <w:r>
              <w:rPr/>
              <w:t>​</w:t>
            </w:r>
          </w:p>
        </w:tc>
        <w:tc>
          <w:tcPr>
            <w:tcW w:w="159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686" w:type="dxa"/>
            <w:tcBorders>
              <w:bottom w:val="double" w:sz="6"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4.38%</w:t>
            </w:r>
          </w:p>
        </w:tc>
        <w:tc>
          <w:tcPr>
            <w:tcW w:w="109" w:type="dxa"/>
            <w:tcBorders/>
            <w:vAlign w:val="center"/>
          </w:tcPr>
          <w:p>
            <w:pPr>
              <w:pStyle w:val="TableContents"/>
              <w:bidi w:val="0"/>
              <w:spacing w:before="0" w:after="0"/>
              <w:ind w:left="0" w:right="0" w:hanging="0"/>
              <w:jc w:val="left"/>
              <w:rPr/>
            </w:pPr>
            <w:r>
              <w:rPr/>
              <w:t>​</w:t>
            </w:r>
          </w:p>
        </w:tc>
        <w:tc>
          <w:tcPr>
            <w:tcW w:w="1286" w:type="dxa"/>
            <w:tcBorders/>
            <w:vAlign w:val="center"/>
          </w:tcPr>
          <w:p>
            <w:pPr>
              <w:pStyle w:val="TableContents"/>
              <w:bidi w:val="0"/>
              <w:spacing w:before="0" w:after="0"/>
              <w:ind w:left="0" w:right="0" w:hanging="0"/>
              <w:jc w:val="left"/>
              <w:rPr/>
            </w:pPr>
            <w:r>
              <w:rPr/>
              <w:t>​</w:t>
            </w:r>
          </w:p>
        </w:tc>
      </w:tr>
    </w:tbl>
    <w:tbl>
      <w:tblPr>
        <w:tblW w:w="10205" w:type="dxa"/>
        <w:jc w:val="left"/>
        <w:tblInd w:w="0" w:type="dxa"/>
        <w:tblLayout w:type="fixed"/>
        <w:tblCellMar>
          <w:top w:w="0" w:type="dxa"/>
          <w:left w:w="0" w:type="dxa"/>
          <w:bottom w:w="0" w:type="dxa"/>
          <w:right w:w="0" w:type="dxa"/>
        </w:tblCellMar>
      </w:tblPr>
      <w:tblGrid>
        <w:gridCol w:w="249"/>
        <w:gridCol w:w="9956"/>
      </w:tblGrid>
      <w:tr>
        <w:trPr/>
        <w:tc>
          <w:tcPr>
            <w:tcW w:w="249" w:type="dxa"/>
            <w:tcBorders/>
            <w:vAlign w:val="center"/>
          </w:tcPr>
          <w:p>
            <w:pPr>
              <w:pStyle w:val="TableContents"/>
              <w:bidi w:val="0"/>
              <w:spacing w:before="0" w:after="283"/>
              <w:jc w:val="left"/>
              <w:rPr>
                <w:rFonts w:ascii="Times New Roman;Times;serif" w:hAnsi="Times New Roman;Times;serif"/>
                <w:sz w:val="12"/>
              </w:rPr>
            </w:pPr>
            <w:r>
              <w:rPr>
                <w:rFonts w:ascii="Times New Roman;Times;serif" w:hAnsi="Times New Roman;Times;serif"/>
                <w:sz w:val="12"/>
              </w:rPr>
              <w:t>(1)</w:t>
            </w:r>
          </w:p>
        </w:tc>
        <w:tc>
          <w:tcPr>
            <w:tcW w:w="9956"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As of June 30, 2026, the Company has utilized interest rate swaps to fix SOFR</w:t>
            </w:r>
            <w:r>
              <w:rPr>
                <w:caps w:val="false"/>
                <w:smallCaps w:val="false"/>
              </w:rPr>
              <w:t xml:space="preserve"> </w:t>
            </w:r>
            <w:r>
              <w:rPr>
                <w:rFonts w:ascii="Times New Roman;Times;serif" w:hAnsi="Times New Roman;Times;serif"/>
                <w:b w:val="false"/>
                <w:i w:val="false"/>
                <w:caps w:val="false"/>
                <w:smallCaps w:val="false"/>
                <w:sz w:val="16"/>
              </w:rPr>
              <w:t>and achieve a weighted average fixed interest rate of 3.32%</w:t>
            </w:r>
            <w:r>
              <w:rPr>
                <w:caps w:val="false"/>
                <w:smallCaps w:val="false"/>
              </w:rPr>
              <w:t xml:space="preserve"> </w:t>
            </w:r>
            <w:r>
              <w:rPr>
                <w:rFonts w:ascii="Times New Roman;Times;serif" w:hAnsi="Times New Roman;Times;serif"/>
                <w:b w:val="false"/>
                <w:i w:val="false"/>
                <w:caps w:val="false"/>
                <w:smallCaps w:val="false"/>
                <w:sz w:val="16"/>
              </w:rPr>
              <w:t>plus the applicable spread on $100</w:t>
            </w:r>
            <w:r>
              <w:rPr>
                <w:caps w:val="false"/>
                <w:smallCaps w:val="false"/>
              </w:rPr>
              <w:t xml:space="preserve"> </w:t>
            </w:r>
            <w:r>
              <w:rPr>
                <w:rFonts w:ascii="Times New Roman;Times;serif" w:hAnsi="Times New Roman;Times;serif"/>
                <w:b w:val="false"/>
                <w:i w:val="false"/>
                <w:caps w:val="false"/>
                <w:smallCaps w:val="false"/>
                <w:sz w:val="16"/>
              </w:rPr>
              <w:t xml:space="preserve">million of the outstanding balance on the Revolving Facility (hereinafter defined). </w:t>
            </w:r>
          </w:p>
        </w:tc>
      </w:tr>
    </w:tbl>
    <w:tbl>
      <w:tblPr>
        <w:tblW w:w="10205" w:type="dxa"/>
        <w:jc w:val="left"/>
        <w:tblInd w:w="0" w:type="dxa"/>
        <w:tblLayout w:type="fixed"/>
        <w:tblCellMar>
          <w:top w:w="0" w:type="dxa"/>
          <w:left w:w="0" w:type="dxa"/>
          <w:bottom w:w="0" w:type="dxa"/>
          <w:right w:w="0" w:type="dxa"/>
        </w:tblCellMar>
      </w:tblPr>
      <w:tblGrid>
        <w:gridCol w:w="252"/>
        <w:gridCol w:w="9953"/>
      </w:tblGrid>
      <w:tr>
        <w:trPr/>
        <w:tc>
          <w:tcPr>
            <w:tcW w:w="252" w:type="dxa"/>
            <w:tcBorders/>
            <w:vAlign w:val="center"/>
          </w:tcPr>
          <w:p>
            <w:pPr>
              <w:pStyle w:val="TableContents"/>
              <w:bidi w:val="0"/>
              <w:spacing w:before="0" w:after="283"/>
              <w:jc w:val="left"/>
              <w:rPr>
                <w:rFonts w:ascii="Times New Roman;Times;serif" w:hAnsi="Times New Roman;Times;serif"/>
                <w:sz w:val="12"/>
              </w:rPr>
            </w:pPr>
            <w:r>
              <w:rPr>
                <w:rFonts w:ascii="Times New Roman;Times;serif" w:hAnsi="Times New Roman;Times;serif"/>
                <w:sz w:val="12"/>
              </w:rPr>
              <w:t>(2)</w:t>
            </w:r>
          </w:p>
        </w:tc>
        <w:tc>
          <w:tcPr>
            <w:tcW w:w="9953"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As of June 30, 2026, the Company has utilized interest rate swaps to fix SOFR</w:t>
            </w:r>
            <w:r>
              <w:rPr>
                <w:caps w:val="false"/>
                <w:smallCaps w:val="false"/>
              </w:rPr>
              <w:t xml:space="preserve"> </w:t>
            </w:r>
            <w:r>
              <w:rPr>
                <w:rFonts w:ascii="Times New Roman;Times;serif" w:hAnsi="Times New Roman;Times;serif"/>
                <w:b w:val="false"/>
                <w:i w:val="false"/>
                <w:caps w:val="false"/>
                <w:smallCaps w:val="false"/>
                <w:sz w:val="16"/>
              </w:rPr>
              <w:t>and achieve a weighted average fixed interest rate of 3.36%</w:t>
            </w:r>
            <w:r>
              <w:rPr>
                <w:caps w:val="false"/>
                <w:smallCaps w:val="false"/>
              </w:rPr>
              <w:t xml:space="preserve"> </w:t>
            </w:r>
            <w:r>
              <w:rPr>
                <w:rFonts w:ascii="Times New Roman;Times;serif" w:hAnsi="Times New Roman;Times;serif"/>
                <w:b w:val="false"/>
                <w:i w:val="false"/>
                <w:caps w:val="false"/>
                <w:smallCaps w:val="false"/>
                <w:sz w:val="16"/>
              </w:rPr>
              <w:t>plus the applicable spread on the $100</w:t>
            </w:r>
            <w:r>
              <w:rPr>
                <w:caps w:val="false"/>
                <w:smallCaps w:val="false"/>
              </w:rPr>
              <w:t xml:space="preserve"> </w:t>
            </w:r>
            <w:r>
              <w:rPr>
                <w:rFonts w:ascii="Times New Roman;Times;serif" w:hAnsi="Times New Roman;Times;serif"/>
                <w:b w:val="false"/>
                <w:i w:val="false"/>
                <w:caps w:val="false"/>
                <w:smallCaps w:val="false"/>
                <w:sz w:val="16"/>
              </w:rPr>
              <w:t xml:space="preserve">million 2029 Term Loan (hereinafter defined) balance. </w:t>
            </w:r>
          </w:p>
        </w:tc>
      </w:tr>
    </w:tbl>
    <w:tbl>
      <w:tblPr>
        <w:tblW w:w="10205" w:type="dxa"/>
        <w:jc w:val="left"/>
        <w:tblInd w:w="0" w:type="dxa"/>
        <w:tblLayout w:type="fixed"/>
        <w:tblCellMar>
          <w:top w:w="0" w:type="dxa"/>
          <w:left w:w="0" w:type="dxa"/>
          <w:bottom w:w="0" w:type="dxa"/>
          <w:right w:w="0" w:type="dxa"/>
        </w:tblCellMar>
      </w:tblPr>
      <w:tblGrid>
        <w:gridCol w:w="267"/>
        <w:gridCol w:w="9938"/>
      </w:tblGrid>
      <w:tr>
        <w:trPr/>
        <w:tc>
          <w:tcPr>
            <w:tcW w:w="267" w:type="dxa"/>
            <w:tcBorders/>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(3)</w:t>
            </w:r>
          </w:p>
        </w:tc>
        <w:tc>
          <w:tcPr>
            <w:tcW w:w="9938"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As of June 30, 2026, the Company has utilized interest rate swaps to fix SOFR</w:t>
            </w:r>
            <w:r>
              <w:rPr>
                <w:caps w:val="false"/>
                <w:smallCaps w:val="false"/>
              </w:rPr>
              <w:t xml:space="preserve"> </w:t>
            </w:r>
            <w:r>
              <w:rPr>
                <w:rFonts w:ascii="Times New Roman;Times;serif" w:hAnsi="Times New Roman;Times;serif"/>
                <w:b w:val="false"/>
                <w:i w:val="false"/>
                <w:caps w:val="false"/>
                <w:smallCaps w:val="false"/>
                <w:sz w:val="16"/>
              </w:rPr>
              <w:t>and achieve a weighted average fixed interest rate of 2.05%</w:t>
            </w:r>
            <w:r>
              <w:rPr>
                <w:caps w:val="false"/>
                <w:smallCaps w:val="false"/>
              </w:rPr>
              <w:t xml:space="preserve"> </w:t>
            </w:r>
            <w:r>
              <w:rPr>
                <w:rFonts w:ascii="Times New Roman;Times;serif" w:hAnsi="Times New Roman;Times;serif"/>
                <w:b w:val="false"/>
                <w:i w:val="false"/>
                <w:caps w:val="false"/>
                <w:smallCaps w:val="false"/>
                <w:sz w:val="16"/>
              </w:rPr>
              <w:t>plus the applicable spread on the $100</w:t>
            </w:r>
            <w:r>
              <w:rPr>
                <w:caps w:val="false"/>
                <w:smallCaps w:val="false"/>
              </w:rPr>
              <w:t xml:space="preserve"> </w:t>
            </w:r>
            <w:r>
              <w:rPr>
                <w:rFonts w:ascii="Times New Roman;Times;serif" w:hAnsi="Times New Roman;Times;serif"/>
                <w:b w:val="false"/>
                <w:i w:val="false"/>
                <w:caps w:val="false"/>
                <w:smallCaps w:val="false"/>
                <w:sz w:val="16"/>
              </w:rPr>
              <w:t xml:space="preserve">million 2031 Term Loan (hereinafter defined) balance. </w:t>
            </w:r>
          </w:p>
        </w:tc>
      </w:tr>
    </w:tbl>
    <w:p>
      <w:pPr>
        <w:pStyle w:val="TextBody"/>
        <w:bidi w:val="0"/>
        <w:spacing w:before="0" w:after="0"/>
        <w:ind w:left="36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i/>
          <w:sz w:val="20"/>
        </w:rPr>
        <w:t xml:space="preserve">Credit Facility. </w:t>
      </w:r>
      <w:r>
        <w:rPr>
          <w:rFonts w:ascii="Times New Roman;Times;serif" w:hAnsi="Times New Roman;Times;serif"/>
          <w:sz w:val="20"/>
        </w:rPr>
        <w:t>On February 4, 2026, the Company, the Operating Partnership, as borrower (the “Borrower”), and certain subsidiaries of the Borrower entered into an Amended and Restated Credit Agreement with Truist Bank, N.A., as administrative agent, and certain other lenders named therein (the “Amended and Restated Credit Agreement”). The Amended and Restated Credit Agreement provides for a $250 million senior unsecured revolving credit facility (the “Revolving Facility”), a $100 million senior unsecured term loan credit facility maturing in 2029 (the “2029 Term Loan”), and a $100 million senior unsecured term loan credit facility maturing in 2031 (the “2031 Term Loan” and, together with the Revolving Facility and the 2029 Term Loan, the “Facilities”). On February 4, 2026, in connection with the Borrower’s entry into the Amended and Restated Credit Agreement, the Borrower repaid all obligations outstanding under its previous credit agreement with KeyBank National Association, dated as of September 30, 2022, among the Company, as parent guarantor, the Borrower, certain subsidiaries of the Borrower, KeyBank National Association, as administrative agent, and certain other lenders named therein (as amended, the “Prior Credit Agreement”). As a result, the Prior Credit Agreement was terminated and the obligations thereunder were discharged.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both"/>
        <w:rPr>
          <w:rFonts w:ascii="Times New Roman;Times;serif" w:hAnsi="Times New Roman;Times;serif"/>
          <w:sz w:val="20"/>
        </w:rPr>
      </w:pPr>
      <w:bookmarkStart w:id="1377" w:name="Tc_Tk-AGXRFPkmSY6vyPKG6Og_9_11"/>
      <w:bookmarkStart w:id="1378" w:name="Tc_DpGKIKSHuECC6bCWUQj8wQ_9_8"/>
      <w:bookmarkStart w:id="1379" w:name="Tc_8qB7M0sa3kGUq0No0ClCfg_9_6"/>
      <w:bookmarkStart w:id="1380" w:name="Tc_LJPxBbYfcUKxeBh2kYrrPw_9_5"/>
      <w:bookmarkStart w:id="1381" w:name="Tc_3Vc3VfFmwUeSM1CR01u9bw_9_2"/>
      <w:bookmarkStart w:id="1382" w:name="Tc_rvXGtfrI1kqW7Dq66Vdn-w_9_0"/>
      <w:bookmarkStart w:id="1383" w:name="Tc_pCD3XlHqUkypYbdugzOXAA_8_12"/>
      <w:bookmarkStart w:id="1384" w:name="Tc_49q582ClIkCumrZiRcOU2A_8_6"/>
      <w:bookmarkStart w:id="1385" w:name="Tc_R2FOSc8sgk6dbdv8G_NJ1A_8_0"/>
      <w:bookmarkStart w:id="1386" w:name="Tc_oaQ5YljGkUShtvYIbnoywQ_7_12"/>
      <w:bookmarkStart w:id="1387" w:name="Tc_iXQvVsdwr0ql1Sx-InnjsA_7_9"/>
      <w:bookmarkStart w:id="1388" w:name="Tc_ThsGWhFni0mqGVu1eojzkw_7_6"/>
      <w:bookmarkStart w:id="1389" w:name="Tc_dXnFW2x0EUexSkAVBj6YCw_7_0"/>
      <w:bookmarkStart w:id="1390" w:name="Tc_IyzVZ30Q-USB-yIEFEDhew_6_12"/>
      <w:bookmarkStart w:id="1391" w:name="Tc_aawYooC6AkeX1kjnKQE4Eg_6_9"/>
      <w:bookmarkStart w:id="1392" w:name="Tc_NotwQrJGRkyqW9t5gfmfOQ_6_6"/>
      <w:bookmarkStart w:id="1393" w:name="Tc_kby1SDrA70-Sqg1SApwHcA_6_0"/>
      <w:bookmarkStart w:id="1394" w:name="Tc_wxpMr27d30yFuJYXQm78gQ_5_12"/>
      <w:bookmarkStart w:id="1395" w:name="Tc_GraxjTUsGU-FdZvMSW7w5A_5_6"/>
      <w:bookmarkStart w:id="1396" w:name="Tc_CioMF4hZ1keslaEnQyaktg_5_3"/>
      <w:bookmarkStart w:id="1397" w:name="Tc_xRk9aVAl90-4mPNefIUFKQ_5_0"/>
      <w:bookmarkStart w:id="1398" w:name="Tc_fvGy8k17k0OEjbEnfBicoQ_4_6"/>
      <w:bookmarkStart w:id="1399" w:name="Tc_XShqusdSGEiIH9NFxxdgQg_4_3"/>
      <w:bookmarkStart w:id="1400" w:name="Tc_asEK2wqtVkmPlJidpm0GhA_4_0"/>
      <w:bookmarkStart w:id="1401" w:name="Tc_OFmfHzzvSEKiSaczeovSWA_3_12"/>
      <w:bookmarkStart w:id="1402" w:name="Tc_qcgVOA6rqUCfPO8m1bYqJg_3_11"/>
      <w:bookmarkStart w:id="1403" w:name="Tc_L6UwiNEwh0a73Q9jQvoWYQ_3_8"/>
      <w:bookmarkStart w:id="1404" w:name="Tc_DhKiySwbdUynNJmTKpXqZA_3_6"/>
      <w:bookmarkStart w:id="1405" w:name="Tc_RMXpX2UBNUCKCDTPq0twJA_3_5"/>
      <w:bookmarkStart w:id="1406" w:name="Tc_PR8eCEpOGkOo0hDEK20yFA_3_2"/>
      <w:bookmarkStart w:id="1407" w:name="Tc_5M6sNqk6GkOQhhTROkJ0pA_3_0"/>
      <w:bookmarkStart w:id="1408" w:name="Tc_kvgsSWsdQU6yyTT4_FBB3A_2_11"/>
      <w:bookmarkStart w:id="1409" w:name="Tc_z9gDd-Waq0OPYpRzVCrYQQ_2_8"/>
      <w:bookmarkStart w:id="1410" w:name="Tc_mr2Pfv1g0Ue0hOIrT-VNJg_2_5"/>
      <w:bookmarkStart w:id="1411" w:name="Tc_-_8xxxh3tE-G3utGRm1s1g_2_2"/>
      <w:bookmarkStart w:id="1412" w:name="Tc_Lp25ynWXJka6KaLMKq6lmQ_1_8"/>
      <w:bookmarkStart w:id="1413" w:name="Tc_KcQBB0cbMEukdbqZ-0FxxQ_1_2"/>
      <w:bookmarkStart w:id="1414" w:name="_6709eafc_69c2_4a1e_9d81_62dff49d7e25"/>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r>
        <w:rPr>
          <w:rFonts w:ascii="Times New Roman;Times;serif" w:hAnsi="Times New Roman;Times;serif"/>
          <w:sz w:val="20"/>
        </w:rPr>
        <w:t xml:space="preserve">The terms of the Amended and Restated Credit Agreement include, among other things: </w:t>
      </w:r>
    </w:p>
    <w:p>
      <w:pPr>
        <w:pStyle w:val="TextBody"/>
        <w:bidi w:val="0"/>
        <w:spacing w:before="0" w:after="0"/>
        <w:ind w:left="0" w:right="0" w:firstLine="36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origination of the Revolving Facility in the amount of $250</w:t>
            </w:r>
            <w:r>
              <w:rPr>
                <w:caps w:val="false"/>
                <w:smallCaps w:val="false"/>
              </w:rPr>
              <w:t xml:space="preserve"> </w:t>
            </w:r>
            <w:r>
              <w:rPr>
                <w:rFonts w:ascii="Times New Roman;Times;serif" w:hAnsi="Times New Roman;Times;serif"/>
                <w:b w:val="false"/>
                <w:i w:val="false"/>
                <w:caps w:val="false"/>
                <w:smallCaps w:val="false"/>
                <w:sz w:val="20"/>
              </w:rPr>
              <w:t>million which matures on February 4, 2030, with two</w:t>
            </w:r>
            <w:r>
              <w:rPr>
                <w:caps w:val="false"/>
                <w:smallCaps w:val="false"/>
              </w:rPr>
              <w:t xml:space="preserve"> </w:t>
            </w:r>
            <w:r>
              <w:rPr>
                <w:rFonts w:ascii="Times New Roman;Times;serif" w:hAnsi="Times New Roman;Times;serif"/>
                <w:b w:val="false"/>
                <w:i w:val="false"/>
                <w:caps w:val="false"/>
                <w:smallCaps w:val="false"/>
                <w:sz w:val="20"/>
              </w:rPr>
              <w:t>six-month</w:t>
            </w:r>
            <w:r>
              <w:rPr>
                <w:caps w:val="false"/>
                <w:smallCaps w:val="false"/>
              </w:rPr>
              <w:t xml:space="preserve"> </w:t>
            </w:r>
            <w:r>
              <w:rPr>
                <w:rFonts w:ascii="Times New Roman;Times;serif" w:hAnsi="Times New Roman;Times;serif"/>
                <w:b w:val="false"/>
                <w:i w:val="false"/>
                <w:caps w:val="false"/>
                <w:smallCaps w:val="false"/>
                <w:sz w:val="20"/>
              </w:rPr>
              <w:t>extension options;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indebtedness under the Revolving Facility accrues at a rate ranging from SOFR</w:t>
            </w:r>
            <w:r>
              <w:rPr>
                <w:caps w:val="false"/>
                <w:smallCaps w:val="false"/>
              </w:rPr>
              <w:t xml:space="preserve"> </w:t>
            </w:r>
            <w:r>
              <w:rPr>
                <w:rFonts w:ascii="Times New Roman;Times;serif" w:hAnsi="Times New Roman;Times;serif"/>
                <w:b w:val="false"/>
                <w:i w:val="false"/>
                <w:caps w:val="false"/>
                <w:smallCaps w:val="false"/>
                <w:sz w:val="20"/>
              </w:rPr>
              <w:t>plus 125</w:t>
            </w:r>
            <w:r>
              <w:rPr>
                <w:caps w:val="false"/>
                <w:smallCaps w:val="false"/>
              </w:rPr>
              <w:t xml:space="preserve"> </w:t>
            </w:r>
            <w:r>
              <w:rPr>
                <w:rFonts w:ascii="Times New Roman;Times;serif" w:hAnsi="Times New Roman;Times;serif"/>
                <w:b w:val="false"/>
                <w:i w:val="false"/>
                <w:caps w:val="false"/>
                <w:smallCaps w:val="false"/>
                <w:sz w:val="20"/>
              </w:rPr>
              <w:t>basis points to SOFR</w:t>
            </w:r>
            <w:r>
              <w:rPr>
                <w:caps w:val="false"/>
                <w:smallCaps w:val="false"/>
              </w:rPr>
              <w:t xml:space="preserve"> </w:t>
            </w:r>
            <w:r>
              <w:rPr>
                <w:rFonts w:ascii="Times New Roman;Times;serif" w:hAnsi="Times New Roman;Times;serif"/>
                <w:b w:val="false"/>
                <w:i w:val="false"/>
                <w:caps w:val="false"/>
                <w:smallCaps w:val="false"/>
                <w:sz w:val="20"/>
              </w:rPr>
              <w:t>plus 220</w:t>
            </w:r>
            <w:r>
              <w:rPr>
                <w:caps w:val="false"/>
                <w:smallCaps w:val="false"/>
              </w:rPr>
              <w:t xml:space="preserve"> </w:t>
            </w:r>
            <w:r>
              <w:rPr>
                <w:rFonts w:ascii="Times New Roman;Times;serif" w:hAnsi="Times New Roman;Times;serif"/>
                <w:b w:val="false"/>
                <w:i w:val="false"/>
                <w:caps w:val="false"/>
                <w:smallCaps w:val="false"/>
                <w:sz w:val="20"/>
              </w:rPr>
              <w:t>basis points, based on the total balance outstanding under the Revolving Facility as a percentage of the total asset value of the Company, as defined in the Amended and Restated Credit Agreement. The Company may utilize daily simple SOFR or term SOFR, at its election. The Revolving Facility also accrues a fee of 15</w:t>
            </w:r>
            <w:r>
              <w:rPr>
                <w:caps w:val="false"/>
                <w:smallCaps w:val="false"/>
              </w:rPr>
              <w:t xml:space="preserve"> </w:t>
            </w:r>
            <w:r>
              <w:rPr>
                <w:rFonts w:ascii="Times New Roman;Times;serif" w:hAnsi="Times New Roman;Times;serif"/>
                <w:b w:val="false"/>
                <w:i w:val="false"/>
                <w:caps w:val="false"/>
                <w:smallCaps w:val="false"/>
                <w:sz w:val="20"/>
              </w:rPr>
              <w:t>or 25</w:t>
            </w:r>
            <w:r>
              <w:rPr>
                <w:caps w:val="false"/>
                <w:smallCaps w:val="false"/>
              </w:rPr>
              <w:t xml:space="preserve"> </w:t>
            </w:r>
            <w:r>
              <w:rPr>
                <w:rFonts w:ascii="Times New Roman;Times;serif" w:hAnsi="Times New Roman;Times;serif"/>
                <w:b w:val="false"/>
                <w:i w:val="false"/>
                <w:caps w:val="false"/>
                <w:smallCaps w:val="false"/>
                <w:sz w:val="20"/>
              </w:rPr>
              <w:t>basis points for any unused portion of the borrowing capacity based on whether the unused portion is greater or less than 50%</w:t>
            </w:r>
            <w:r>
              <w:rPr>
                <w:caps w:val="false"/>
                <w:smallCaps w:val="false"/>
              </w:rPr>
              <w:t xml:space="preserve"> </w:t>
            </w:r>
            <w:r>
              <w:rPr>
                <w:rFonts w:ascii="Times New Roman;Times;serif" w:hAnsi="Times New Roman;Times;serif"/>
                <w:b w:val="false"/>
                <w:i w:val="false"/>
                <w:caps w:val="false"/>
                <w:smallCaps w:val="false"/>
                <w:sz w:val="20"/>
              </w:rPr>
              <w:t>of the total borrowing capacity;</w:t>
            </w:r>
          </w:p>
        </w:tc>
      </w:tr>
    </w:tbl>
    <w:tbl>
      <w:tblPr>
        <w:tblW w:w="8931" w:type="dxa"/>
        <w:jc w:val="left"/>
        <w:tblInd w:w="0" w:type="dxa"/>
        <w:tblLayout w:type="fixed"/>
        <w:tblCellMar>
          <w:top w:w="28" w:type="dxa"/>
          <w:left w:w="28" w:type="dxa"/>
          <w:bottom w:w="28" w:type="dxa"/>
          <w:right w:w="28" w:type="dxa"/>
        </w:tblCellMar>
      </w:tblPr>
      <w:tblGrid>
        <w:gridCol w:w="124"/>
        <w:gridCol w:w="256"/>
        <w:gridCol w:w="85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551"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origination of the 2029 Term Loan in the amount of $100</w:t>
            </w:r>
            <w:r>
              <w:rPr>
                <w:caps w:val="false"/>
                <w:smallCaps w:val="false"/>
              </w:rPr>
              <w:t xml:space="preserve"> </w:t>
            </w:r>
            <w:r>
              <w:rPr>
                <w:rFonts w:ascii="Times New Roman;Times;serif" w:hAnsi="Times New Roman;Times;serif"/>
                <w:b w:val="false"/>
                <w:i w:val="false"/>
                <w:caps w:val="false"/>
                <w:smallCaps w:val="false"/>
                <w:sz w:val="20"/>
              </w:rPr>
              <w:t>million that matures on February 4, 2029;</w:t>
            </w:r>
          </w:p>
        </w:tc>
      </w:tr>
    </w:tbl>
    <w:tbl>
      <w:tblPr>
        <w:tblW w:w="8931" w:type="dxa"/>
        <w:jc w:val="left"/>
        <w:tblInd w:w="0" w:type="dxa"/>
        <w:tblLayout w:type="fixed"/>
        <w:tblCellMar>
          <w:top w:w="28" w:type="dxa"/>
          <w:left w:w="28" w:type="dxa"/>
          <w:bottom w:w="28" w:type="dxa"/>
          <w:right w:w="28" w:type="dxa"/>
        </w:tblCellMar>
      </w:tblPr>
      <w:tblGrid>
        <w:gridCol w:w="124"/>
        <w:gridCol w:w="256"/>
        <w:gridCol w:w="85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551"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origination of the 2031 Term Loan in the amount of $100</w:t>
            </w:r>
            <w:r>
              <w:rPr>
                <w:caps w:val="false"/>
                <w:smallCaps w:val="false"/>
              </w:rPr>
              <w:t xml:space="preserve"> </w:t>
            </w:r>
            <w:r>
              <w:rPr>
                <w:rFonts w:ascii="Times New Roman;Times;serif" w:hAnsi="Times New Roman;Times;serif"/>
                <w:b w:val="false"/>
                <w:i w:val="false"/>
                <w:caps w:val="false"/>
                <w:smallCaps w:val="false"/>
                <w:sz w:val="20"/>
              </w:rPr>
              <w:t>million that matures on February 4, 2031;</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indebtedness outstanding under the 2029 Term Loan and the 2031 Term Loan accrues at a rate ranging from SOFR</w:t>
            </w:r>
            <w:r>
              <w:rPr>
                <w:caps w:val="false"/>
                <w:smallCaps w:val="false"/>
              </w:rPr>
              <w:t xml:space="preserve"> </w:t>
            </w:r>
            <w:r>
              <w:rPr>
                <w:rFonts w:ascii="Times New Roman;Times;serif" w:hAnsi="Times New Roman;Times;serif"/>
                <w:b w:val="false"/>
                <w:i w:val="false"/>
                <w:caps w:val="false"/>
                <w:smallCaps w:val="false"/>
                <w:sz w:val="20"/>
              </w:rPr>
              <w:t>plus 125</w:t>
            </w:r>
            <w:r>
              <w:rPr>
                <w:caps w:val="false"/>
                <w:smallCaps w:val="false"/>
              </w:rPr>
              <w:t xml:space="preserve"> </w:t>
            </w:r>
            <w:r>
              <w:rPr>
                <w:rFonts w:ascii="Times New Roman;Times;serif" w:hAnsi="Times New Roman;Times;serif"/>
                <w:b w:val="false"/>
                <w:i w:val="false"/>
                <w:caps w:val="false"/>
                <w:smallCaps w:val="false"/>
                <w:sz w:val="20"/>
              </w:rPr>
              <w:t>basis points to SOFR</w:t>
            </w:r>
            <w:r>
              <w:rPr>
                <w:caps w:val="false"/>
                <w:smallCaps w:val="false"/>
              </w:rPr>
              <w:t xml:space="preserve"> </w:t>
            </w:r>
            <w:r>
              <w:rPr>
                <w:rFonts w:ascii="Times New Roman;Times;serif" w:hAnsi="Times New Roman;Times;serif"/>
                <w:b w:val="false"/>
                <w:i w:val="false"/>
                <w:caps w:val="false"/>
                <w:smallCaps w:val="false"/>
                <w:sz w:val="20"/>
              </w:rPr>
              <w:t>plus 190</w:t>
            </w:r>
            <w:r>
              <w:rPr>
                <w:caps w:val="false"/>
                <w:smallCaps w:val="false"/>
              </w:rPr>
              <w:t xml:space="preserve"> </w:t>
            </w:r>
            <w:r>
              <w:rPr>
                <w:rFonts w:ascii="Times New Roman;Times;serif" w:hAnsi="Times New Roman;Times;serif"/>
                <w:b w:val="false"/>
                <w:i w:val="false"/>
                <w:caps w:val="false"/>
                <w:smallCaps w:val="false"/>
                <w:sz w:val="20"/>
              </w:rPr>
              <w:t xml:space="preserve">basis points, based on the total balance outstanding under the Facilities as a percentage of the total asset value of the Company, as defined in the Amended and Restated Credit Agreement. The Company may utilize daily simple SOFR or term SOFR, at its election;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an accordion feature which allows for total borrowings under the Facilities, in the aggregate, to be increased to an amount not to exceed $750</w:t>
            </w:r>
            <w:r>
              <w:rPr>
                <w:caps w:val="false"/>
                <w:smallCaps w:val="false"/>
              </w:rPr>
              <w:t xml:space="preserve"> </w:t>
            </w:r>
            <w:r>
              <w:rPr>
                <w:rFonts w:ascii="Times New Roman;Times;serif" w:hAnsi="Times New Roman;Times;serif"/>
                <w:b w:val="false"/>
                <w:i w:val="false"/>
                <w:caps w:val="false"/>
                <w:smallCaps w:val="false"/>
                <w:sz w:val="20"/>
              </w:rPr>
              <w:t>million; and</w:t>
            </w:r>
          </w:p>
        </w:tc>
      </w:tr>
    </w:tbl>
    <w:tbl>
      <w:tblPr>
        <w:tblW w:w="4266" w:type="dxa"/>
        <w:jc w:val="left"/>
        <w:tblInd w:w="0" w:type="dxa"/>
        <w:tblLayout w:type="fixed"/>
        <w:tblCellMar>
          <w:top w:w="28" w:type="dxa"/>
          <w:left w:w="28" w:type="dxa"/>
          <w:bottom w:w="28" w:type="dxa"/>
          <w:right w:w="28" w:type="dxa"/>
        </w:tblCellMar>
      </w:tblPr>
      <w:tblGrid>
        <w:gridCol w:w="124"/>
        <w:gridCol w:w="256"/>
        <w:gridCol w:w="38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8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amendment of certain financial covenants.</w:t>
            </w:r>
          </w:p>
        </w:tc>
      </w:tr>
    </w:tbl>
    <w:p>
      <w:pPr>
        <w:pStyle w:val="TextBody"/>
        <w:bidi w:val="0"/>
        <w:spacing w:before="0" w:after="0"/>
        <w:ind w:left="0" w:right="0" w:hanging="0"/>
        <w:jc w:val="left"/>
        <w:rPr>
          <w:shd w:fill="FFFFFF" w:val="clear"/>
        </w:rPr>
      </w:pPr>
      <w:r>
        <w:rPr>
          <w:shd w:fill="FFFFFF" w:val="clea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As of June 30, 2026, the commitment level under the Revolving Facility was $250.0 million and the Company had an outstanding balance of $169.5 million. The available borrowing capacity under the Revolving Facility, subject to borrowing base restrictions, was $80.5 million as of June 30, 2026.</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 is subject to customary restrictive covenants under the Amended and Restated Credit Agreement, including, but not limited to, limitations on the Company’s ability to: (a) incur indebtedness; (b) make certain investments; (c) incur certain liens; (d) engage in certain affiliate transactions; and (e) engage in certain major transactions such as mergers. The Amended and Restated Credit Agreement also contains financial covenants covering the Company, including but not limited to, tangible net worth and fixed charge coverage ratios. The Company was in compliance with all of its debt covenants as of June 30, 2026.</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Long-term debt as of June 30, 2026 and December 31, 2025 consisted of the following (in thousands):</w:t>
      </w:r>
    </w:p>
    <w:p>
      <w:pPr>
        <w:pStyle w:val="TextBody"/>
        <w:bidi w:val="0"/>
        <w:spacing w:before="0" w:after="0"/>
        <w:ind w:left="0" w:right="0" w:firstLine="360"/>
        <w:jc w:val="both"/>
        <w:rPr/>
      </w:pPr>
      <w:r>
        <w:rPr/>
        <w:t>​</w:t>
      </w:r>
    </w:p>
    <w:tbl>
      <w:tblPr>
        <w:tblW w:w="10205" w:type="dxa"/>
        <w:jc w:val="left"/>
        <w:tblInd w:w="0" w:type="dxa"/>
        <w:tblLayout w:type="fixed"/>
        <w:tblCellMar>
          <w:top w:w="0" w:type="dxa"/>
          <w:left w:w="0" w:type="dxa"/>
          <w:bottom w:w="0" w:type="dxa"/>
          <w:right w:w="0" w:type="dxa"/>
        </w:tblCellMar>
      </w:tblPr>
      <w:tblGrid>
        <w:gridCol w:w="3713"/>
        <w:gridCol w:w="109"/>
        <w:gridCol w:w="211"/>
        <w:gridCol w:w="781"/>
        <w:gridCol w:w="346"/>
        <w:gridCol w:w="658"/>
        <w:gridCol w:w="1085"/>
        <w:gridCol w:w="146"/>
        <w:gridCol w:w="211"/>
        <w:gridCol w:w="781"/>
        <w:gridCol w:w="346"/>
        <w:gridCol w:w="345"/>
        <w:gridCol w:w="1473"/>
      </w:tblGrid>
      <w:tr>
        <w:trPr/>
        <w:tc>
          <w:tcPr>
            <w:tcW w:w="371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69215" cy="175260"/>
                      <wp:effectExtent l="0" t="0" r="0" b="0"/>
                      <wp:wrapNone/>
                      <wp:docPr id="282" name="Frame28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133985" cy="175260"/>
                      <wp:effectExtent l="0" t="0" r="0" b="0"/>
                      <wp:wrapNone/>
                      <wp:docPr id="283" name="Frame28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495935" cy="175260"/>
                      <wp:effectExtent l="0" t="0" r="0" b="0"/>
                      <wp:wrapNone/>
                      <wp:docPr id="284" name="Frame28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219710" cy="175260"/>
                      <wp:effectExtent l="0" t="0" r="0" b="0"/>
                      <wp:wrapNone/>
                      <wp:docPr id="285" name="Frame28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417830" cy="175260"/>
                      <wp:effectExtent l="0" t="0" r="0" b="0"/>
                      <wp:wrapNone/>
                      <wp:docPr id="286" name="Frame286"/>
                      <a:graphic xmlns:a="http://schemas.openxmlformats.org/drawingml/2006/main">
                        <a:graphicData uri="http://schemas.microsoft.com/office/word/2010/wordprocessingShape">
                          <wps:wsp>
                            <wps:cNvSpPr txBox="1"/>
                            <wps:spPr>
                              <a:xfrm>
                                <a:off x="0" y="0"/>
                                <a:ext cx="4178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688975" cy="175260"/>
                      <wp:effectExtent l="0" t="0" r="0" b="0"/>
                      <wp:wrapNone/>
                      <wp:docPr id="287" name="Frame287"/>
                      <a:graphic xmlns:a="http://schemas.openxmlformats.org/drawingml/2006/main">
                        <a:graphicData uri="http://schemas.microsoft.com/office/word/2010/wordprocessingShape">
                          <wps:wsp>
                            <wps:cNvSpPr txBox="1"/>
                            <wps:spPr>
                              <a:xfrm>
                                <a:off x="0" y="0"/>
                                <a:ext cx="6889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92710" cy="175260"/>
                      <wp:effectExtent l="0" t="0" r="0" b="0"/>
                      <wp:wrapNone/>
                      <wp:docPr id="288" name="Frame288"/>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133985" cy="175260"/>
                      <wp:effectExtent l="0" t="0" r="0" b="0"/>
                      <wp:wrapNone/>
                      <wp:docPr id="289" name="Frame28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495935" cy="175260"/>
                      <wp:effectExtent l="0" t="0" r="0" b="0"/>
                      <wp:wrapNone/>
                      <wp:docPr id="290" name="Frame29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219710" cy="175260"/>
                      <wp:effectExtent l="0" t="0" r="0" b="0"/>
                      <wp:wrapNone/>
                      <wp:docPr id="291" name="Frame29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219075" cy="175260"/>
                      <wp:effectExtent l="0" t="0" r="0" b="0"/>
                      <wp:wrapNone/>
                      <wp:docPr id="292" name="Frame292"/>
                      <a:graphic xmlns:a="http://schemas.openxmlformats.org/drawingml/2006/main">
                        <a:graphicData uri="http://schemas.microsoft.com/office/word/2010/wordprocessingShape">
                          <wps:wsp>
                            <wps:cNvSpPr txBox="1"/>
                            <wps:spPr>
                              <a:xfrm>
                                <a:off x="0" y="0"/>
                                <a:ext cx="2190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935355" cy="175260"/>
                      <wp:effectExtent l="0" t="0" r="0" b="0"/>
                      <wp:wrapNone/>
                      <wp:docPr id="293" name="Frame293"/>
                      <a:graphic xmlns:a="http://schemas.openxmlformats.org/drawingml/2006/main">
                        <a:graphicData uri="http://schemas.microsoft.com/office/word/2010/wordprocessingShape">
                          <wps:wsp>
                            <wps:cNvSpPr txBox="1"/>
                            <wps:spPr>
                              <a:xfrm>
                                <a:off x="0" y="0"/>
                                <a:ext cx="9353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13"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3081"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2026</w:t>
            </w:r>
          </w:p>
        </w:tc>
        <w:tc>
          <w:tcPr>
            <w:tcW w:w="146" w:type="dxa"/>
            <w:tcBorders/>
            <w:vAlign w:val="center"/>
          </w:tcPr>
          <w:p>
            <w:pPr>
              <w:pStyle w:val="TableContents"/>
              <w:bidi w:val="0"/>
              <w:spacing w:before="0" w:after="0"/>
              <w:ind w:left="0" w:right="0" w:hanging="0"/>
              <w:jc w:val="left"/>
              <w:rPr/>
            </w:pPr>
            <w:r>
              <w:rPr/>
              <w:t>​</w:t>
            </w:r>
          </w:p>
        </w:tc>
        <w:tc>
          <w:tcPr>
            <w:tcW w:w="3156"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2025</w:t>
            </w:r>
          </w:p>
        </w:tc>
      </w:tr>
      <w:tr>
        <w:trPr/>
        <w:tc>
          <w:tcPr>
            <w:tcW w:w="3713"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Total</w:t>
            </w:r>
          </w:p>
        </w:tc>
        <w:tc>
          <w:tcPr>
            <w:tcW w:w="346" w:type="dxa"/>
            <w:tcBorders/>
            <w:vAlign w:val="center"/>
          </w:tcPr>
          <w:p>
            <w:pPr>
              <w:pStyle w:val="TableContents"/>
              <w:bidi w:val="0"/>
              <w:spacing w:before="0" w:after="0"/>
              <w:ind w:left="0" w:right="0" w:hanging="0"/>
              <w:jc w:val="left"/>
              <w:rPr/>
            </w:pPr>
            <w:r>
              <w:rPr/>
              <w:t>  ​ ​ ​</w:t>
            </w:r>
          </w:p>
        </w:tc>
        <w:tc>
          <w:tcPr>
            <w:tcW w:w="174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Due Within One Year</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Total </w:t>
            </w:r>
          </w:p>
        </w:tc>
        <w:tc>
          <w:tcPr>
            <w:tcW w:w="346" w:type="dxa"/>
            <w:tcBorders/>
            <w:vAlign w:val="center"/>
          </w:tcPr>
          <w:p>
            <w:pPr>
              <w:pStyle w:val="TableContents"/>
              <w:bidi w:val="0"/>
              <w:spacing w:before="0" w:after="0"/>
              <w:ind w:left="0" w:right="0" w:hanging="0"/>
              <w:jc w:val="left"/>
              <w:rPr/>
            </w:pPr>
            <w:r>
              <w:rPr/>
              <w:t>  ​ ​ ​</w:t>
            </w:r>
          </w:p>
        </w:tc>
        <w:tc>
          <w:tcPr>
            <w:tcW w:w="181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Due Within One Year</w:t>
            </w:r>
          </w:p>
        </w:tc>
      </w:tr>
      <w:tr>
        <w:trPr/>
        <w:tc>
          <w:tcPr>
            <w:tcW w:w="371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Revolving Facility</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169,500</w:t>
            </w:r>
          </w:p>
        </w:tc>
        <w:tc>
          <w:tcPr>
            <w:tcW w:w="346" w:type="dxa"/>
            <w:tcBorders/>
            <w:shd w:fill="CCEEFF" w:val="clear"/>
            <w:vAlign w:val="center"/>
          </w:tcPr>
          <w:p>
            <w:pPr>
              <w:pStyle w:val="TableContents"/>
              <w:bidi w:val="0"/>
              <w:spacing w:before="0" w:after="0"/>
              <w:ind w:left="0" w:right="0" w:hanging="0"/>
              <w:jc w:val="left"/>
              <w:rPr/>
            </w:pPr>
            <w:r>
              <w:rPr/>
              <w:t>​</w:t>
            </w:r>
          </w:p>
        </w:tc>
        <w:tc>
          <w:tcPr>
            <w:tcW w:w="65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5"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178,000</w:t>
            </w:r>
          </w:p>
        </w:tc>
        <w:tc>
          <w:tcPr>
            <w:tcW w:w="346" w:type="dxa"/>
            <w:tcBorders/>
            <w:shd w:fill="CCEEFF" w:val="clear"/>
            <w:vAlign w:val="center"/>
          </w:tcPr>
          <w:p>
            <w:pPr>
              <w:pStyle w:val="TableContents"/>
              <w:bidi w:val="0"/>
              <w:spacing w:before="0" w:after="0"/>
              <w:ind w:left="0" w:right="0" w:hanging="0"/>
              <w:jc w:val="left"/>
              <w:rPr/>
            </w:pPr>
            <w:r>
              <w:rPr/>
              <w:t>​</w:t>
            </w:r>
          </w:p>
        </w:tc>
        <w:tc>
          <w:tcPr>
            <w:tcW w:w="3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73" w:type="dxa"/>
            <w:tcBorders/>
            <w:shd w:fill="CCEEFF" w:val="clear"/>
            <w:vAlign w:val="center"/>
          </w:tcPr>
          <w:p>
            <w:pPr>
              <w:pStyle w:val="TableContents"/>
              <w:bidi w:val="0"/>
              <w:spacing w:before="0" w:after="0"/>
              <w:ind w:left="0" w:right="0" w:hanging="0"/>
              <w:jc w:val="right"/>
              <w:rPr/>
            </w:pPr>
            <w:r>
              <w:rPr/>
              <w:t>—</w:t>
            </w:r>
          </w:p>
        </w:tc>
      </w:tr>
      <w:tr>
        <w:trPr/>
        <w:tc>
          <w:tcPr>
            <w:tcW w:w="371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 Term Loan</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58" w:type="dxa"/>
            <w:tcBorders/>
            <w:vAlign w:val="center"/>
          </w:tcPr>
          <w:p>
            <w:pPr>
              <w:pStyle w:val="TableContents"/>
              <w:bidi w:val="0"/>
              <w:spacing w:before="0" w:after="0"/>
              <w:ind w:left="0" w:right="0" w:hanging="0"/>
              <w:jc w:val="left"/>
              <w:rPr/>
            </w:pPr>
            <w:r>
              <w:rPr/>
              <w:t>​</w:t>
            </w:r>
          </w:p>
        </w:tc>
        <w:tc>
          <w:tcPr>
            <w:tcW w:w="108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100,000</w:t>
            </w:r>
          </w:p>
        </w:tc>
        <w:tc>
          <w:tcPr>
            <w:tcW w:w="346" w:type="dxa"/>
            <w:tcBorders/>
            <w:vAlign w:val="center"/>
          </w:tcPr>
          <w:p>
            <w:pPr>
              <w:pStyle w:val="TableContents"/>
              <w:bidi w:val="0"/>
              <w:spacing w:before="0" w:after="0"/>
              <w:ind w:left="0" w:right="0" w:hanging="0"/>
              <w:jc w:val="left"/>
              <w:rPr/>
            </w:pPr>
            <w:r>
              <w:rPr/>
              <w:t>​</w:t>
            </w:r>
          </w:p>
        </w:tc>
        <w:tc>
          <w:tcPr>
            <w:tcW w:w="345" w:type="dxa"/>
            <w:tcBorders/>
            <w:vAlign w:val="center"/>
          </w:tcPr>
          <w:p>
            <w:pPr>
              <w:pStyle w:val="TableContents"/>
              <w:bidi w:val="0"/>
              <w:spacing w:before="0" w:after="0"/>
              <w:ind w:left="0" w:right="0" w:hanging="0"/>
              <w:jc w:val="left"/>
              <w:rPr/>
            </w:pPr>
            <w:r>
              <w:rPr/>
              <w:t>​</w:t>
            </w:r>
          </w:p>
        </w:tc>
        <w:tc>
          <w:tcPr>
            <w:tcW w:w="147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100,000</w:t>
            </w:r>
          </w:p>
        </w:tc>
      </w:tr>
      <w:tr>
        <w:trPr/>
        <w:tc>
          <w:tcPr>
            <w:tcW w:w="371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 Term Loan</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58" w:type="dxa"/>
            <w:tcBorders/>
            <w:shd w:fill="CCEEFF" w:val="clear"/>
            <w:vAlign w:val="center"/>
          </w:tcPr>
          <w:p>
            <w:pPr>
              <w:pStyle w:val="TableContents"/>
              <w:bidi w:val="0"/>
              <w:spacing w:before="0" w:after="0"/>
              <w:ind w:left="0" w:right="0" w:hanging="0"/>
              <w:jc w:val="left"/>
              <w:rPr/>
            </w:pPr>
            <w:r>
              <w:rPr/>
              <w:t>​</w:t>
            </w:r>
          </w:p>
        </w:tc>
        <w:tc>
          <w:tcPr>
            <w:tcW w:w="1085"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100,000</w:t>
            </w:r>
          </w:p>
        </w:tc>
        <w:tc>
          <w:tcPr>
            <w:tcW w:w="346" w:type="dxa"/>
            <w:tcBorders/>
            <w:shd w:fill="CCEEFF" w:val="clear"/>
            <w:vAlign w:val="center"/>
          </w:tcPr>
          <w:p>
            <w:pPr>
              <w:pStyle w:val="TableContents"/>
              <w:bidi w:val="0"/>
              <w:spacing w:before="0" w:after="0"/>
              <w:ind w:left="0" w:right="0" w:hanging="0"/>
              <w:jc w:val="left"/>
              <w:rPr/>
            </w:pPr>
            <w:r>
              <w:rPr/>
              <w:t>​</w:t>
            </w:r>
          </w:p>
        </w:tc>
        <w:tc>
          <w:tcPr>
            <w:tcW w:w="345" w:type="dxa"/>
            <w:tcBorders/>
            <w:shd w:fill="CCEEFF" w:val="clear"/>
            <w:vAlign w:val="center"/>
          </w:tcPr>
          <w:p>
            <w:pPr>
              <w:pStyle w:val="TableContents"/>
              <w:bidi w:val="0"/>
              <w:spacing w:before="0" w:after="0"/>
              <w:ind w:left="0" w:right="0" w:hanging="0"/>
              <w:jc w:val="left"/>
              <w:rPr/>
            </w:pPr>
            <w:r>
              <w:rPr/>
              <w:t>​</w:t>
            </w:r>
          </w:p>
        </w:tc>
        <w:tc>
          <w:tcPr>
            <w:tcW w:w="1473" w:type="dxa"/>
            <w:tcBorders/>
            <w:shd w:fill="CCEEFF" w:val="clear"/>
            <w:vAlign w:val="center"/>
          </w:tcPr>
          <w:p>
            <w:pPr>
              <w:pStyle w:val="TableContents"/>
              <w:bidi w:val="0"/>
              <w:spacing w:before="0" w:after="0"/>
              <w:ind w:left="0" w:right="0" w:hanging="0"/>
              <w:jc w:val="right"/>
              <w:rPr/>
            </w:pPr>
            <w:r>
              <w:rPr/>
              <w:t>—</w:t>
            </w:r>
          </w:p>
        </w:tc>
      </w:tr>
      <w:tr>
        <w:trPr/>
        <w:tc>
          <w:tcPr>
            <w:tcW w:w="371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 Term Loan</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100,000</w:t>
            </w:r>
          </w:p>
        </w:tc>
        <w:tc>
          <w:tcPr>
            <w:tcW w:w="346" w:type="dxa"/>
            <w:tcBorders/>
            <w:vAlign w:val="center"/>
          </w:tcPr>
          <w:p>
            <w:pPr>
              <w:pStyle w:val="TableContents"/>
              <w:bidi w:val="0"/>
              <w:spacing w:before="0" w:after="0"/>
              <w:ind w:left="0" w:right="0" w:hanging="0"/>
              <w:jc w:val="left"/>
              <w:rPr/>
            </w:pPr>
            <w:r>
              <w:rPr/>
              <w:t>​</w:t>
            </w:r>
          </w:p>
        </w:tc>
        <w:tc>
          <w:tcPr>
            <w:tcW w:w="658" w:type="dxa"/>
            <w:tcBorders/>
            <w:vAlign w:val="center"/>
          </w:tcPr>
          <w:p>
            <w:pPr>
              <w:pStyle w:val="TableContents"/>
              <w:bidi w:val="0"/>
              <w:spacing w:before="0" w:after="0"/>
              <w:ind w:left="0" w:right="0" w:hanging="0"/>
              <w:jc w:val="left"/>
              <w:rPr/>
            </w:pPr>
            <w:r>
              <w:rPr/>
              <w:t>​</w:t>
            </w:r>
          </w:p>
        </w:tc>
        <w:tc>
          <w:tcPr>
            <w:tcW w:w="108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45" w:type="dxa"/>
            <w:tcBorders/>
            <w:vAlign w:val="center"/>
          </w:tcPr>
          <w:p>
            <w:pPr>
              <w:pStyle w:val="TableContents"/>
              <w:bidi w:val="0"/>
              <w:spacing w:before="0" w:after="0"/>
              <w:ind w:left="0" w:right="0" w:hanging="0"/>
              <w:jc w:val="left"/>
              <w:rPr/>
            </w:pPr>
            <w:r>
              <w:rPr/>
              <w:t>​</w:t>
            </w:r>
          </w:p>
        </w:tc>
        <w:tc>
          <w:tcPr>
            <w:tcW w:w="1473" w:type="dxa"/>
            <w:tcBorders/>
            <w:vAlign w:val="center"/>
          </w:tcPr>
          <w:p>
            <w:pPr>
              <w:pStyle w:val="TableContents"/>
              <w:bidi w:val="0"/>
              <w:spacing w:before="0" w:after="0"/>
              <w:ind w:left="0" w:right="0" w:hanging="0"/>
              <w:jc w:val="right"/>
              <w:rPr/>
            </w:pPr>
            <w:r>
              <w:rPr/>
              <w:t>—</w:t>
            </w:r>
          </w:p>
        </w:tc>
      </w:tr>
      <w:tr>
        <w:trPr/>
        <w:tc>
          <w:tcPr>
            <w:tcW w:w="371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2031 Term Loan</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100,000</w:t>
            </w:r>
          </w:p>
        </w:tc>
        <w:tc>
          <w:tcPr>
            <w:tcW w:w="346" w:type="dxa"/>
            <w:tcBorders/>
            <w:shd w:fill="CCEEFF" w:val="clear"/>
            <w:vAlign w:val="center"/>
          </w:tcPr>
          <w:p>
            <w:pPr>
              <w:pStyle w:val="TableContents"/>
              <w:bidi w:val="0"/>
              <w:spacing w:before="0" w:after="0"/>
              <w:ind w:left="0" w:right="0" w:hanging="0"/>
              <w:jc w:val="left"/>
              <w:rPr/>
            </w:pPr>
            <w:r>
              <w:rPr/>
              <w:t>​</w:t>
            </w:r>
          </w:p>
        </w:tc>
        <w:tc>
          <w:tcPr>
            <w:tcW w:w="658" w:type="dxa"/>
            <w:tcBorders/>
            <w:shd w:fill="CCEEFF" w:val="clear"/>
            <w:vAlign w:val="center"/>
          </w:tcPr>
          <w:p>
            <w:pPr>
              <w:pStyle w:val="TableContents"/>
              <w:bidi w:val="0"/>
              <w:spacing w:before="0" w:after="0"/>
              <w:ind w:left="0" w:right="0" w:hanging="0"/>
              <w:jc w:val="left"/>
              <w:rPr/>
            </w:pPr>
            <w:r>
              <w:rPr/>
              <w:t>​</w:t>
            </w:r>
          </w:p>
        </w:tc>
        <w:tc>
          <w:tcPr>
            <w:tcW w:w="1085"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45" w:type="dxa"/>
            <w:tcBorders/>
            <w:shd w:fill="CCEEFF" w:val="clear"/>
            <w:vAlign w:val="center"/>
          </w:tcPr>
          <w:p>
            <w:pPr>
              <w:pStyle w:val="TableContents"/>
              <w:bidi w:val="0"/>
              <w:spacing w:before="0" w:after="0"/>
              <w:ind w:left="0" w:right="0" w:hanging="0"/>
              <w:jc w:val="left"/>
              <w:rPr/>
            </w:pPr>
            <w:r>
              <w:rPr/>
              <w:t>​</w:t>
            </w:r>
          </w:p>
        </w:tc>
        <w:tc>
          <w:tcPr>
            <w:tcW w:w="1473" w:type="dxa"/>
            <w:tcBorders/>
            <w:shd w:fill="CCEEFF" w:val="clear"/>
            <w:vAlign w:val="center"/>
          </w:tcPr>
          <w:p>
            <w:pPr>
              <w:pStyle w:val="TableContents"/>
              <w:bidi w:val="0"/>
              <w:spacing w:before="0" w:after="0"/>
              <w:ind w:left="0" w:right="0" w:hanging="0"/>
              <w:jc w:val="right"/>
              <w:rPr/>
            </w:pPr>
            <w:r>
              <w:rPr/>
              <w:t>—</w:t>
            </w:r>
          </w:p>
        </w:tc>
      </w:tr>
      <w:tr>
        <w:trPr/>
        <w:tc>
          <w:tcPr>
            <w:tcW w:w="371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Financing Costs, net of Accumulated Amortization</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(1,948)</w:t>
            </w:r>
          </w:p>
        </w:tc>
        <w:tc>
          <w:tcPr>
            <w:tcW w:w="346" w:type="dxa"/>
            <w:tcBorders/>
            <w:vAlign w:val="center"/>
          </w:tcPr>
          <w:p>
            <w:pPr>
              <w:pStyle w:val="TableContents"/>
              <w:bidi w:val="0"/>
              <w:spacing w:before="0" w:after="0"/>
              <w:ind w:left="0" w:right="0" w:hanging="0"/>
              <w:jc w:val="left"/>
              <w:rPr/>
            </w:pPr>
            <w:r>
              <w:rPr/>
              <w:t>​</w:t>
            </w:r>
          </w:p>
        </w:tc>
        <w:tc>
          <w:tcPr>
            <w:tcW w:w="65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8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(261)</w:t>
            </w:r>
          </w:p>
        </w:tc>
        <w:tc>
          <w:tcPr>
            <w:tcW w:w="346" w:type="dxa"/>
            <w:tcBorders/>
            <w:vAlign w:val="center"/>
          </w:tcPr>
          <w:p>
            <w:pPr>
              <w:pStyle w:val="TableContents"/>
              <w:bidi w:val="0"/>
              <w:spacing w:before="0" w:after="0"/>
              <w:ind w:left="0" w:right="0" w:hanging="0"/>
              <w:jc w:val="left"/>
              <w:rPr/>
            </w:pPr>
            <w:r>
              <w:rPr/>
              <w:t>​</w:t>
            </w:r>
          </w:p>
        </w:tc>
        <w:tc>
          <w:tcPr>
            <w:tcW w:w="34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47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371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Long-Term Debt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367,552</w:t>
            </w:r>
          </w:p>
        </w:tc>
        <w:tc>
          <w:tcPr>
            <w:tcW w:w="346" w:type="dxa"/>
            <w:tcBorders/>
            <w:shd w:fill="CCEEFF" w:val="clear"/>
            <w:vAlign w:val="center"/>
          </w:tcPr>
          <w:p>
            <w:pPr>
              <w:pStyle w:val="TableContents"/>
              <w:bidi w:val="0"/>
              <w:spacing w:before="0" w:after="0"/>
              <w:ind w:left="0" w:right="0" w:hanging="0"/>
              <w:jc w:val="left"/>
              <w:rPr/>
            </w:pPr>
            <w:r>
              <w:rPr/>
              <w:t>​</w:t>
            </w:r>
          </w:p>
        </w:tc>
        <w:tc>
          <w:tcPr>
            <w:tcW w:w="65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377,739</w:t>
            </w:r>
          </w:p>
        </w:tc>
        <w:tc>
          <w:tcPr>
            <w:tcW w:w="346" w:type="dxa"/>
            <w:tcBorders/>
            <w:shd w:fill="CCEEFF" w:val="clear"/>
            <w:vAlign w:val="center"/>
          </w:tcPr>
          <w:p>
            <w:pPr>
              <w:pStyle w:val="TableContents"/>
              <w:bidi w:val="0"/>
              <w:spacing w:before="0" w:after="0"/>
              <w:ind w:left="0" w:right="0" w:hanging="0"/>
              <w:jc w:val="left"/>
              <w:rPr/>
            </w:pPr>
            <w:r>
              <w:rPr/>
              <w:t>​</w:t>
            </w:r>
          </w:p>
        </w:tc>
        <w:tc>
          <w:tcPr>
            <w:tcW w:w="34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73"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100,000</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left"/>
        <w:rPr>
          <w:rFonts w:ascii="Times New Roman;Times;serif" w:hAnsi="Times New Roman;Times;serif"/>
          <w:sz w:val="20"/>
        </w:rPr>
      </w:pPr>
      <w:bookmarkStart w:id="1415" w:name="Tc_3YAdXIINbkqM2kIFhcfHcg_8_11"/>
      <w:bookmarkStart w:id="1416" w:name="Tc_pM_b48V7_ES1rRzBqM-Jnw_8_8"/>
      <w:bookmarkStart w:id="1417" w:name="Tc_UppJcQJZvkCzOMw4nn8MSA_8_5"/>
      <w:bookmarkStart w:id="1418" w:name="Tc_U-rKDlC8nku-yPiysfJXGA_8_2"/>
      <w:bookmarkStart w:id="1419" w:name="Tc_s4ssRqJVJ0K33rQC5_3_oA_8_0"/>
      <w:bookmarkStart w:id="1420" w:name="Tc_kPGZJRR_4E2HjqxtMLlhRg_6_11"/>
      <w:bookmarkStart w:id="1421" w:name="Tc_wzsGXGOoh0aNsxv82KXKYw_6_8"/>
      <w:bookmarkStart w:id="1422" w:name="Tc_fpKl6_O9T0qQbl0s3eZseg_6_5"/>
      <w:bookmarkStart w:id="1423" w:name="Tc_l3DtFObEx0eUkIFF_7XoOw_6_2"/>
      <w:bookmarkStart w:id="1424" w:name="Tc_9IcFvyOXpE2TmotrHAklGA_6_0"/>
      <w:bookmarkStart w:id="1425" w:name="Tc_1uBtHKX6_UuXbgupk42G-w_5_0"/>
      <w:bookmarkStart w:id="1426" w:name="Tc_oBbgFoJoAka-hQIjY18BMw_4_0"/>
      <w:bookmarkStart w:id="1427" w:name="Tc_RpbZRDgV0kCJz-VVlsuaLw_3_11"/>
      <w:bookmarkStart w:id="1428" w:name="Tc_UUL1keaD4E6K6CnF8QMyCQ_3_8"/>
      <w:bookmarkStart w:id="1429" w:name="Tc_q4RiBKpXfE2c4NCbWAHtYQ_3_5"/>
      <w:bookmarkStart w:id="1430" w:name="Tc_2Jblr7FnBUOWAC_kg_rlvw_3_2"/>
      <w:bookmarkStart w:id="1431" w:name="Tc_TP5gEjg3yEGRU7h__0xBtQ_3_0"/>
      <w:bookmarkStart w:id="1432" w:name="Tc_ItJSN4TNqUGREQ7avtqnEQ_2_11"/>
      <w:bookmarkStart w:id="1433" w:name="Tc_qlmNDElxR0CXliYSgq4YqQ_2_8"/>
      <w:bookmarkStart w:id="1434" w:name="Tc_nH5Q-2snpUmR4Bv6TnQpkQ_2_5"/>
      <w:bookmarkStart w:id="1435" w:name="Tc_tM_Eb21TvECT1t6pCIPvoQ_2_2"/>
      <w:bookmarkStart w:id="1436" w:name="Tc_MSqi5-SsCUmDQjpePC1GuA_1_8"/>
      <w:bookmarkStart w:id="1437" w:name="Tc_M5XxYRcLdEmU2NQJz2YcbQ_1_2"/>
      <w:bookmarkStart w:id="1438" w:name="_a76e5768_ef1a_4639_bce5_a48a9ece102b"/>
      <w:bookmarkStart w:id="1439" w:name="Tc_L2fZLdtxi0qeHgtBS9TA2w_4_2"/>
      <w:bookmarkStart w:id="1440" w:name="Tc_0OGv7Bxh3E6ZjdQLcdALsw_4_0"/>
      <w:bookmarkStart w:id="1441" w:name="Tc_l7TOuown5UK-qbPHxJaUsg_3_0"/>
      <w:bookmarkStart w:id="1442" w:name="Tc_Zo0Wi4rwiEe98VK7-R19Gg_2_2"/>
      <w:bookmarkStart w:id="1443" w:name="Tc_BQuO68KgR0WTmEpdk0_5zQ_2_0"/>
      <w:bookmarkStart w:id="1444" w:name="Tc_2i6hNaY0XkmLJiQeVsBOMw_1_2"/>
      <w:bookmarkStart w:id="1445" w:name="_2aa53051_1d01_47c0_904e_4c7337dd095a"/>
      <w:bookmarkStart w:id="1446" w:name="Tc_0GpUI_VLWEqxgf6YAApUVQ_9_2"/>
      <w:bookmarkStart w:id="1447" w:name="Tc_SQjmOAjmiUeKh6-Ib_nQyA_9_0"/>
      <w:bookmarkStart w:id="1448" w:name="Tc_4F50tqrVcEWkJRUR-Pi3HA_8_3"/>
      <w:bookmarkStart w:id="1449" w:name="Tc_A5qO9fQPS0CZAPfF_qWNMw_8_0"/>
      <w:bookmarkStart w:id="1450" w:name="Tc_e7lOUi0IpEiirDnIQ87j5w_7_0"/>
      <w:bookmarkStart w:id="1451" w:name="Tc_rEivxDcMckes_hbvGfAD0w_6_0"/>
      <w:bookmarkStart w:id="1452" w:name="Tc_Qp2ZxByIQ0KeLY3H-kiLBw_5_0"/>
      <w:bookmarkStart w:id="1453" w:name="Tc_-L3G41SF5UqMOe1zybcD6A_4_3"/>
      <w:bookmarkStart w:id="1454" w:name="Tc_3_E6-xYXbUasrTYtnQlESg_4_0"/>
      <w:bookmarkStart w:id="1455" w:name="Tc_9sV7cbThgkGaVPxF94vMRA_3_3"/>
      <w:bookmarkStart w:id="1456" w:name="Tc_nExlj_bXkk-6hRNCr5Ty_Q_3_0"/>
      <w:bookmarkStart w:id="1457" w:name="Tc_Gqd_hi1MRk6H_-RETojBXw_2_3"/>
      <w:bookmarkStart w:id="1458" w:name="Tc_Yct2jF2lNkCp-3x8QNTF4w_2_2"/>
      <w:bookmarkStart w:id="1459" w:name="Tc_caOr_dJQqkO-I4vCOtYRng_2_0"/>
      <w:bookmarkStart w:id="1460" w:name="Tc_YFQZm1EKvEmtgiKbs3jqoQ_1_2"/>
      <w:bookmarkStart w:id="1461" w:name="Tc_zYZFVGUaDUanDGxUf6Q7xQ_1_0"/>
      <w:bookmarkStart w:id="1462" w:name="_b4206277_e1fe_40ae_bf59_217b6338544c"/>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r>
        <w:rPr>
          <w:rFonts w:ascii="Times New Roman;Times;serif" w:hAnsi="Times New Roman;Times;serif"/>
          <w:sz w:val="20"/>
        </w:rPr>
        <w:t>Payments applicable to reduction of principal amounts as of June 30, 2026 will be required as follows (in thousands):</w:t>
      </w:r>
    </w:p>
    <w:p>
      <w:pPr>
        <w:pStyle w:val="TextBody"/>
        <w:bidi w:val="0"/>
        <w:spacing w:before="0" w:after="0"/>
        <w:ind w:left="0" w:right="0" w:firstLine="360"/>
        <w:jc w:val="both"/>
        <w:rPr/>
      </w:pPr>
      <w:r>
        <w:rPr/>
        <w:t>​</w:t>
      </w:r>
    </w:p>
    <w:tbl>
      <w:tblPr>
        <w:tblW w:w="4219" w:type="dxa"/>
        <w:jc w:val="left"/>
        <w:tblInd w:w="0" w:type="dxa"/>
        <w:tblLayout w:type="fixed"/>
        <w:tblCellMar>
          <w:top w:w="0" w:type="dxa"/>
          <w:left w:w="0" w:type="dxa"/>
          <w:bottom w:w="0" w:type="dxa"/>
          <w:right w:w="0" w:type="dxa"/>
        </w:tblCellMar>
      </w:tblPr>
      <w:tblGrid>
        <w:gridCol w:w="3001"/>
        <w:gridCol w:w="109"/>
        <w:gridCol w:w="211"/>
        <w:gridCol w:w="898"/>
      </w:tblGrid>
      <w:tr>
        <w:trPr/>
        <w:tc>
          <w:tcPr>
            <w:tcW w:w="30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69215" cy="175260"/>
                      <wp:effectExtent l="0" t="0" r="0" b="0"/>
                      <wp:wrapNone/>
                      <wp:docPr id="294" name="Frame29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133985" cy="175260"/>
                      <wp:effectExtent l="0" t="0" r="0" b="0"/>
                      <wp:wrapNone/>
                      <wp:docPr id="295" name="Frame29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570230" cy="175260"/>
                      <wp:effectExtent l="0" t="0" r="0" b="0"/>
                      <wp:wrapNone/>
                      <wp:docPr id="296" name="Frame296"/>
                      <a:graphic xmlns:a="http://schemas.openxmlformats.org/drawingml/2006/main">
                        <a:graphicData uri="http://schemas.microsoft.com/office/word/2010/wordprocessingShape">
                          <wps:wsp>
                            <wps:cNvSpPr txBox="1"/>
                            <wps:spPr>
                              <a:xfrm>
                                <a:off x="0" y="0"/>
                                <a:ext cx="5702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0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Year Ending December 31,</w:t>
            </w:r>
          </w:p>
        </w:tc>
        <w:tc>
          <w:tcPr>
            <w:tcW w:w="109" w:type="dxa"/>
            <w:tcBorders/>
            <w:vAlign w:val="center"/>
          </w:tcPr>
          <w:p>
            <w:pPr>
              <w:pStyle w:val="TableContents"/>
              <w:bidi w:val="0"/>
              <w:spacing w:before="0" w:after="0"/>
              <w:ind w:left="0" w:right="0" w:hanging="0"/>
              <w:jc w:val="left"/>
              <w:rPr/>
            </w:pPr>
            <w:r>
              <w:rPr/>
              <w:t>​</w:t>
            </w:r>
          </w:p>
        </w:tc>
        <w:tc>
          <w:tcPr>
            <w:tcW w:w="110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Amount </w:t>
            </w:r>
          </w:p>
        </w:tc>
      </w:tr>
      <w:tr>
        <w:trPr/>
        <w:tc>
          <w:tcPr>
            <w:tcW w:w="30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Remainder of 2026</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shd w:fill="CCEEFF" w:val="clear"/>
            <w:vAlign w:val="center"/>
          </w:tcPr>
          <w:p>
            <w:pPr>
              <w:pStyle w:val="TableContents"/>
              <w:bidi w:val="0"/>
              <w:spacing w:before="0" w:after="0"/>
              <w:ind w:left="0" w:right="0" w:hanging="0"/>
              <w:jc w:val="right"/>
              <w:rPr/>
            </w:pPr>
            <w:r>
              <w:rPr/>
              <w:t>—</w:t>
            </w:r>
          </w:p>
        </w:tc>
      </w:tr>
      <w:tr>
        <w:trPr/>
        <w:tc>
          <w:tcPr>
            <w:tcW w:w="3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98" w:type="dxa"/>
            <w:tcBorders/>
            <w:vAlign w:val="center"/>
          </w:tcPr>
          <w:p>
            <w:pPr>
              <w:pStyle w:val="TableContents"/>
              <w:bidi w:val="0"/>
              <w:spacing w:before="0" w:after="0"/>
              <w:ind w:left="0" w:right="0" w:hanging="0"/>
              <w:jc w:val="right"/>
              <w:rPr/>
            </w:pPr>
            <w:r>
              <w:rPr/>
              <w:t>—</w:t>
            </w:r>
          </w:p>
        </w:tc>
      </w:tr>
      <w:tr>
        <w:trPr/>
        <w:tc>
          <w:tcPr>
            <w:tcW w:w="30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98" w:type="dxa"/>
            <w:tcBorders/>
            <w:shd w:fill="CCEEFF" w:val="clear"/>
            <w:vAlign w:val="center"/>
          </w:tcPr>
          <w:p>
            <w:pPr>
              <w:pStyle w:val="TableContents"/>
              <w:bidi w:val="0"/>
              <w:spacing w:before="0" w:after="0"/>
              <w:ind w:left="0" w:right="0" w:hanging="0"/>
              <w:jc w:val="right"/>
              <w:rPr/>
            </w:pPr>
            <w:r>
              <w:rPr/>
              <w:t>—</w:t>
            </w:r>
          </w:p>
        </w:tc>
      </w:tr>
      <w:tr>
        <w:trPr/>
        <w:tc>
          <w:tcPr>
            <w:tcW w:w="3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100,000</w:t>
            </w:r>
          </w:p>
        </w:tc>
      </w:tr>
      <w:tr>
        <w:trPr/>
        <w:tc>
          <w:tcPr>
            <w:tcW w:w="30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169,500</w:t>
            </w:r>
          </w:p>
        </w:tc>
      </w:tr>
      <w:tr>
        <w:trPr/>
        <w:tc>
          <w:tcPr>
            <w:tcW w:w="3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2031</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100,000</w:t>
            </w:r>
          </w:p>
        </w:tc>
      </w:tr>
      <w:tr>
        <w:trPr/>
        <w:tc>
          <w:tcPr>
            <w:tcW w:w="30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2032 and Thereafter</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9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3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Long-Term Debt - Face Value</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bottom w:val="double" w:sz="6" w:space="0" w:color="000000"/>
            </w:tcBorders>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369,500</w:t>
            </w:r>
          </w:p>
        </w:tc>
      </w:tr>
    </w:tbl>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carrying value of long-term debt as of June 30, 2026 consisted of the following (in thousands):</w:t>
      </w:r>
    </w:p>
    <w:p>
      <w:pPr>
        <w:pStyle w:val="TextBody"/>
        <w:bidi w:val="0"/>
        <w:spacing w:before="0" w:after="0"/>
        <w:ind w:left="0" w:right="0" w:firstLine="360"/>
        <w:jc w:val="both"/>
        <w:rPr/>
      </w:pPr>
      <w:r>
        <w:rPr/>
        <w:t>​</w:t>
      </w:r>
    </w:p>
    <w:tbl>
      <w:tblPr>
        <w:tblW w:w="5464" w:type="dxa"/>
        <w:jc w:val="left"/>
        <w:tblInd w:w="0" w:type="dxa"/>
        <w:tblLayout w:type="fixed"/>
        <w:tblCellMar>
          <w:top w:w="0" w:type="dxa"/>
          <w:left w:w="0" w:type="dxa"/>
          <w:bottom w:w="0" w:type="dxa"/>
          <w:right w:w="0" w:type="dxa"/>
        </w:tblCellMar>
      </w:tblPr>
      <w:tblGrid>
        <w:gridCol w:w="4246"/>
        <w:gridCol w:w="109"/>
        <w:gridCol w:w="211"/>
        <w:gridCol w:w="898"/>
      </w:tblGrid>
      <w:tr>
        <w:trPr/>
        <w:tc>
          <w:tcPr>
            <w:tcW w:w="42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69215" cy="175260"/>
                      <wp:effectExtent l="0" t="0" r="0" b="0"/>
                      <wp:wrapNone/>
                      <wp:docPr id="297" name="Frame29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133985" cy="175260"/>
                      <wp:effectExtent l="0" t="0" r="0" b="0"/>
                      <wp:wrapNone/>
                      <wp:docPr id="298" name="Frame29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570230" cy="175260"/>
                      <wp:effectExtent l="0" t="0" r="0" b="0"/>
                      <wp:wrapNone/>
                      <wp:docPr id="299" name="Frame299"/>
                      <a:graphic xmlns:a="http://schemas.openxmlformats.org/drawingml/2006/main">
                        <a:graphicData uri="http://schemas.microsoft.com/office/word/2010/wordprocessingShape">
                          <wps:wsp>
                            <wps:cNvSpPr txBox="1"/>
                            <wps:spPr>
                              <a:xfrm>
                                <a:off x="0" y="0"/>
                                <a:ext cx="5702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4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10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Total </w:t>
            </w:r>
          </w:p>
        </w:tc>
      </w:tr>
      <w:tr>
        <w:trPr/>
        <w:tc>
          <w:tcPr>
            <w:tcW w:w="42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Face Amount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369,500</w:t>
            </w:r>
          </w:p>
        </w:tc>
      </w:tr>
      <w:tr>
        <w:trPr/>
        <w:tc>
          <w:tcPr>
            <w:tcW w:w="42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Financing Costs, net of Accumulated Amortization</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9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(1,948)</w:t>
            </w:r>
          </w:p>
        </w:tc>
      </w:tr>
      <w:tr>
        <w:trPr/>
        <w:tc>
          <w:tcPr>
            <w:tcW w:w="42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Long-Term Debt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367,552</w:t>
            </w:r>
          </w:p>
        </w:tc>
      </w:tr>
    </w:tbl>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In addition to the $1.9 million of financing costs, net of accumulated amortization included in the table above, as of June 30, 2026, the Company also had financing costs, net of accumulated amortization related to the Revolving Facility of $2.5 million which is included in other assets on the consolidated balance sheets. These costs are amortized on a straight-line basis over the term of the Revolving Facility and are included in interest expense in the consolidated statements of operations. </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following table reflects a summary of interest expense incurred and paid during the three and six months ended June 30, 2026 and 2025 (in thousands):</w:t>
      </w:r>
    </w:p>
    <w:p>
      <w:pPr>
        <w:pStyle w:val="TextBody"/>
        <w:bidi w:val="0"/>
        <w:spacing w:before="0" w:after="0"/>
        <w:ind w:left="0" w:right="0" w:firstLine="360"/>
        <w:jc w:val="both"/>
        <w:rPr/>
      </w:pPr>
      <w:r>
        <w:rPr/>
        <w:t>​</w:t>
      </w:r>
    </w:p>
    <w:tbl>
      <w:tblPr>
        <w:tblW w:w="10205" w:type="dxa"/>
        <w:jc w:val="left"/>
        <w:tblInd w:w="0" w:type="dxa"/>
        <w:tblLayout w:type="fixed"/>
        <w:tblCellMar>
          <w:top w:w="0" w:type="dxa"/>
          <w:left w:w="0" w:type="dxa"/>
          <w:bottom w:w="0" w:type="dxa"/>
          <w:right w:w="0" w:type="dxa"/>
        </w:tblCellMar>
      </w:tblPr>
      <w:tblGrid>
        <w:gridCol w:w="4842"/>
        <w:gridCol w:w="109"/>
        <w:gridCol w:w="329"/>
        <w:gridCol w:w="886"/>
        <w:gridCol w:w="120"/>
        <w:gridCol w:w="329"/>
        <w:gridCol w:w="886"/>
        <w:gridCol w:w="109"/>
        <w:gridCol w:w="326"/>
        <w:gridCol w:w="889"/>
        <w:gridCol w:w="109"/>
        <w:gridCol w:w="297"/>
        <w:gridCol w:w="974"/>
      </w:tblGrid>
      <w:tr>
        <w:trPr/>
        <w:tc>
          <w:tcPr>
            <w:tcW w:w="484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69215" cy="175260"/>
                      <wp:effectExtent l="0" t="0" r="0" b="0"/>
                      <wp:wrapNone/>
                      <wp:docPr id="300" name="Frame30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208915" cy="175260"/>
                      <wp:effectExtent l="0" t="0" r="0" b="0"/>
                      <wp:wrapNone/>
                      <wp:docPr id="301" name="Frame301"/>
                      <a:graphic xmlns:a="http://schemas.openxmlformats.org/drawingml/2006/main">
                        <a:graphicData uri="http://schemas.microsoft.com/office/word/2010/wordprocessingShape">
                          <wps:wsp>
                            <wps:cNvSpPr txBox="1"/>
                            <wps:spPr>
                              <a:xfrm>
                                <a:off x="0" y="0"/>
                                <a:ext cx="2089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562610" cy="175260"/>
                      <wp:effectExtent l="0" t="0" r="0" b="0"/>
                      <wp:wrapNone/>
                      <wp:docPr id="302" name="Frame302"/>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76200" cy="175260"/>
                      <wp:effectExtent l="0" t="0" r="0" b="0"/>
                      <wp:wrapNone/>
                      <wp:docPr id="303" name="Frame303"/>
                      <a:graphic xmlns:a="http://schemas.openxmlformats.org/drawingml/2006/main">
                        <a:graphicData uri="http://schemas.microsoft.com/office/word/2010/wordprocessingShape">
                          <wps:wsp>
                            <wps:cNvSpPr txBox="1"/>
                            <wps:spPr>
                              <a:xfrm>
                                <a:off x="0" y="0"/>
                                <a:ext cx="762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208915" cy="175260"/>
                      <wp:effectExtent l="0" t="0" r="0" b="0"/>
                      <wp:wrapNone/>
                      <wp:docPr id="304" name="Frame304"/>
                      <a:graphic xmlns:a="http://schemas.openxmlformats.org/drawingml/2006/main">
                        <a:graphicData uri="http://schemas.microsoft.com/office/word/2010/wordprocessingShape">
                          <wps:wsp>
                            <wps:cNvSpPr txBox="1"/>
                            <wps:spPr>
                              <a:xfrm>
                                <a:off x="0" y="0"/>
                                <a:ext cx="2089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562610" cy="175260"/>
                      <wp:effectExtent l="0" t="0" r="0" b="0"/>
                      <wp:wrapNone/>
                      <wp:docPr id="305" name="Frame305"/>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69215" cy="175260"/>
                      <wp:effectExtent l="0" t="0" r="0" b="0"/>
                      <wp:wrapNone/>
                      <wp:docPr id="306" name="Frame30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207010" cy="175260"/>
                      <wp:effectExtent l="0" t="0" r="0" b="0"/>
                      <wp:wrapNone/>
                      <wp:docPr id="307" name="Frame30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564515" cy="175260"/>
                      <wp:effectExtent l="0" t="0" r="0" b="0"/>
                      <wp:wrapNone/>
                      <wp:docPr id="308" name="Frame308"/>
                      <a:graphic xmlns:a="http://schemas.openxmlformats.org/drawingml/2006/main">
                        <a:graphicData uri="http://schemas.microsoft.com/office/word/2010/wordprocessingShape">
                          <wps:wsp>
                            <wps:cNvSpPr txBox="1"/>
                            <wps:spPr>
                              <a:xfrm>
                                <a:off x="0" y="0"/>
                                <a:ext cx="5645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69215" cy="175260"/>
                      <wp:effectExtent l="0" t="0" r="0" b="0"/>
                      <wp:wrapNone/>
                      <wp:docPr id="309" name="Frame30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188595" cy="175260"/>
                      <wp:effectExtent l="0" t="0" r="0" b="0"/>
                      <wp:wrapNone/>
                      <wp:docPr id="310" name="Frame310"/>
                      <a:graphic xmlns:a="http://schemas.openxmlformats.org/drawingml/2006/main">
                        <a:graphicData uri="http://schemas.microsoft.com/office/word/2010/wordprocessingShape">
                          <wps:wsp>
                            <wps:cNvSpPr txBox="1"/>
                            <wps:spPr>
                              <a:xfrm>
                                <a:off x="0" y="0"/>
                                <a:ext cx="1885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618490" cy="175260"/>
                      <wp:effectExtent l="0" t="0" r="0" b="0"/>
                      <wp:wrapNone/>
                      <wp:docPr id="311" name="Frame311"/>
                      <a:graphic xmlns:a="http://schemas.openxmlformats.org/drawingml/2006/main">
                        <a:graphicData uri="http://schemas.microsoft.com/office/word/2010/wordprocessingShape">
                          <wps:wsp>
                            <wps:cNvSpPr txBox="1"/>
                            <wps:spPr>
                              <a:xfrm>
                                <a:off x="0" y="0"/>
                                <a:ext cx="6184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84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55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Three Months Ended</w:t>
            </w:r>
          </w:p>
        </w:tc>
        <w:tc>
          <w:tcPr>
            <w:tcW w:w="109" w:type="dxa"/>
            <w:tcBorders/>
            <w:vAlign w:val="center"/>
          </w:tcPr>
          <w:p>
            <w:pPr>
              <w:pStyle w:val="TableContents"/>
              <w:bidi w:val="0"/>
              <w:spacing w:before="0" w:after="0"/>
              <w:ind w:left="0" w:right="0" w:hanging="0"/>
              <w:jc w:val="left"/>
              <w:rPr/>
            </w:pPr>
            <w:r>
              <w:rPr/>
              <w:t>​</w:t>
            </w:r>
          </w:p>
        </w:tc>
        <w:tc>
          <w:tcPr>
            <w:tcW w:w="259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Six Months Ended</w:t>
            </w:r>
          </w:p>
        </w:tc>
      </w:tr>
      <w:tr>
        <w:trPr/>
        <w:tc>
          <w:tcPr>
            <w:tcW w:w="484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2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2026</w:t>
            </w:r>
          </w:p>
        </w:tc>
        <w:tc>
          <w:tcPr>
            <w:tcW w:w="120" w:type="dxa"/>
            <w:tcBorders/>
            <w:vAlign w:val="center"/>
          </w:tcPr>
          <w:p>
            <w:pPr>
              <w:pStyle w:val="TableContents"/>
              <w:bidi w:val="0"/>
              <w:spacing w:before="0" w:after="0"/>
              <w:ind w:left="0" w:right="0" w:hanging="0"/>
              <w:jc w:val="left"/>
              <w:rPr/>
            </w:pPr>
            <w:r>
              <w:rPr/>
              <w:t>​</w:t>
            </w:r>
          </w:p>
        </w:tc>
        <w:tc>
          <w:tcPr>
            <w:tcW w:w="12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2025</w:t>
            </w:r>
          </w:p>
        </w:tc>
        <w:tc>
          <w:tcPr>
            <w:tcW w:w="109" w:type="dxa"/>
            <w:tcBorders/>
            <w:vAlign w:val="center"/>
          </w:tcPr>
          <w:p>
            <w:pPr>
              <w:pStyle w:val="TableContents"/>
              <w:bidi w:val="0"/>
              <w:spacing w:before="0" w:after="0"/>
              <w:ind w:left="0" w:right="0" w:hanging="0"/>
              <w:jc w:val="left"/>
              <w:rPr/>
            </w:pPr>
            <w:r>
              <w:rPr/>
              <w:t>​</w:t>
            </w:r>
          </w:p>
        </w:tc>
        <w:tc>
          <w:tcPr>
            <w:tcW w:w="12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2026</w:t>
            </w:r>
          </w:p>
        </w:tc>
        <w:tc>
          <w:tcPr>
            <w:tcW w:w="109" w:type="dxa"/>
            <w:tcBorders/>
            <w:vAlign w:val="center"/>
          </w:tcPr>
          <w:p>
            <w:pPr>
              <w:pStyle w:val="TableContents"/>
              <w:bidi w:val="0"/>
              <w:spacing w:before="0" w:after="0"/>
              <w:ind w:left="0" w:right="0" w:hanging="0"/>
              <w:jc w:val="left"/>
              <w:rPr/>
            </w:pPr>
            <w:r>
              <w:rPr/>
              <w:t>​</w:t>
            </w:r>
          </w:p>
        </w:tc>
        <w:tc>
          <w:tcPr>
            <w:tcW w:w="12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2025</w:t>
            </w:r>
          </w:p>
        </w:tc>
      </w:tr>
      <w:tr>
        <w:trPr/>
        <w:tc>
          <w:tcPr>
            <w:tcW w:w="48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109" w:type="dxa"/>
            <w:tcBorders/>
            <w:shd w:fill="CCEEFF" w:val="clear"/>
            <w:vAlign w:val="center"/>
          </w:tcPr>
          <w:p>
            <w:pPr>
              <w:pStyle w:val="TableContents"/>
              <w:bidi w:val="0"/>
              <w:spacing w:before="0" w:after="0"/>
              <w:ind w:left="0" w:right="0" w:hanging="0"/>
              <w:jc w:val="left"/>
              <w:rPr/>
            </w:pPr>
            <w:r>
              <w:rPr/>
              <w:t>​</w:t>
            </w:r>
          </w:p>
        </w:tc>
        <w:tc>
          <w:tcPr>
            <w:tcW w:w="32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3,766</w:t>
            </w:r>
          </w:p>
        </w:tc>
        <w:tc>
          <w:tcPr>
            <w:tcW w:w="120" w:type="dxa"/>
            <w:tcBorders/>
            <w:shd w:fill="CCEEFF" w:val="clear"/>
            <w:vAlign w:val="center"/>
          </w:tcPr>
          <w:p>
            <w:pPr>
              <w:pStyle w:val="TableContents"/>
              <w:bidi w:val="0"/>
              <w:spacing w:before="0" w:after="0"/>
              <w:ind w:left="0" w:right="0" w:hanging="0"/>
              <w:jc w:val="left"/>
              <w:rPr/>
            </w:pPr>
            <w:r>
              <w:rPr/>
              <w:t>​</w:t>
            </w:r>
          </w:p>
        </w:tc>
        <w:tc>
          <w:tcPr>
            <w:tcW w:w="32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3,965</w:t>
            </w:r>
          </w:p>
        </w:tc>
        <w:tc>
          <w:tcPr>
            <w:tcW w:w="10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7,544</w:t>
            </w:r>
          </w:p>
        </w:tc>
        <w:tc>
          <w:tcPr>
            <w:tcW w:w="109" w:type="dxa"/>
            <w:tcBorders/>
            <w:shd w:fill="CCEEFF" w:val="clear"/>
            <w:vAlign w:val="center"/>
          </w:tcPr>
          <w:p>
            <w:pPr>
              <w:pStyle w:val="TableContents"/>
              <w:bidi w:val="0"/>
              <w:spacing w:before="0" w:after="0"/>
              <w:ind w:left="0" w:right="0" w:hanging="0"/>
              <w:jc w:val="left"/>
              <w:rPr/>
            </w:pPr>
            <w:r>
              <w:rPr/>
              <w:t>​</w:t>
            </w:r>
          </w:p>
        </w:tc>
        <w:tc>
          <w:tcPr>
            <w:tcW w:w="29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7,153</w:t>
            </w:r>
          </w:p>
        </w:tc>
      </w:tr>
      <w:tr>
        <w:trPr/>
        <w:tc>
          <w:tcPr>
            <w:tcW w:w="48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 from Obligation Under Participation Agreement</w:t>
            </w:r>
          </w:p>
        </w:tc>
        <w:tc>
          <w:tcPr>
            <w:tcW w:w="109" w:type="dxa"/>
            <w:tcBorders/>
            <w:vAlign w:val="center"/>
          </w:tcPr>
          <w:p>
            <w:pPr>
              <w:pStyle w:val="TableContents"/>
              <w:bidi w:val="0"/>
              <w:spacing w:before="0" w:after="0"/>
              <w:ind w:left="0" w:right="0" w:hanging="0"/>
              <w:jc w:val="left"/>
              <w:rPr/>
            </w:pPr>
            <w:r>
              <w:rPr/>
              <w:t>​</w:t>
            </w:r>
          </w:p>
        </w:tc>
        <w:tc>
          <w:tcPr>
            <w:tcW w:w="329"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510</w:t>
            </w:r>
          </w:p>
        </w:tc>
        <w:tc>
          <w:tcPr>
            <w:tcW w:w="120" w:type="dxa"/>
            <w:tcBorders/>
            <w:vAlign w:val="center"/>
          </w:tcPr>
          <w:p>
            <w:pPr>
              <w:pStyle w:val="TableContents"/>
              <w:bidi w:val="0"/>
              <w:spacing w:before="0" w:after="0"/>
              <w:ind w:left="0" w:right="0" w:hanging="0"/>
              <w:jc w:val="left"/>
              <w:rPr/>
            </w:pPr>
            <w:r>
              <w:rPr/>
              <w:t>​</w:t>
            </w:r>
          </w:p>
        </w:tc>
        <w:tc>
          <w:tcPr>
            <w:tcW w:w="329"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w:t>
            </w:r>
          </w:p>
        </w:tc>
        <w:tc>
          <w:tcPr>
            <w:tcW w:w="10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820</w:t>
            </w:r>
          </w:p>
        </w:tc>
        <w:tc>
          <w:tcPr>
            <w:tcW w:w="109" w:type="dxa"/>
            <w:tcBorders/>
            <w:vAlign w:val="center"/>
          </w:tcPr>
          <w:p>
            <w:pPr>
              <w:pStyle w:val="TableContents"/>
              <w:bidi w:val="0"/>
              <w:spacing w:before="0" w:after="0"/>
              <w:ind w:left="0" w:right="0" w:hanging="0"/>
              <w:jc w:val="left"/>
              <w:rPr/>
            </w:pPr>
            <w:r>
              <w:rPr/>
              <w:t>​</w:t>
            </w:r>
          </w:p>
        </w:tc>
        <w:tc>
          <w:tcPr>
            <w:tcW w:w="297"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365</w:t>
            </w:r>
          </w:p>
        </w:tc>
      </w:tr>
      <w:tr>
        <w:trPr/>
        <w:tc>
          <w:tcPr>
            <w:tcW w:w="48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Deferred Financing Costs to Interest Expense</w:t>
            </w:r>
          </w:p>
        </w:tc>
        <w:tc>
          <w:tcPr>
            <w:tcW w:w="109" w:type="dxa"/>
            <w:tcBorders/>
            <w:shd w:fill="CCEEFF" w:val="clear"/>
            <w:vAlign w:val="center"/>
          </w:tcPr>
          <w:p>
            <w:pPr>
              <w:pStyle w:val="TableContents"/>
              <w:bidi w:val="0"/>
              <w:spacing w:before="0" w:after="0"/>
              <w:ind w:left="0" w:right="0" w:hanging="0"/>
              <w:jc w:val="left"/>
              <w:rPr/>
            </w:pPr>
            <w:r>
              <w:rPr/>
              <w:t>​</w:t>
            </w:r>
          </w:p>
        </w:tc>
        <w:tc>
          <w:tcPr>
            <w:tcW w:w="32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303</w:t>
            </w:r>
          </w:p>
        </w:tc>
        <w:tc>
          <w:tcPr>
            <w:tcW w:w="120" w:type="dxa"/>
            <w:tcBorders/>
            <w:shd w:fill="CCEEFF" w:val="clear"/>
            <w:vAlign w:val="center"/>
          </w:tcPr>
          <w:p>
            <w:pPr>
              <w:pStyle w:val="TableContents"/>
              <w:bidi w:val="0"/>
              <w:spacing w:before="0" w:after="0"/>
              <w:ind w:left="0" w:right="0" w:hanging="0"/>
              <w:jc w:val="left"/>
              <w:rPr/>
            </w:pPr>
            <w:r>
              <w:rPr/>
              <w:t>​</w:t>
            </w:r>
          </w:p>
        </w:tc>
        <w:tc>
          <w:tcPr>
            <w:tcW w:w="32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205</w:t>
            </w:r>
          </w:p>
        </w:tc>
        <w:tc>
          <w:tcPr>
            <w:tcW w:w="109" w:type="dxa"/>
            <w:tcBorders/>
            <w:shd w:fill="CCEEFF" w:val="clear"/>
            <w:vAlign w:val="center"/>
          </w:tcPr>
          <w:p>
            <w:pPr>
              <w:pStyle w:val="TableContents"/>
              <w:bidi w:val="0"/>
              <w:spacing w:before="0" w:after="0"/>
              <w:ind w:left="0" w:right="0" w:hanging="0"/>
              <w:jc w:val="left"/>
              <w:rPr/>
            </w:pPr>
            <w:r>
              <w:rPr/>
              <w:t>​</w:t>
            </w:r>
          </w:p>
        </w:tc>
        <w:tc>
          <w:tcPr>
            <w:tcW w:w="3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568</w:t>
            </w:r>
          </w:p>
        </w:tc>
        <w:tc>
          <w:tcPr>
            <w:tcW w:w="109" w:type="dxa"/>
            <w:tcBorders/>
            <w:shd w:fill="CCEEFF" w:val="clear"/>
            <w:vAlign w:val="center"/>
          </w:tcPr>
          <w:p>
            <w:pPr>
              <w:pStyle w:val="TableContents"/>
              <w:bidi w:val="0"/>
              <w:spacing w:before="0" w:after="0"/>
              <w:ind w:left="0" w:right="0" w:hanging="0"/>
              <w:jc w:val="left"/>
              <w:rPr/>
            </w:pPr>
            <w:r>
              <w:rPr/>
              <w:t>​</w:t>
            </w:r>
          </w:p>
        </w:tc>
        <w:tc>
          <w:tcPr>
            <w:tcW w:w="29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394</w:t>
            </w:r>
          </w:p>
        </w:tc>
      </w:tr>
      <w:tr>
        <w:trPr/>
        <w:tc>
          <w:tcPr>
            <w:tcW w:w="48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Interest Expense</w:t>
            </w:r>
          </w:p>
        </w:tc>
        <w:tc>
          <w:tcPr>
            <w:tcW w:w="109" w:type="dxa"/>
            <w:tcBorders/>
            <w:vAlign w:val="center"/>
          </w:tcPr>
          <w:p>
            <w:pPr>
              <w:pStyle w:val="TableContents"/>
              <w:bidi w:val="0"/>
              <w:spacing w:before="0" w:after="0"/>
              <w:ind w:left="0" w:right="0" w:hanging="0"/>
              <w:jc w:val="left"/>
              <w:rPr/>
            </w:pPr>
            <w:r>
              <w:rPr/>
              <w:t>​</w:t>
            </w:r>
          </w:p>
        </w:tc>
        <w:tc>
          <w:tcPr>
            <w:tcW w:w="32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4,579</w:t>
            </w:r>
          </w:p>
        </w:tc>
        <w:tc>
          <w:tcPr>
            <w:tcW w:w="120" w:type="dxa"/>
            <w:tcBorders/>
            <w:vAlign w:val="center"/>
          </w:tcPr>
          <w:p>
            <w:pPr>
              <w:pStyle w:val="TableContents"/>
              <w:bidi w:val="0"/>
              <w:spacing w:before="0" w:after="0"/>
              <w:ind w:left="0" w:right="0" w:hanging="0"/>
              <w:jc w:val="left"/>
              <w:rPr/>
            </w:pPr>
            <w:r>
              <w:rPr/>
              <w:t>​</w:t>
            </w:r>
          </w:p>
        </w:tc>
        <w:tc>
          <w:tcPr>
            <w:tcW w:w="32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4,320</w:t>
            </w:r>
          </w:p>
        </w:tc>
        <w:tc>
          <w:tcPr>
            <w:tcW w:w="109" w:type="dxa"/>
            <w:tcBorders/>
            <w:vAlign w:val="center"/>
          </w:tcPr>
          <w:p>
            <w:pPr>
              <w:pStyle w:val="TableContents"/>
              <w:bidi w:val="0"/>
              <w:spacing w:before="0" w:after="0"/>
              <w:ind w:left="0" w:right="0" w:hanging="0"/>
              <w:jc w:val="left"/>
              <w:rPr/>
            </w:pPr>
            <w:r>
              <w:rPr/>
              <w:t>​</w:t>
            </w:r>
          </w:p>
        </w:tc>
        <w:tc>
          <w:tcPr>
            <w:tcW w:w="32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8,932</w:t>
            </w:r>
          </w:p>
        </w:tc>
        <w:tc>
          <w:tcPr>
            <w:tcW w:w="109" w:type="dxa"/>
            <w:tcBorders/>
            <w:vAlign w:val="center"/>
          </w:tcPr>
          <w:p>
            <w:pPr>
              <w:pStyle w:val="TableContents"/>
              <w:bidi w:val="0"/>
              <w:spacing w:before="0" w:after="0"/>
              <w:ind w:left="0" w:right="0" w:hanging="0"/>
              <w:jc w:val="left"/>
              <w:rPr/>
            </w:pPr>
            <w:r>
              <w:rPr/>
              <w:t>​</w:t>
            </w:r>
          </w:p>
        </w:tc>
        <w:tc>
          <w:tcPr>
            <w:tcW w:w="29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7,912</w:t>
            </w:r>
          </w:p>
        </w:tc>
      </w:tr>
      <w:tr>
        <w:trPr/>
        <w:tc>
          <w:tcPr>
            <w:tcW w:w="4842"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29"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left"/>
              <w:rPr/>
            </w:pPr>
            <w:r>
              <w:rPr/>
              <w:t>​</w:t>
            </w:r>
          </w:p>
        </w:tc>
        <w:tc>
          <w:tcPr>
            <w:tcW w:w="120" w:type="dxa"/>
            <w:tcBorders/>
            <w:shd w:fill="CCEEFF" w:val="clear"/>
            <w:vAlign w:val="center"/>
          </w:tcPr>
          <w:p>
            <w:pPr>
              <w:pStyle w:val="TableContents"/>
              <w:bidi w:val="0"/>
              <w:spacing w:before="0" w:after="0"/>
              <w:ind w:left="0" w:right="0" w:hanging="0"/>
              <w:jc w:val="left"/>
              <w:rPr/>
            </w:pPr>
            <w:r>
              <w:rPr/>
              <w:t>​</w:t>
            </w:r>
          </w:p>
        </w:tc>
        <w:tc>
          <w:tcPr>
            <w:tcW w:w="329"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8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9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left"/>
              <w:rPr/>
            </w:pPr>
            <w:r>
              <w:rPr/>
              <w:t>​</w:t>
            </w:r>
          </w:p>
        </w:tc>
      </w:tr>
      <w:tr>
        <w:trPr/>
        <w:tc>
          <w:tcPr>
            <w:tcW w:w="48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Interest Paid</w:t>
            </w:r>
          </w:p>
        </w:tc>
        <w:tc>
          <w:tcPr>
            <w:tcW w:w="109" w:type="dxa"/>
            <w:tcBorders/>
            <w:vAlign w:val="center"/>
          </w:tcPr>
          <w:p>
            <w:pPr>
              <w:pStyle w:val="TableContents"/>
              <w:bidi w:val="0"/>
              <w:spacing w:before="0" w:after="0"/>
              <w:ind w:left="0" w:right="0" w:hanging="0"/>
              <w:jc w:val="left"/>
              <w:rPr/>
            </w:pPr>
            <w:r>
              <w:rPr/>
              <w:t>​</w:t>
            </w:r>
          </w:p>
        </w:tc>
        <w:tc>
          <w:tcPr>
            <w:tcW w:w="32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4,240</w:t>
            </w:r>
          </w:p>
        </w:tc>
        <w:tc>
          <w:tcPr>
            <w:tcW w:w="120" w:type="dxa"/>
            <w:tcBorders/>
            <w:vAlign w:val="center"/>
          </w:tcPr>
          <w:p>
            <w:pPr>
              <w:pStyle w:val="TableContents"/>
              <w:bidi w:val="0"/>
              <w:spacing w:before="0" w:after="0"/>
              <w:ind w:left="0" w:right="0" w:hanging="0"/>
              <w:jc w:val="left"/>
              <w:rPr/>
            </w:pPr>
            <w:r>
              <w:rPr/>
              <w:t>​</w:t>
            </w:r>
          </w:p>
        </w:tc>
        <w:tc>
          <w:tcPr>
            <w:tcW w:w="32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3,510</w:t>
            </w:r>
          </w:p>
        </w:tc>
        <w:tc>
          <w:tcPr>
            <w:tcW w:w="109" w:type="dxa"/>
            <w:tcBorders/>
            <w:vAlign w:val="center"/>
          </w:tcPr>
          <w:p>
            <w:pPr>
              <w:pStyle w:val="TableContents"/>
              <w:bidi w:val="0"/>
              <w:spacing w:before="0" w:after="0"/>
              <w:ind w:left="0" w:right="0" w:hanging="0"/>
              <w:jc w:val="left"/>
              <w:rPr/>
            </w:pPr>
            <w:r>
              <w:rPr/>
              <w:t>​</w:t>
            </w:r>
          </w:p>
        </w:tc>
        <w:tc>
          <w:tcPr>
            <w:tcW w:w="32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9,057</w:t>
            </w:r>
          </w:p>
        </w:tc>
        <w:tc>
          <w:tcPr>
            <w:tcW w:w="109" w:type="dxa"/>
            <w:tcBorders/>
            <w:vAlign w:val="center"/>
          </w:tcPr>
          <w:p>
            <w:pPr>
              <w:pStyle w:val="TableContents"/>
              <w:bidi w:val="0"/>
              <w:spacing w:before="0" w:after="0"/>
              <w:ind w:left="0" w:right="0" w:hanging="0"/>
              <w:jc w:val="left"/>
              <w:rPr/>
            </w:pPr>
            <w:r>
              <w:rPr/>
              <w:t>​</w:t>
            </w:r>
          </w:p>
        </w:tc>
        <w:tc>
          <w:tcPr>
            <w:tcW w:w="29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4" w:type="dxa"/>
            <w:tcBorders>
              <w:bottom w:val="double" w:sz="6" w:space="0" w:color="000000"/>
            </w:tcBorders>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6,683</w:t>
            </w:r>
          </w:p>
        </w:tc>
      </w:tr>
    </w:tbl>
    <w:p>
      <w:pPr>
        <w:pStyle w:val="TextBody"/>
        <w:bidi w:val="0"/>
        <w:spacing w:before="0" w:after="0"/>
        <w:ind w:left="0" w:right="0" w:firstLine="360"/>
        <w:jc w:val="both"/>
        <w:rPr/>
      </w:pPr>
      <w:r>
        <w:rPr/>
        <w:t>​</w:t>
      </w:r>
    </w:p>
    <w:p>
      <w:pPr>
        <w:pStyle w:val="TextBody"/>
        <w:bidi w:val="0"/>
        <w:spacing w:before="0" w:after="0"/>
        <w:ind w:left="0" w:right="0" w:firstLine="360"/>
        <w:jc w:val="both"/>
        <w:rPr/>
      </w:pPr>
      <w:r>
        <w:rPr/>
        <w:t>​</w:t>
      </w:r>
    </w:p>
    <w:p>
      <w:pPr>
        <w:pStyle w:val="TextBody"/>
        <w:bidi w:val="0"/>
        <w:spacing w:before="0" w:after="0"/>
        <w:ind w:left="0" w:right="0" w:firstLine="360"/>
        <w:jc w:val="both"/>
        <w:rPr/>
      </w:pPr>
      <w:r>
        <w:rPr/>
        <w:t>​</w:t>
      </w:r>
    </w:p>
    <w:p>
      <w:pPr>
        <w:pStyle w:val="TextBody"/>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NOTE 14. INTEREST RATE SWAPS</w:t>
      </w:r>
    </w:p>
    <w:p>
      <w:pPr>
        <w:pStyle w:val="TextBody"/>
        <w:bidi w:val="0"/>
        <w:spacing w:before="120" w:after="0"/>
        <w:ind w:left="0" w:right="0" w:firstLine="432"/>
        <w:jc w:val="both"/>
        <w:rPr>
          <w:rFonts w:ascii="Times New Roman;Times;serif" w:hAnsi="Times New Roman;Times;serif"/>
          <w:sz w:val="20"/>
        </w:rPr>
      </w:pPr>
      <w:r>
        <w:rPr>
          <w:rFonts w:ascii="Times New Roman;Times;serif" w:hAnsi="Times New Roman;Times;serif"/>
          <w:sz w:val="20"/>
        </w:rPr>
        <w:t xml:space="preserve">The Company has entered into interest rate swap agreements to hedge against changes in future cash flows resulting from fluctuating interest rates related to the below noted borrowings. The interest rate agreements were 100% effective during the three and six months ended June 30, 2026 and 2025. Accordingly, the changes in fair value on the interest rate swaps have been classified in other comprehensive income. The fair values of the interest rate swap agreements are included in </w:t>
      </w:r>
      <w:r>
        <w:rPr>
          <w:rFonts w:ascii="Times New Roman;Times;serif" w:hAnsi="Times New Roman;Times;serif"/>
          <w:b w:val="false"/>
          <w:i w:val="false"/>
          <w:caps w:val="false"/>
          <w:smallCaps w:val="false"/>
          <w:sz w:val="20"/>
        </w:rPr>
        <w:t>other assets</w:t>
      </w:r>
      <w:r>
        <w:rPr>
          <w:rFonts w:ascii="Times New Roman;Times;serif" w:hAnsi="Times New Roman;Times;serif"/>
          <w:sz w:val="20"/>
        </w:rPr>
        <w:t xml:space="preserve"> and </w:t>
      </w:r>
      <w:r>
        <w:rPr>
          <w:rFonts w:ascii="Times New Roman;Times;serif" w:hAnsi="Times New Roman;Times;serif"/>
          <w:b w:val="false"/>
          <w:i w:val="false"/>
          <w:caps w:val="false"/>
          <w:smallCaps w:val="false"/>
          <w:sz w:val="20"/>
        </w:rPr>
        <w:t>accounts payable, accrued expenses and other liabilities</w:t>
      </w:r>
      <w:r>
        <w:rPr>
          <w:rFonts w:ascii="Times New Roman;Times;serif" w:hAnsi="Times New Roman;Times;serif"/>
          <w:sz w:val="20"/>
        </w:rPr>
        <w:t xml:space="preserve">, respectively, on the consolidated balance sheets.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432"/>
        <w:jc w:val="both"/>
        <w:rPr>
          <w:rFonts w:ascii="Times New Roman;Times;serif" w:hAnsi="Times New Roman;Times;serif"/>
          <w:sz w:val="20"/>
        </w:rPr>
      </w:pPr>
      <w:bookmarkStart w:id="1463" w:name="Tc_YcIk7KEWbU2qSSnBzGxK2Q_7_11"/>
      <w:bookmarkStart w:id="1464" w:name="Tc_X2LJHgnWi0aFzIuxuaR1XA_7_8"/>
      <w:bookmarkStart w:id="1465" w:name="Tc_WccqyALs9EKqdeSdzHT_dQ_7_6"/>
      <w:bookmarkStart w:id="1466" w:name="Tc_KE-uqXZBZE-qVktYcp9X0w_7_4"/>
      <w:bookmarkStart w:id="1467" w:name="Tc_evbejDd9_UCuIo6i1FOiHQ_7_2"/>
      <w:bookmarkStart w:id="1468" w:name="Tc_etG9AFx9NkWI9dfwY40XGA_7_0"/>
      <w:bookmarkStart w:id="1469" w:name="Tc_r9LGP6JUXkG_RWxNL2ecJQ_6_11"/>
      <w:bookmarkStart w:id="1470" w:name="Tc_JICX1xM-PUa5hcEP86x4FA_6_8"/>
      <w:bookmarkStart w:id="1471" w:name="Tc_dMxLq_rPjUCjeAcULjM7tw_6_6"/>
      <w:bookmarkStart w:id="1472" w:name="Tc_beDdGD3klUia8hJ0YZED6w_6_4"/>
      <w:bookmarkStart w:id="1473" w:name="Tc_deLAe_TIr0CFWiGl4Of3sw_6_2"/>
      <w:bookmarkStart w:id="1474" w:name="Tc_sqffjbbLQUG49QAZ50iD8g_6_0"/>
      <w:bookmarkStart w:id="1475" w:name="Tc_sXtc5tZY2ESBQz6vTwJXVA_5_11"/>
      <w:bookmarkStart w:id="1476" w:name="Tc_4NBkics1r02qFufm04N1iw_5_8"/>
      <w:bookmarkStart w:id="1477" w:name="Tc_ES80ZTk0S0OrWIywI8se6g_5_6"/>
      <w:bookmarkStart w:id="1478" w:name="Tc_HjekN3n6x06boJ_XJjXi3Q_5_4"/>
      <w:bookmarkStart w:id="1479" w:name="Tc_hGWD4ef0GUaMH7RpHJkzug_5_2"/>
      <w:bookmarkStart w:id="1480" w:name="Tc_XWz4jbGFX0mav7x0qswCmg_5_0"/>
      <w:bookmarkStart w:id="1481" w:name="Tc_TLL8JCEdWEecH7aVR25Sxw_4_11"/>
      <w:bookmarkStart w:id="1482" w:name="Tc_TNv_VnQvBk-0nbwdnnglFQ_4_8"/>
      <w:bookmarkStart w:id="1483" w:name="Tc_9jihqAhB80GO9U2BdivAUg_4_6"/>
      <w:bookmarkStart w:id="1484" w:name="Tc_5PEtAeS1ikGPirjUJA4ryA_4_4"/>
      <w:bookmarkStart w:id="1485" w:name="Tc_Z58XsAoEVE-zEGmMoar2jg_4_2"/>
      <w:bookmarkStart w:id="1486" w:name="Tc_uZrOd49ZsU2Zy-Q4ONgZJg_4_0"/>
      <w:bookmarkStart w:id="1487" w:name="Tc_8f6yRlE4o0akOEk19tmcMQ_3_11"/>
      <w:bookmarkStart w:id="1488" w:name="Tc_rVkb-5pmE0yD8wtH7vzSmg_3_8"/>
      <w:bookmarkStart w:id="1489" w:name="Tc_OuAXXbHJTkawB32mfBr6tg_3_6"/>
      <w:bookmarkStart w:id="1490" w:name="Tc_Odlk62-D_0mC_9tjunVtDg_3_4"/>
      <w:bookmarkStart w:id="1491" w:name="Tc_Uz4P81VMrEStpo3f_WrpCQ_3_2"/>
      <w:bookmarkStart w:id="1492" w:name="Tc_7WvvGorpjUeXvfpfXNacEA_3_0"/>
      <w:bookmarkStart w:id="1493" w:name="Tc_Vs76nvKIM0G2iUTt93KJjw_2_11"/>
      <w:bookmarkStart w:id="1494" w:name="Tc_ujobzgzLeUKEM1QqNGRmJQ_2_8"/>
      <w:bookmarkStart w:id="1495" w:name="Tc_gNcxOCpGwk6s8Q5aPSMkQw_2_6"/>
      <w:bookmarkStart w:id="1496" w:name="Tc_WaX260nRtEy_GrldUKUWTw_2_4"/>
      <w:bookmarkStart w:id="1497" w:name="Tc_8kp1vx7S7ECnTXLi4d_evg_2_2"/>
      <w:bookmarkStart w:id="1498" w:name="Tc_DvIgyMDh-k2o20WBPfhCow_2_0"/>
      <w:bookmarkStart w:id="1499" w:name="Tc_YyVxwYaytUe8vcxzd9F8hA_1_11"/>
      <w:bookmarkStart w:id="1500" w:name="Tc_Ncf-C7nzT0WP044l2GktCA_1_8"/>
      <w:bookmarkStart w:id="1501" w:name="Tc_LmD7-SOQSkqUoPkC_t8ZLg_1_6"/>
      <w:bookmarkStart w:id="1502" w:name="Tc_xF-r3h-GhEelOwJUnsBGHA_1_4"/>
      <w:bookmarkStart w:id="1503" w:name="Tc_-uz-MLRXOEy2n3auZQOgWw_1_2"/>
      <w:bookmarkStart w:id="1504" w:name="Tc_GFgG_ekiwkOC_7A6MND24Q_1_0"/>
      <w:bookmarkStart w:id="1505" w:name="_74484431_3b0f_490e_951f_c25d3556ac26"/>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bookmarkEnd w:id="1503"/>
      <w:bookmarkEnd w:id="1504"/>
      <w:bookmarkEnd w:id="1505"/>
      <w:r>
        <w:rPr>
          <w:rFonts w:ascii="Times New Roman;Times;serif" w:hAnsi="Times New Roman;Times;serif"/>
          <w:sz w:val="20"/>
        </w:rPr>
        <w:t>Information related to the Company’s interest rate swap agreements is noted below (in thousands):</w:t>
      </w:r>
    </w:p>
    <w:p>
      <w:pPr>
        <w:pStyle w:val="TextBody"/>
        <w:bidi w:val="0"/>
        <w:spacing w:before="0" w:after="0"/>
        <w:ind w:left="0" w:right="0" w:firstLine="547"/>
        <w:jc w:val="both"/>
        <w:rPr/>
      </w:pPr>
      <w:r>
        <w:rPr/>
        <w:t>​</w:t>
      </w:r>
    </w:p>
    <w:tbl>
      <w:tblPr>
        <w:tblW w:w="9221" w:type="dxa"/>
        <w:jc w:val="left"/>
        <w:tblInd w:w="0" w:type="dxa"/>
        <w:tblLayout w:type="fixed"/>
        <w:tblCellMar>
          <w:top w:w="0" w:type="dxa"/>
          <w:left w:w="0" w:type="dxa"/>
          <w:bottom w:w="0" w:type="dxa"/>
          <w:right w:w="0" w:type="dxa"/>
        </w:tblCellMar>
      </w:tblPr>
      <w:tblGrid>
        <w:gridCol w:w="1636"/>
        <w:gridCol w:w="109"/>
        <w:gridCol w:w="1171"/>
        <w:gridCol w:w="109"/>
        <w:gridCol w:w="1201"/>
        <w:gridCol w:w="109"/>
        <w:gridCol w:w="1321"/>
        <w:gridCol w:w="109"/>
        <w:gridCol w:w="196"/>
        <w:gridCol w:w="691"/>
        <w:gridCol w:w="109"/>
        <w:gridCol w:w="639"/>
        <w:gridCol w:w="1821"/>
      </w:tblGrid>
      <w:tr>
        <w:trPr/>
        <w:tc>
          <w:tcPr>
            <w:tcW w:w="16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1038860" cy="175260"/>
                      <wp:effectExtent l="0" t="0" r="0" b="0"/>
                      <wp:wrapNone/>
                      <wp:docPr id="312" name="Frame312"/>
                      <a:graphic xmlns:a="http://schemas.openxmlformats.org/drawingml/2006/main">
                        <a:graphicData uri="http://schemas.microsoft.com/office/word/2010/wordprocessingShape">
                          <wps:wsp>
                            <wps:cNvSpPr txBox="1"/>
                            <wps:spPr>
                              <a:xfrm>
                                <a:off x="0" y="0"/>
                                <a:ext cx="1038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69215" cy="175260"/>
                      <wp:effectExtent l="0" t="0" r="0" b="0"/>
                      <wp:wrapNone/>
                      <wp:docPr id="313" name="Frame31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743585" cy="175260"/>
                      <wp:effectExtent l="0" t="0" r="0" b="0"/>
                      <wp:wrapNone/>
                      <wp:docPr id="314" name="Frame314"/>
                      <a:graphic xmlns:a="http://schemas.openxmlformats.org/drawingml/2006/main">
                        <a:graphicData uri="http://schemas.microsoft.com/office/word/2010/wordprocessingShape">
                          <wps:wsp>
                            <wps:cNvSpPr txBox="1"/>
                            <wps:spPr>
                              <a:xfrm>
                                <a:off x="0" y="0"/>
                                <a:ext cx="743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69215" cy="175260"/>
                      <wp:effectExtent l="0" t="0" r="0" b="0"/>
                      <wp:wrapNone/>
                      <wp:docPr id="315" name="Frame31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762635" cy="175260"/>
                      <wp:effectExtent l="0" t="0" r="0" b="0"/>
                      <wp:wrapNone/>
                      <wp:docPr id="316" name="Frame316"/>
                      <a:graphic xmlns:a="http://schemas.openxmlformats.org/drawingml/2006/main">
                        <a:graphicData uri="http://schemas.microsoft.com/office/word/2010/wordprocessingShape">
                          <wps:wsp>
                            <wps:cNvSpPr txBox="1"/>
                            <wps:spPr>
                              <a:xfrm>
                                <a:off x="0" y="0"/>
                                <a:ext cx="762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69215" cy="175260"/>
                      <wp:effectExtent l="0" t="0" r="0" b="0"/>
                      <wp:wrapNone/>
                      <wp:docPr id="317" name="Frame31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838835" cy="175260"/>
                      <wp:effectExtent l="0" t="0" r="0" b="0"/>
                      <wp:wrapNone/>
                      <wp:docPr id="318" name="Frame318"/>
                      <a:graphic xmlns:a="http://schemas.openxmlformats.org/drawingml/2006/main">
                        <a:graphicData uri="http://schemas.microsoft.com/office/word/2010/wordprocessingShape">
                          <wps:wsp>
                            <wps:cNvSpPr txBox="1"/>
                            <wps:spPr>
                              <a:xfrm>
                                <a:off x="0" y="0"/>
                                <a:ext cx="838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69215" cy="175260"/>
                      <wp:effectExtent l="0" t="0" r="0" b="0"/>
                      <wp:wrapNone/>
                      <wp:docPr id="319" name="Frame31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124460" cy="175260"/>
                      <wp:effectExtent l="0" t="0" r="0" b="0"/>
                      <wp:wrapNone/>
                      <wp:docPr id="320" name="Frame32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438785" cy="175260"/>
                      <wp:effectExtent l="0" t="0" r="0" b="0"/>
                      <wp:wrapNone/>
                      <wp:docPr id="321" name="Frame321"/>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69215" cy="175260"/>
                      <wp:effectExtent l="0" t="0" r="0" b="0"/>
                      <wp:wrapNone/>
                      <wp:docPr id="322" name="Frame32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405765" cy="175260"/>
                      <wp:effectExtent l="0" t="0" r="0" b="0"/>
                      <wp:wrapNone/>
                      <wp:docPr id="323" name="Frame323"/>
                      <a:graphic xmlns:a="http://schemas.openxmlformats.org/drawingml/2006/main">
                        <a:graphicData uri="http://schemas.microsoft.com/office/word/2010/wordprocessingShape">
                          <wps:wsp>
                            <wps:cNvSpPr txBox="1"/>
                            <wps:spPr>
                              <a:xfrm>
                                <a:off x="0" y="0"/>
                                <a:ext cx="405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1156335" cy="175260"/>
                      <wp:effectExtent l="0" t="0" r="0" b="0"/>
                      <wp:wrapNone/>
                      <wp:docPr id="324" name="Frame324"/>
                      <a:graphic xmlns:a="http://schemas.openxmlformats.org/drawingml/2006/main">
                        <a:graphicData uri="http://schemas.microsoft.com/office/word/2010/wordprocessingShape">
                          <wps:wsp>
                            <wps:cNvSpPr txBox="1"/>
                            <wps:spPr>
                              <a:xfrm>
                                <a:off x="0" y="0"/>
                                <a:ext cx="1156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63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Hedged Item</w:t>
            </w:r>
          </w:p>
        </w:tc>
        <w:tc>
          <w:tcPr>
            <w:tcW w:w="109" w:type="dxa"/>
            <w:tcBorders/>
            <w:vAlign w:val="center"/>
          </w:tcPr>
          <w:p>
            <w:pPr>
              <w:pStyle w:val="TableContents"/>
              <w:bidi w:val="0"/>
              <w:spacing w:before="0" w:after="0"/>
              <w:ind w:left="0" w:right="0" w:hanging="0"/>
              <w:jc w:val="left"/>
              <w:rPr/>
            </w:pPr>
            <w:r>
              <w:rPr/>
              <w:t>​</w:t>
            </w:r>
          </w:p>
        </w:tc>
        <w:tc>
          <w:tcPr>
            <w:tcW w:w="11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Effective Date</w:t>
            </w:r>
          </w:p>
        </w:tc>
        <w:tc>
          <w:tcPr>
            <w:tcW w:w="109" w:type="dxa"/>
            <w:tcBorders/>
            <w:vAlign w:val="center"/>
          </w:tcPr>
          <w:p>
            <w:pPr>
              <w:pStyle w:val="TableContents"/>
              <w:bidi w:val="0"/>
              <w:spacing w:before="0" w:after="0"/>
              <w:ind w:left="0" w:right="0" w:hanging="0"/>
              <w:jc w:val="left"/>
              <w:rPr/>
            </w:pPr>
            <w:r>
              <w:rPr/>
              <w:t>​</w:t>
            </w:r>
          </w:p>
        </w:tc>
        <w:tc>
          <w:tcPr>
            <w:tcW w:w="12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Maturity Date</w:t>
            </w:r>
          </w:p>
        </w:tc>
        <w:tc>
          <w:tcPr>
            <w:tcW w:w="109" w:type="dxa"/>
            <w:tcBorders/>
            <w:vAlign w:val="center"/>
          </w:tcPr>
          <w:p>
            <w:pPr>
              <w:pStyle w:val="TableContents"/>
              <w:bidi w:val="0"/>
              <w:spacing w:before="0" w:after="0"/>
              <w:ind w:left="0" w:right="0" w:hanging="0"/>
              <w:jc w:val="left"/>
              <w:rPr/>
            </w:pPr>
            <w:r>
              <w:rPr/>
              <w:t>​</w:t>
            </w:r>
          </w:p>
        </w:tc>
        <w:tc>
          <w:tcPr>
            <w:tcW w:w="13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Rate</w:t>
            </w:r>
          </w:p>
        </w:tc>
        <w:tc>
          <w:tcPr>
            <w:tcW w:w="109" w:type="dxa"/>
            <w:tcBorders/>
            <w:vAlign w:val="center"/>
          </w:tcPr>
          <w:p>
            <w:pPr>
              <w:pStyle w:val="TableContents"/>
              <w:bidi w:val="0"/>
              <w:spacing w:before="0" w:after="0"/>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Amount</w:t>
            </w:r>
          </w:p>
        </w:tc>
        <w:tc>
          <w:tcPr>
            <w:tcW w:w="109" w:type="dxa"/>
            <w:tcBorders/>
            <w:vAlign w:val="center"/>
          </w:tcPr>
          <w:p>
            <w:pPr>
              <w:pStyle w:val="TableContents"/>
              <w:bidi w:val="0"/>
              <w:spacing w:before="0" w:after="0"/>
              <w:ind w:left="0" w:right="0" w:hanging="0"/>
              <w:jc w:val="center"/>
              <w:rPr/>
            </w:pPr>
            <w:r>
              <w:rPr/>
              <w:t>​</w:t>
            </w:r>
          </w:p>
        </w:tc>
        <w:tc>
          <w:tcPr>
            <w:tcW w:w="24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Fair Value as of June 30, 2026</w:t>
            </w:r>
          </w:p>
        </w:tc>
      </w:tr>
      <w:tr>
        <w:trPr/>
        <w:tc>
          <w:tcPr>
            <w:tcW w:w="163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2029 Term Loan </w:t>
            </w:r>
            <w:r>
              <w:rPr>
                <w:rFonts w:ascii="Times New Roman;Times;serif" w:hAnsi="Times New Roman;Times;serif"/>
                <w:sz w:val="14"/>
              </w:rPr>
              <w:t>(1)</w:t>
            </w:r>
          </w:p>
        </w:tc>
        <w:tc>
          <w:tcPr>
            <w:tcW w:w="109" w:type="dxa"/>
            <w:tcBorders/>
            <w:shd w:fill="CCEEFF" w:val="clear"/>
            <w:vAlign w:val="center"/>
          </w:tcPr>
          <w:p>
            <w:pPr>
              <w:pStyle w:val="TableContents"/>
              <w:bidi w:val="0"/>
              <w:spacing w:before="0" w:after="0"/>
              <w:ind w:left="0" w:right="0" w:hanging="0"/>
              <w:jc w:val="left"/>
              <w:rPr/>
            </w:pPr>
            <w:r>
              <w:rPr/>
              <w:t>​</w:t>
            </w:r>
          </w:p>
        </w:tc>
        <w:tc>
          <w:tcPr>
            <w:tcW w:w="1171"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5/21/2026</w:t>
            </w:r>
          </w:p>
        </w:tc>
        <w:tc>
          <w:tcPr>
            <w:tcW w:w="109" w:type="dxa"/>
            <w:tcBorders/>
            <w:shd w:fill="CCEEFF" w:val="clear"/>
            <w:vAlign w:val="center"/>
          </w:tcPr>
          <w:p>
            <w:pPr>
              <w:pStyle w:val="TableContents"/>
              <w:bidi w:val="0"/>
              <w:spacing w:before="0" w:after="0"/>
              <w:ind w:left="0" w:right="0" w:hanging="0"/>
              <w:jc w:val="center"/>
              <w:rPr/>
            </w:pPr>
            <w:r>
              <w:rPr/>
              <w:t>​</w:t>
            </w:r>
          </w:p>
        </w:tc>
        <w:tc>
          <w:tcPr>
            <w:tcW w:w="1201"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2/2/2029</w:t>
            </w:r>
          </w:p>
        </w:tc>
        <w:tc>
          <w:tcPr>
            <w:tcW w:w="109" w:type="dxa"/>
            <w:tcBorders/>
            <w:shd w:fill="CCEEFF" w:val="clear"/>
            <w:vAlign w:val="center"/>
          </w:tcPr>
          <w:p>
            <w:pPr>
              <w:pStyle w:val="TableContents"/>
              <w:bidi w:val="0"/>
              <w:spacing w:before="0" w:after="0"/>
              <w:ind w:left="0" w:right="0" w:hanging="0"/>
              <w:jc w:val="left"/>
              <w:rPr/>
            </w:pPr>
            <w:r>
              <w:rPr/>
              <w:t>​</w:t>
            </w:r>
          </w:p>
        </w:tc>
        <w:tc>
          <w:tcPr>
            <w:tcW w:w="1321"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3.36% +</w:t>
              <w:br/>
              <w:t>applicable spread</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100,000</w:t>
            </w:r>
          </w:p>
        </w:tc>
        <w:tc>
          <w:tcPr>
            <w:tcW w:w="109" w:type="dxa"/>
            <w:tcBorders/>
            <w:shd w:fill="CCEEFF" w:val="clear"/>
            <w:vAlign w:val="center"/>
          </w:tcPr>
          <w:p>
            <w:pPr>
              <w:pStyle w:val="TableContents"/>
              <w:bidi w:val="0"/>
              <w:spacing w:before="0" w:after="0"/>
              <w:ind w:left="0" w:right="0" w:hanging="0"/>
              <w:jc w:val="right"/>
              <w:rPr/>
            </w:pPr>
            <w:r>
              <w:rPr/>
              <w:t>​</w:t>
            </w:r>
          </w:p>
        </w:tc>
        <w:tc>
          <w:tcPr>
            <w:tcW w:w="639"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8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1,305</w:t>
            </w:r>
          </w:p>
        </w:tc>
      </w:tr>
      <w:tr>
        <w:trPr/>
        <w:tc>
          <w:tcPr>
            <w:tcW w:w="1636" w:type="dxa"/>
            <w:tcBorders/>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2031 Term Loan </w:t>
            </w:r>
            <w:r>
              <w:rPr>
                <w:rFonts w:ascii="Times New Roman;Times;serif" w:hAnsi="Times New Roman;Times;serif"/>
                <w:sz w:val="14"/>
              </w:rPr>
              <w:t>(2)</w:t>
            </w:r>
          </w:p>
        </w:tc>
        <w:tc>
          <w:tcPr>
            <w:tcW w:w="109" w:type="dxa"/>
            <w:tcBorders/>
            <w:vAlign w:val="center"/>
          </w:tcPr>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1/29/2027</w:t>
            </w:r>
          </w:p>
        </w:tc>
        <w:tc>
          <w:tcPr>
            <w:tcW w:w="109" w:type="dxa"/>
            <w:tcBorders/>
            <w:vAlign w:val="center"/>
          </w:tcPr>
          <w:p>
            <w:pPr>
              <w:pStyle w:val="TableContents"/>
              <w:bidi w:val="0"/>
              <w:spacing w:before="0" w:after="0"/>
              <w:ind w:left="0" w:right="0" w:hanging="0"/>
              <w:jc w:val="center"/>
              <w:rPr/>
            </w:pPr>
            <w:r>
              <w:rPr/>
              <w:t>​</w:t>
            </w:r>
          </w:p>
        </w:tc>
        <w:tc>
          <w:tcPr>
            <w:tcW w:w="120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2/4/2031</w:t>
            </w:r>
          </w:p>
        </w:tc>
        <w:tc>
          <w:tcPr>
            <w:tcW w:w="109" w:type="dxa"/>
            <w:tcBorders/>
            <w:vAlign w:val="center"/>
          </w:tcPr>
          <w:p>
            <w:pPr>
              <w:pStyle w:val="TableContents"/>
              <w:bidi w:val="0"/>
              <w:spacing w:before="0" w:after="0"/>
              <w:ind w:left="0" w:right="0" w:hanging="0"/>
              <w:jc w:val="left"/>
              <w:rPr/>
            </w:pPr>
            <w:r>
              <w:rPr/>
              <w:t>​</w:t>
            </w:r>
          </w:p>
        </w:tc>
        <w:tc>
          <w:tcPr>
            <w:tcW w:w="132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3.54%+</w:t>
              <w:br/>
              <w:t>applicable spread</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100,000</w:t>
            </w:r>
          </w:p>
        </w:tc>
        <w:tc>
          <w:tcPr>
            <w:tcW w:w="109" w:type="dxa"/>
            <w:tcBorders/>
            <w:vAlign w:val="center"/>
          </w:tcPr>
          <w:p>
            <w:pPr>
              <w:pStyle w:val="TableContents"/>
              <w:bidi w:val="0"/>
              <w:spacing w:before="0" w:after="0"/>
              <w:ind w:left="0" w:right="0" w:hanging="0"/>
              <w:jc w:val="right"/>
              <w:rPr/>
            </w:pPr>
            <w:r>
              <w:rPr/>
              <w:t>​</w:t>
            </w:r>
          </w:p>
        </w:tc>
        <w:tc>
          <w:tcPr>
            <w:tcW w:w="639"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8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1,057</w:t>
            </w:r>
          </w:p>
        </w:tc>
      </w:tr>
      <w:tr>
        <w:trPr/>
        <w:tc>
          <w:tcPr>
            <w:tcW w:w="163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2031 Term Loan </w:t>
            </w:r>
            <w:r>
              <w:rPr>
                <w:rFonts w:ascii="Times New Roman;Times;serif" w:hAnsi="Times New Roman;Times;serif"/>
                <w:sz w:val="14"/>
              </w:rPr>
              <w:t>(3)</w:t>
            </w:r>
          </w:p>
        </w:tc>
        <w:tc>
          <w:tcPr>
            <w:tcW w:w="109" w:type="dxa"/>
            <w:tcBorders/>
            <w:shd w:fill="CCEEFF" w:val="clear"/>
            <w:vAlign w:val="center"/>
          </w:tcPr>
          <w:p>
            <w:pPr>
              <w:pStyle w:val="TableContents"/>
              <w:bidi w:val="0"/>
              <w:spacing w:before="0" w:after="0"/>
              <w:ind w:left="0" w:right="0" w:hanging="0"/>
              <w:jc w:val="left"/>
              <w:rPr/>
            </w:pPr>
            <w:r>
              <w:rPr/>
              <w:t>​</w:t>
            </w:r>
          </w:p>
        </w:tc>
        <w:tc>
          <w:tcPr>
            <w:tcW w:w="1171"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11/29/2024</w:t>
            </w:r>
          </w:p>
        </w:tc>
        <w:tc>
          <w:tcPr>
            <w:tcW w:w="109" w:type="dxa"/>
            <w:tcBorders/>
            <w:shd w:fill="CCEEFF" w:val="clear"/>
            <w:vAlign w:val="center"/>
          </w:tcPr>
          <w:p>
            <w:pPr>
              <w:pStyle w:val="TableContents"/>
              <w:bidi w:val="0"/>
              <w:spacing w:before="0" w:after="0"/>
              <w:ind w:left="0" w:right="0" w:hanging="0"/>
              <w:jc w:val="center"/>
              <w:rPr/>
            </w:pPr>
            <w:r>
              <w:rPr/>
              <w:t>​</w:t>
            </w:r>
          </w:p>
        </w:tc>
        <w:tc>
          <w:tcPr>
            <w:tcW w:w="1201"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1/31/2027</w:t>
            </w:r>
          </w:p>
        </w:tc>
        <w:tc>
          <w:tcPr>
            <w:tcW w:w="109" w:type="dxa"/>
            <w:tcBorders/>
            <w:shd w:fill="CCEEFF" w:val="clear"/>
            <w:vAlign w:val="center"/>
          </w:tcPr>
          <w:p>
            <w:pPr>
              <w:pStyle w:val="TableContents"/>
              <w:bidi w:val="0"/>
              <w:spacing w:before="0" w:after="0"/>
              <w:ind w:left="0" w:right="0" w:hanging="0"/>
              <w:jc w:val="left"/>
              <w:rPr/>
            </w:pPr>
            <w:r>
              <w:rPr/>
              <w:t>​</w:t>
            </w:r>
          </w:p>
        </w:tc>
        <w:tc>
          <w:tcPr>
            <w:tcW w:w="1321"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1.61% +</w:t>
              <w:br/>
              <w:t>applicable spread</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80,000</w:t>
            </w:r>
          </w:p>
        </w:tc>
        <w:tc>
          <w:tcPr>
            <w:tcW w:w="109" w:type="dxa"/>
            <w:tcBorders/>
            <w:shd w:fill="CCEEFF" w:val="clear"/>
            <w:vAlign w:val="center"/>
          </w:tcPr>
          <w:p>
            <w:pPr>
              <w:pStyle w:val="TableContents"/>
              <w:bidi w:val="0"/>
              <w:spacing w:before="0" w:after="0"/>
              <w:ind w:left="0" w:right="0" w:hanging="0"/>
              <w:jc w:val="right"/>
              <w:rPr/>
            </w:pPr>
            <w:r>
              <w:rPr/>
              <w:t>​</w:t>
            </w:r>
          </w:p>
        </w:tc>
        <w:tc>
          <w:tcPr>
            <w:tcW w:w="639"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8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1,090</w:t>
            </w:r>
          </w:p>
        </w:tc>
      </w:tr>
      <w:tr>
        <w:trPr/>
        <w:tc>
          <w:tcPr>
            <w:tcW w:w="1636" w:type="dxa"/>
            <w:tcBorders/>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2031 Term Loan </w:t>
            </w:r>
            <w:r>
              <w:rPr>
                <w:rFonts w:ascii="Times New Roman;Times;serif" w:hAnsi="Times New Roman;Times;serif"/>
                <w:sz w:val="14"/>
              </w:rPr>
              <w:t>(4)</w:t>
            </w:r>
          </w:p>
        </w:tc>
        <w:tc>
          <w:tcPr>
            <w:tcW w:w="109" w:type="dxa"/>
            <w:tcBorders/>
            <w:vAlign w:val="center"/>
          </w:tcPr>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9/30/2022</w:t>
            </w:r>
          </w:p>
        </w:tc>
        <w:tc>
          <w:tcPr>
            <w:tcW w:w="109" w:type="dxa"/>
            <w:tcBorders/>
            <w:vAlign w:val="center"/>
          </w:tcPr>
          <w:p>
            <w:pPr>
              <w:pStyle w:val="TableContents"/>
              <w:bidi w:val="0"/>
              <w:spacing w:before="0" w:after="0"/>
              <w:ind w:left="0" w:right="0" w:hanging="0"/>
              <w:jc w:val="center"/>
              <w:rPr/>
            </w:pPr>
            <w:r>
              <w:rPr/>
              <w:t>​</w:t>
            </w:r>
          </w:p>
        </w:tc>
        <w:tc>
          <w:tcPr>
            <w:tcW w:w="120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1/31/2027</w:t>
            </w:r>
          </w:p>
        </w:tc>
        <w:tc>
          <w:tcPr>
            <w:tcW w:w="109" w:type="dxa"/>
            <w:tcBorders/>
            <w:vAlign w:val="center"/>
          </w:tcPr>
          <w:p>
            <w:pPr>
              <w:pStyle w:val="TableContents"/>
              <w:bidi w:val="0"/>
              <w:spacing w:before="0" w:after="0"/>
              <w:ind w:left="0" w:right="0" w:hanging="0"/>
              <w:jc w:val="left"/>
              <w:rPr/>
            </w:pPr>
            <w:r>
              <w:rPr/>
              <w:t>​</w:t>
            </w:r>
          </w:p>
        </w:tc>
        <w:tc>
          <w:tcPr>
            <w:tcW w:w="132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3.84% +</w:t>
              <w:br/>
              <w:t>applicable spread</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20,000</w:t>
            </w:r>
          </w:p>
        </w:tc>
        <w:tc>
          <w:tcPr>
            <w:tcW w:w="109" w:type="dxa"/>
            <w:tcBorders/>
            <w:vAlign w:val="center"/>
          </w:tcPr>
          <w:p>
            <w:pPr>
              <w:pStyle w:val="TableContents"/>
              <w:bidi w:val="0"/>
              <w:spacing w:before="0" w:after="0"/>
              <w:ind w:left="0" w:right="0" w:hanging="0"/>
              <w:jc w:val="right"/>
              <w:rPr/>
            </w:pPr>
            <w:r>
              <w:rPr/>
              <w:t>​</w:t>
            </w:r>
          </w:p>
        </w:tc>
        <w:tc>
          <w:tcPr>
            <w:tcW w:w="639"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8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w:t>
            </w:r>
          </w:p>
        </w:tc>
      </w:tr>
      <w:tr>
        <w:trPr/>
        <w:tc>
          <w:tcPr>
            <w:tcW w:w="163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Revolving Facility </w:t>
            </w:r>
            <w:r>
              <w:rPr>
                <w:rFonts w:ascii="Times New Roman;Times;serif" w:hAnsi="Times New Roman;Times;serif"/>
                <w:sz w:val="14"/>
              </w:rPr>
              <w:t>(5)</w:t>
            </w:r>
          </w:p>
        </w:tc>
        <w:tc>
          <w:tcPr>
            <w:tcW w:w="109" w:type="dxa"/>
            <w:tcBorders/>
            <w:shd w:fill="CCEEFF" w:val="clear"/>
            <w:vAlign w:val="center"/>
          </w:tcPr>
          <w:p>
            <w:pPr>
              <w:pStyle w:val="TableContents"/>
              <w:bidi w:val="0"/>
              <w:spacing w:before="0" w:after="0"/>
              <w:ind w:left="0" w:right="0" w:hanging="0"/>
              <w:jc w:val="left"/>
              <w:rPr/>
            </w:pPr>
            <w:r>
              <w:rPr/>
              <w:t>​</w:t>
            </w:r>
          </w:p>
        </w:tc>
        <w:tc>
          <w:tcPr>
            <w:tcW w:w="1171"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3/1/2023</w:t>
            </w:r>
          </w:p>
        </w:tc>
        <w:tc>
          <w:tcPr>
            <w:tcW w:w="109" w:type="dxa"/>
            <w:tcBorders/>
            <w:shd w:fill="CCEEFF" w:val="clear"/>
            <w:vAlign w:val="center"/>
          </w:tcPr>
          <w:p>
            <w:pPr>
              <w:pStyle w:val="TableContents"/>
              <w:bidi w:val="0"/>
              <w:spacing w:before="0" w:after="0"/>
              <w:ind w:left="0" w:right="0" w:hanging="0"/>
              <w:jc w:val="center"/>
              <w:rPr/>
            </w:pPr>
            <w:r>
              <w:rPr/>
              <w:t>​</w:t>
            </w:r>
          </w:p>
        </w:tc>
        <w:tc>
          <w:tcPr>
            <w:tcW w:w="1201"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3/1/2028</w:t>
            </w:r>
          </w:p>
        </w:tc>
        <w:tc>
          <w:tcPr>
            <w:tcW w:w="109" w:type="dxa"/>
            <w:tcBorders/>
            <w:shd w:fill="CCEEFF" w:val="clear"/>
            <w:vAlign w:val="center"/>
          </w:tcPr>
          <w:p>
            <w:pPr>
              <w:pStyle w:val="TableContents"/>
              <w:bidi w:val="0"/>
              <w:spacing w:before="0" w:after="0"/>
              <w:ind w:left="0" w:right="0" w:hanging="0"/>
              <w:jc w:val="left"/>
              <w:rPr/>
            </w:pPr>
            <w:r>
              <w:rPr/>
              <w:t>​</w:t>
            </w:r>
          </w:p>
        </w:tc>
        <w:tc>
          <w:tcPr>
            <w:tcW w:w="1321"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3.21% +</w:t>
              <w:br/>
              <w:t>applicable spread</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50,000</w:t>
            </w:r>
          </w:p>
        </w:tc>
        <w:tc>
          <w:tcPr>
            <w:tcW w:w="109" w:type="dxa"/>
            <w:tcBorders/>
            <w:shd w:fill="CCEEFF" w:val="clear"/>
            <w:vAlign w:val="center"/>
          </w:tcPr>
          <w:p>
            <w:pPr>
              <w:pStyle w:val="TableContents"/>
              <w:bidi w:val="0"/>
              <w:spacing w:before="0" w:after="0"/>
              <w:ind w:left="0" w:right="0" w:hanging="0"/>
              <w:jc w:val="right"/>
              <w:rPr/>
            </w:pPr>
            <w:r>
              <w:rPr/>
              <w:t>​</w:t>
            </w:r>
          </w:p>
        </w:tc>
        <w:tc>
          <w:tcPr>
            <w:tcW w:w="639"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8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583</w:t>
            </w:r>
          </w:p>
        </w:tc>
      </w:tr>
      <w:tr>
        <w:trPr/>
        <w:tc>
          <w:tcPr>
            <w:tcW w:w="1636" w:type="dxa"/>
            <w:tcBorders/>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Revolving Facility </w:t>
            </w:r>
            <w:r>
              <w:rPr>
                <w:rFonts w:ascii="Times New Roman;Times;serif" w:hAnsi="Times New Roman;Times;serif"/>
                <w:sz w:val="14"/>
              </w:rPr>
              <w:t>(6)</w:t>
            </w:r>
          </w:p>
        </w:tc>
        <w:tc>
          <w:tcPr>
            <w:tcW w:w="109" w:type="dxa"/>
            <w:tcBorders/>
            <w:vAlign w:val="center"/>
          </w:tcPr>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4/4/2025</w:t>
            </w:r>
          </w:p>
        </w:tc>
        <w:tc>
          <w:tcPr>
            <w:tcW w:w="109" w:type="dxa"/>
            <w:tcBorders/>
            <w:vAlign w:val="center"/>
          </w:tcPr>
          <w:p>
            <w:pPr>
              <w:pStyle w:val="TableContents"/>
              <w:bidi w:val="0"/>
              <w:spacing w:before="0" w:after="0"/>
              <w:ind w:left="0" w:right="0" w:hanging="0"/>
              <w:jc w:val="center"/>
              <w:rPr/>
            </w:pPr>
            <w:r>
              <w:rPr/>
              <w:t>​</w:t>
            </w:r>
          </w:p>
        </w:tc>
        <w:tc>
          <w:tcPr>
            <w:tcW w:w="120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1/1/2027</w:t>
            </w:r>
          </w:p>
        </w:tc>
        <w:tc>
          <w:tcPr>
            <w:tcW w:w="109" w:type="dxa"/>
            <w:tcBorders/>
            <w:vAlign w:val="center"/>
          </w:tcPr>
          <w:p>
            <w:pPr>
              <w:pStyle w:val="TableContents"/>
              <w:bidi w:val="0"/>
              <w:spacing w:before="0" w:after="0"/>
              <w:ind w:left="0" w:right="0" w:hanging="0"/>
              <w:jc w:val="left"/>
              <w:rPr/>
            </w:pPr>
            <w:r>
              <w:rPr/>
              <w:t>​</w:t>
            </w:r>
          </w:p>
        </w:tc>
        <w:tc>
          <w:tcPr>
            <w:tcW w:w="132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3.43% +</w:t>
              <w:br/>
              <w:t>applicable spread</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50,000</w:t>
            </w:r>
          </w:p>
        </w:tc>
        <w:tc>
          <w:tcPr>
            <w:tcW w:w="109" w:type="dxa"/>
            <w:tcBorders/>
            <w:vAlign w:val="center"/>
          </w:tcPr>
          <w:p>
            <w:pPr>
              <w:pStyle w:val="TableContents"/>
              <w:bidi w:val="0"/>
              <w:spacing w:before="0" w:after="0"/>
              <w:ind w:left="0" w:right="0" w:hanging="0"/>
              <w:jc w:val="right"/>
              <w:rPr/>
            </w:pPr>
            <w:r>
              <w:rPr/>
              <w:t>​</w:t>
            </w:r>
          </w:p>
        </w:tc>
        <w:tc>
          <w:tcPr>
            <w:tcW w:w="639"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821" w:type="dxa"/>
            <w:tcBorders/>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97</w:t>
            </w:r>
          </w:p>
        </w:tc>
      </w:tr>
    </w:tbl>
    <w:tbl>
      <w:tblPr>
        <w:tblW w:w="10205" w:type="dxa"/>
        <w:jc w:val="left"/>
        <w:tblInd w:w="0" w:type="dxa"/>
        <w:tblLayout w:type="fixed"/>
        <w:tblCellMar>
          <w:top w:w="0" w:type="dxa"/>
          <w:left w:w="0" w:type="dxa"/>
          <w:bottom w:w="0" w:type="dxa"/>
          <w:right w:w="0" w:type="dxa"/>
        </w:tblCellMar>
      </w:tblPr>
      <w:tblGrid>
        <w:gridCol w:w="254"/>
        <w:gridCol w:w="9951"/>
      </w:tblGrid>
      <w:tr>
        <w:trPr/>
        <w:tc>
          <w:tcPr>
            <w:tcW w:w="254" w:type="dxa"/>
            <w:tcBorders/>
            <w:vAlign w:val="center"/>
          </w:tcPr>
          <w:p>
            <w:pPr>
              <w:pStyle w:val="TableContents"/>
              <w:bidi w:val="0"/>
              <w:spacing w:before="0" w:after="283"/>
              <w:jc w:val="left"/>
              <w:rPr>
                <w:rFonts w:ascii="Times New Roman;Times;serif" w:hAnsi="Times New Roman;Times;serif"/>
                <w:sz w:val="12"/>
              </w:rPr>
            </w:pPr>
            <w:r>
              <w:rPr>
                <w:rFonts w:ascii="Times New Roman;Times;serif" w:hAnsi="Times New Roman;Times;serif"/>
                <w:sz w:val="12"/>
              </w:rPr>
              <w:t>(1)</w:t>
            </w:r>
          </w:p>
        </w:tc>
        <w:tc>
          <w:tcPr>
            <w:tcW w:w="9951"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As of June 30, 2026, the Company has utilized an interest rate swap to fix SOFR and achieve a weighted average fixed interest rate of 3.36%</w:t>
            </w:r>
            <w:r>
              <w:rPr>
                <w:caps w:val="false"/>
                <w:smallCaps w:val="false"/>
              </w:rPr>
              <w:t xml:space="preserve"> </w:t>
            </w:r>
            <w:r>
              <w:rPr>
                <w:rFonts w:ascii="Times New Roman;Times;serif" w:hAnsi="Times New Roman;Times;serif"/>
                <w:b w:val="false"/>
                <w:i w:val="false"/>
                <w:caps w:val="false"/>
                <w:smallCaps w:val="false"/>
                <w:sz w:val="16"/>
              </w:rPr>
              <w:t>plus the applicable spread</w:t>
            </w:r>
            <w:r>
              <w:rPr>
                <w:caps w:val="false"/>
                <w:smallCaps w:val="false"/>
              </w:rPr>
              <w:t xml:space="preserve"> </w:t>
            </w:r>
            <w:r>
              <w:rPr>
                <w:rFonts w:ascii="Times New Roman;Times;serif" w:hAnsi="Times New Roman;Times;serif"/>
                <w:b w:val="false"/>
                <w:i w:val="false"/>
                <w:caps w:val="false"/>
                <w:smallCaps w:val="false"/>
                <w:sz w:val="16"/>
              </w:rPr>
              <w:t>on the $100.0</w:t>
            </w:r>
            <w:r>
              <w:rPr>
                <w:caps w:val="false"/>
                <w:smallCaps w:val="false"/>
              </w:rPr>
              <w:t xml:space="preserve"> </w:t>
            </w:r>
            <w:r>
              <w:rPr>
                <w:rFonts w:ascii="Times New Roman;Times;serif" w:hAnsi="Times New Roman;Times;serif"/>
                <w:b w:val="false"/>
                <w:i w:val="false"/>
                <w:caps w:val="false"/>
                <w:smallCaps w:val="false"/>
                <w:sz w:val="16"/>
              </w:rPr>
              <w:t xml:space="preserve">million 2029 Term Loan balance. </w:t>
            </w:r>
          </w:p>
        </w:tc>
      </w:tr>
    </w:tbl>
    <w:tbl>
      <w:tblPr>
        <w:tblW w:w="10205" w:type="dxa"/>
        <w:jc w:val="left"/>
        <w:tblInd w:w="0" w:type="dxa"/>
        <w:tblLayout w:type="fixed"/>
        <w:tblCellMar>
          <w:top w:w="0" w:type="dxa"/>
          <w:left w:w="0" w:type="dxa"/>
          <w:bottom w:w="0" w:type="dxa"/>
          <w:right w:w="0" w:type="dxa"/>
        </w:tblCellMar>
      </w:tblPr>
      <w:tblGrid>
        <w:gridCol w:w="256"/>
        <w:gridCol w:w="9949"/>
      </w:tblGrid>
      <w:tr>
        <w:trPr/>
        <w:tc>
          <w:tcPr>
            <w:tcW w:w="256" w:type="dxa"/>
            <w:tcBorders/>
            <w:vAlign w:val="center"/>
          </w:tcPr>
          <w:p>
            <w:pPr>
              <w:pStyle w:val="TableContents"/>
              <w:bidi w:val="0"/>
              <w:spacing w:before="0" w:after="283"/>
              <w:jc w:val="left"/>
              <w:rPr>
                <w:rFonts w:ascii="Times New Roman;Times;serif" w:hAnsi="Times New Roman;Times;serif"/>
                <w:sz w:val="12"/>
              </w:rPr>
            </w:pPr>
            <w:r>
              <w:rPr>
                <w:rFonts w:ascii="Times New Roman;Times;serif" w:hAnsi="Times New Roman;Times;serif"/>
                <w:sz w:val="12"/>
              </w:rPr>
              <w:t>(2)</w:t>
            </w:r>
          </w:p>
        </w:tc>
        <w:tc>
          <w:tcPr>
            <w:tcW w:w="9949"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The interest rate swap agreement hedges $100.0</w:t>
            </w:r>
            <w:r>
              <w:rPr>
                <w:caps w:val="false"/>
                <w:smallCaps w:val="false"/>
              </w:rPr>
              <w:t xml:space="preserve"> </w:t>
            </w:r>
            <w:r>
              <w:rPr>
                <w:rFonts w:ascii="Times New Roman;Times;serif" w:hAnsi="Times New Roman;Times;serif"/>
                <w:b w:val="false"/>
                <w:i w:val="false"/>
                <w:caps w:val="false"/>
                <w:smallCaps w:val="false"/>
                <w:sz w:val="16"/>
              </w:rPr>
              <w:t>million 2031 Term Loan balance under different terms and commences on January 29, 2027 to extend the fixed interest rate through February 4, 2031.</w:t>
            </w:r>
          </w:p>
        </w:tc>
      </w:tr>
    </w:tbl>
    <w:tbl>
      <w:tblPr>
        <w:tblW w:w="10205" w:type="dxa"/>
        <w:jc w:val="left"/>
        <w:tblInd w:w="0" w:type="dxa"/>
        <w:tblLayout w:type="fixed"/>
        <w:tblCellMar>
          <w:top w:w="0" w:type="dxa"/>
          <w:left w:w="0" w:type="dxa"/>
          <w:bottom w:w="0" w:type="dxa"/>
          <w:right w:w="0" w:type="dxa"/>
        </w:tblCellMar>
      </w:tblPr>
      <w:tblGrid>
        <w:gridCol w:w="254"/>
        <w:gridCol w:w="9951"/>
      </w:tblGrid>
      <w:tr>
        <w:trPr/>
        <w:tc>
          <w:tcPr>
            <w:tcW w:w="254" w:type="dxa"/>
            <w:tcBorders/>
            <w:vAlign w:val="center"/>
          </w:tcPr>
          <w:p>
            <w:pPr>
              <w:pStyle w:val="TableContents"/>
              <w:bidi w:val="0"/>
              <w:spacing w:before="0" w:after="283"/>
              <w:jc w:val="left"/>
              <w:rPr>
                <w:rFonts w:ascii="Times New Roman;Times;serif" w:hAnsi="Times New Roman;Times;serif"/>
                <w:sz w:val="12"/>
              </w:rPr>
            </w:pPr>
            <w:r>
              <w:rPr>
                <w:rFonts w:ascii="Times New Roman;Times;serif" w:hAnsi="Times New Roman;Times;serif"/>
                <w:sz w:val="12"/>
              </w:rPr>
              <w:t>(3)</w:t>
            </w:r>
          </w:p>
        </w:tc>
        <w:tc>
          <w:tcPr>
            <w:tcW w:w="9951"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As of June 30, 2026, the Company has utilized interest rate swaps to fix SOFR and achieve a fixed interest rate of 1.61%</w:t>
            </w:r>
            <w:r>
              <w:rPr>
                <w:caps w:val="false"/>
                <w:smallCaps w:val="false"/>
              </w:rPr>
              <w:t xml:space="preserve"> </w:t>
            </w:r>
            <w:r>
              <w:rPr>
                <w:rFonts w:ascii="Times New Roman;Times;serif" w:hAnsi="Times New Roman;Times;serif"/>
                <w:b w:val="false"/>
                <w:i w:val="false"/>
                <w:caps w:val="false"/>
                <w:smallCaps w:val="false"/>
                <w:sz w:val="16"/>
              </w:rPr>
              <w:t>plus the applicable spread</w:t>
            </w:r>
            <w:r>
              <w:rPr>
                <w:caps w:val="false"/>
                <w:smallCaps w:val="false"/>
              </w:rPr>
              <w:t xml:space="preserve"> </w:t>
            </w:r>
            <w:r>
              <w:rPr>
                <w:rFonts w:ascii="Times New Roman;Times;serif" w:hAnsi="Times New Roman;Times;serif"/>
                <w:b w:val="false"/>
                <w:i w:val="false"/>
                <w:caps w:val="false"/>
                <w:smallCaps w:val="false"/>
                <w:sz w:val="16"/>
              </w:rPr>
              <w:t>on $80.0</w:t>
            </w:r>
            <w:r>
              <w:rPr>
                <w:caps w:val="false"/>
                <w:smallCaps w:val="false"/>
              </w:rPr>
              <w:t xml:space="preserve"> </w:t>
            </w:r>
            <w:r>
              <w:rPr>
                <w:rFonts w:ascii="Times New Roman;Times;serif" w:hAnsi="Times New Roman;Times;serif"/>
                <w:b w:val="false"/>
                <w:i w:val="false"/>
                <w:caps w:val="false"/>
                <w:smallCaps w:val="false"/>
                <w:sz w:val="16"/>
              </w:rPr>
              <w:t>million of the $100.0</w:t>
            </w:r>
            <w:r>
              <w:rPr>
                <w:caps w:val="false"/>
                <w:smallCaps w:val="false"/>
              </w:rPr>
              <w:t xml:space="preserve"> </w:t>
            </w:r>
            <w:r>
              <w:rPr>
                <w:rFonts w:ascii="Times New Roman;Times;serif" w:hAnsi="Times New Roman;Times;serif"/>
                <w:b w:val="false"/>
                <w:i w:val="false"/>
                <w:caps w:val="false"/>
                <w:smallCaps w:val="false"/>
                <w:sz w:val="16"/>
              </w:rPr>
              <w:t>million 2031 Term Loan balance.</w:t>
            </w:r>
          </w:p>
        </w:tc>
      </w:tr>
    </w:tbl>
    <w:tbl>
      <w:tblPr>
        <w:tblW w:w="10205" w:type="dxa"/>
        <w:jc w:val="left"/>
        <w:tblInd w:w="0" w:type="dxa"/>
        <w:tblLayout w:type="fixed"/>
        <w:tblCellMar>
          <w:top w:w="0" w:type="dxa"/>
          <w:left w:w="0" w:type="dxa"/>
          <w:bottom w:w="0" w:type="dxa"/>
          <w:right w:w="0" w:type="dxa"/>
        </w:tblCellMar>
      </w:tblPr>
      <w:tblGrid>
        <w:gridCol w:w="254"/>
        <w:gridCol w:w="9951"/>
      </w:tblGrid>
      <w:tr>
        <w:trPr/>
        <w:tc>
          <w:tcPr>
            <w:tcW w:w="254" w:type="dxa"/>
            <w:tcBorders/>
            <w:vAlign w:val="center"/>
          </w:tcPr>
          <w:p>
            <w:pPr>
              <w:pStyle w:val="TableContents"/>
              <w:bidi w:val="0"/>
              <w:spacing w:before="0" w:after="283"/>
              <w:jc w:val="left"/>
              <w:rPr>
                <w:rFonts w:ascii="Times New Roman;Times;serif" w:hAnsi="Times New Roman;Times;serif"/>
                <w:sz w:val="12"/>
              </w:rPr>
            </w:pPr>
            <w:r>
              <w:rPr>
                <w:rFonts w:ascii="Times New Roman;Times;serif" w:hAnsi="Times New Roman;Times;serif"/>
                <w:sz w:val="12"/>
              </w:rPr>
              <w:t>(4)</w:t>
            </w:r>
          </w:p>
        </w:tc>
        <w:tc>
          <w:tcPr>
            <w:tcW w:w="9951"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As of June 30, 2026, the Company has utilized an interest rate swap to fix SOFR</w:t>
            </w:r>
            <w:r>
              <w:rPr>
                <w:caps w:val="false"/>
                <w:smallCaps w:val="false"/>
              </w:rPr>
              <w:t xml:space="preserve"> </w:t>
            </w:r>
            <w:r>
              <w:rPr>
                <w:rFonts w:ascii="Times New Roman;Times;serif" w:hAnsi="Times New Roman;Times;serif"/>
                <w:b w:val="false"/>
                <w:i w:val="false"/>
                <w:caps w:val="false"/>
                <w:smallCaps w:val="false"/>
                <w:sz w:val="16"/>
              </w:rPr>
              <w:t>and achieve a fixed interest rate of 3.84%</w:t>
            </w:r>
            <w:r>
              <w:rPr>
                <w:caps w:val="false"/>
                <w:smallCaps w:val="false"/>
              </w:rPr>
              <w:t xml:space="preserve"> </w:t>
            </w:r>
            <w:r>
              <w:rPr>
                <w:rFonts w:ascii="Times New Roman;Times;serif" w:hAnsi="Times New Roman;Times;serif"/>
                <w:b w:val="false"/>
                <w:i w:val="false"/>
                <w:caps w:val="false"/>
                <w:smallCaps w:val="false"/>
                <w:sz w:val="16"/>
              </w:rPr>
              <w:t>plus the applicable spread on $20.0</w:t>
            </w:r>
            <w:r>
              <w:rPr>
                <w:caps w:val="false"/>
                <w:smallCaps w:val="false"/>
              </w:rPr>
              <w:t xml:space="preserve"> </w:t>
            </w:r>
            <w:r>
              <w:rPr>
                <w:rFonts w:ascii="Times New Roman;Times;serif" w:hAnsi="Times New Roman;Times;serif"/>
                <w:b w:val="false"/>
                <w:i w:val="false"/>
                <w:caps w:val="false"/>
                <w:smallCaps w:val="false"/>
                <w:sz w:val="16"/>
              </w:rPr>
              <w:t>million of the $100.0</w:t>
            </w:r>
            <w:r>
              <w:rPr>
                <w:caps w:val="false"/>
                <w:smallCaps w:val="false"/>
              </w:rPr>
              <w:t xml:space="preserve"> </w:t>
            </w:r>
            <w:r>
              <w:rPr>
                <w:rFonts w:ascii="Times New Roman;Times;serif" w:hAnsi="Times New Roman;Times;serif"/>
                <w:b w:val="false"/>
                <w:i w:val="false"/>
                <w:caps w:val="false"/>
                <w:smallCaps w:val="false"/>
                <w:sz w:val="16"/>
              </w:rPr>
              <w:t xml:space="preserve">million 2031 Term Loan balance. </w:t>
            </w:r>
          </w:p>
        </w:tc>
      </w:tr>
    </w:tbl>
    <w:tbl>
      <w:tblPr>
        <w:tblW w:w="10205" w:type="dxa"/>
        <w:jc w:val="left"/>
        <w:tblInd w:w="0" w:type="dxa"/>
        <w:tblLayout w:type="fixed"/>
        <w:tblCellMar>
          <w:top w:w="0" w:type="dxa"/>
          <w:left w:w="0" w:type="dxa"/>
          <w:bottom w:w="0" w:type="dxa"/>
          <w:right w:w="0" w:type="dxa"/>
        </w:tblCellMar>
      </w:tblPr>
      <w:tblGrid>
        <w:gridCol w:w="253"/>
        <w:gridCol w:w="9952"/>
      </w:tblGrid>
      <w:tr>
        <w:trPr/>
        <w:tc>
          <w:tcPr>
            <w:tcW w:w="253" w:type="dxa"/>
            <w:tcBorders/>
            <w:vAlign w:val="center"/>
          </w:tcPr>
          <w:p>
            <w:pPr>
              <w:pStyle w:val="TableContents"/>
              <w:bidi w:val="0"/>
              <w:spacing w:before="0" w:after="283"/>
              <w:jc w:val="left"/>
              <w:rPr>
                <w:rFonts w:ascii="Times New Roman;Times;serif" w:hAnsi="Times New Roman;Times;serif"/>
                <w:sz w:val="12"/>
              </w:rPr>
            </w:pPr>
            <w:r>
              <w:rPr>
                <w:rFonts w:ascii="Times New Roman;Times;serif" w:hAnsi="Times New Roman;Times;serif"/>
                <w:sz w:val="12"/>
              </w:rPr>
              <w:t>(5)</w:t>
            </w:r>
          </w:p>
        </w:tc>
        <w:tc>
          <w:tcPr>
            <w:tcW w:w="9952"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As of June 30, 2026, the Company has utilized an interest rate swap to fix SOFR</w:t>
            </w:r>
            <w:r>
              <w:rPr>
                <w:caps w:val="false"/>
                <w:smallCaps w:val="false"/>
              </w:rPr>
              <w:t xml:space="preserve"> </w:t>
            </w:r>
            <w:r>
              <w:rPr>
                <w:rFonts w:ascii="Times New Roman;Times;serif" w:hAnsi="Times New Roman;Times;serif"/>
                <w:b w:val="false"/>
                <w:i w:val="false"/>
                <w:caps w:val="false"/>
                <w:smallCaps w:val="false"/>
                <w:sz w:val="16"/>
              </w:rPr>
              <w:t>and achieve a fixed interest rate of 3.21%</w:t>
            </w:r>
            <w:r>
              <w:rPr>
                <w:caps w:val="false"/>
                <w:smallCaps w:val="false"/>
              </w:rPr>
              <w:t xml:space="preserve"> </w:t>
            </w:r>
            <w:r>
              <w:rPr>
                <w:rFonts w:ascii="Times New Roman;Times;serif" w:hAnsi="Times New Roman;Times;serif"/>
                <w:b w:val="false"/>
                <w:i w:val="false"/>
                <w:caps w:val="false"/>
                <w:smallCaps w:val="false"/>
                <w:sz w:val="16"/>
              </w:rPr>
              <w:t>plus the applicable spread on $50.0</w:t>
            </w:r>
            <w:r>
              <w:rPr>
                <w:caps w:val="false"/>
                <w:smallCaps w:val="false"/>
              </w:rPr>
              <w:t xml:space="preserve"> </w:t>
            </w:r>
            <w:r>
              <w:rPr>
                <w:rFonts w:ascii="Times New Roman;Times;serif" w:hAnsi="Times New Roman;Times;serif"/>
                <w:b w:val="false"/>
                <w:i w:val="false"/>
                <w:caps w:val="false"/>
                <w:smallCaps w:val="false"/>
                <w:sz w:val="16"/>
              </w:rPr>
              <w:t>million of the outstanding balance on the Revolving Facility.</w:t>
            </w:r>
          </w:p>
        </w:tc>
      </w:tr>
    </w:tbl>
    <w:tbl>
      <w:tblPr>
        <w:tblW w:w="10205" w:type="dxa"/>
        <w:jc w:val="left"/>
        <w:tblInd w:w="0" w:type="dxa"/>
        <w:tblLayout w:type="fixed"/>
        <w:tblCellMar>
          <w:top w:w="0" w:type="dxa"/>
          <w:left w:w="0" w:type="dxa"/>
          <w:bottom w:w="0" w:type="dxa"/>
          <w:right w:w="0" w:type="dxa"/>
        </w:tblCellMar>
      </w:tblPr>
      <w:tblGrid>
        <w:gridCol w:w="253"/>
        <w:gridCol w:w="9952"/>
      </w:tblGrid>
      <w:tr>
        <w:trPr/>
        <w:tc>
          <w:tcPr>
            <w:tcW w:w="253" w:type="dxa"/>
            <w:tcBorders/>
            <w:vAlign w:val="center"/>
          </w:tcPr>
          <w:p>
            <w:pPr>
              <w:pStyle w:val="TableContents"/>
              <w:bidi w:val="0"/>
              <w:spacing w:before="0" w:after="283"/>
              <w:jc w:val="left"/>
              <w:rPr>
                <w:rFonts w:ascii="Times New Roman;Times;serif" w:hAnsi="Times New Roman;Times;serif"/>
                <w:sz w:val="12"/>
              </w:rPr>
            </w:pPr>
            <w:r>
              <w:rPr>
                <w:rFonts w:ascii="Times New Roman;Times;serif" w:hAnsi="Times New Roman;Times;serif"/>
                <w:sz w:val="12"/>
              </w:rPr>
              <w:t>(6)</w:t>
            </w:r>
          </w:p>
        </w:tc>
        <w:tc>
          <w:tcPr>
            <w:tcW w:w="9952"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As of June 30, 2026, the Company has utilized an interest rate swap to fix SOFR</w:t>
            </w:r>
            <w:r>
              <w:rPr>
                <w:caps w:val="false"/>
                <w:smallCaps w:val="false"/>
              </w:rPr>
              <w:t xml:space="preserve"> </w:t>
            </w:r>
            <w:r>
              <w:rPr>
                <w:rFonts w:ascii="Times New Roman;Times;serif" w:hAnsi="Times New Roman;Times;serif"/>
                <w:b w:val="false"/>
                <w:i w:val="false"/>
                <w:caps w:val="false"/>
                <w:smallCaps w:val="false"/>
                <w:sz w:val="16"/>
              </w:rPr>
              <w:t>and achieve a fixed interest rate of 3.43%</w:t>
            </w:r>
            <w:r>
              <w:rPr>
                <w:caps w:val="false"/>
                <w:smallCaps w:val="false"/>
              </w:rPr>
              <w:t xml:space="preserve"> </w:t>
            </w:r>
            <w:r>
              <w:rPr>
                <w:rFonts w:ascii="Times New Roman;Times;serif" w:hAnsi="Times New Roman;Times;serif"/>
                <w:b w:val="false"/>
                <w:i w:val="false"/>
                <w:caps w:val="false"/>
                <w:smallCaps w:val="false"/>
                <w:sz w:val="16"/>
              </w:rPr>
              <w:t>plus the applicable spread on $50.0</w:t>
            </w:r>
            <w:r>
              <w:rPr>
                <w:caps w:val="false"/>
                <w:smallCaps w:val="false"/>
              </w:rPr>
              <w:t xml:space="preserve"> </w:t>
            </w:r>
            <w:r>
              <w:rPr>
                <w:rFonts w:ascii="Times New Roman;Times;serif" w:hAnsi="Times New Roman;Times;serif"/>
                <w:b w:val="false"/>
                <w:i w:val="false"/>
                <w:caps w:val="false"/>
                <w:smallCaps w:val="false"/>
                <w:sz w:val="16"/>
              </w:rPr>
              <w:t>million of the outstanding balance on the Revolving Facility.</w:t>
            </w:r>
          </w:p>
        </w:tc>
      </w:tr>
    </w:tbl>
    <w:p>
      <w:pPr>
        <w:pStyle w:val="TextBody"/>
        <w:bidi w:val="0"/>
        <w:spacing w:before="0" w:after="0"/>
        <w:ind w:left="0" w:right="0" w:hanging="0"/>
        <w:jc w:val="both"/>
        <w:rPr/>
      </w:pPr>
      <w:r>
        <w:rPr/>
        <w:t> </w:t>
      </w:r>
    </w:p>
    <w:p>
      <w:pPr>
        <w:pStyle w:val="TextBody"/>
        <w:bidi w:val="0"/>
        <w:spacing w:lineRule="auto" w:line="273" w:before="240" w:after="240"/>
        <w:ind w:left="0" w:right="0" w:firstLine="360"/>
        <w:jc w:val="both"/>
        <w:rPr>
          <w:rFonts w:ascii="Times New Roman;Times;serif" w:hAnsi="Times New Roman;Times;serif"/>
          <w:b w:val="false"/>
          <w:sz w:val="20"/>
        </w:rPr>
      </w:pPr>
      <w:r>
        <w:rPr>
          <w:rFonts w:ascii="Times New Roman;Times;serif" w:hAnsi="Times New Roman;Times;serif"/>
          <w:b w:val="false"/>
          <w:sz w:val="20"/>
        </w:rPr>
        <w:t>The use of interest rate swap agreements carries risks, including the risk that the counterparties to these agreements are not able to perform. To mitigate this risk, the Company enters into interest rate swap agreements with counterparties with high credit ratings and with major financial institutions with which the Company and its affiliates may also have other financial relationships. The Company does not currently anticipate that any of the counterparties to the Company’s interest rate swap agreements will fail to meet their obligations. As of June 30, 2026 and December 31, 2025, there were no events of default related to the Company's interest rate swap agreements.</w:t>
      </w:r>
    </w:p>
    <w:p>
      <w:pPr>
        <w:pStyle w:val="TextBody"/>
        <w:bidi w:val="0"/>
        <w:spacing w:lineRule="auto" w:line="273" w:before="0" w:after="0"/>
        <w:ind w:left="0" w:right="0" w:hanging="0"/>
        <w:jc w:val="left"/>
        <w:rPr>
          <w:rFonts w:ascii="Times New Roman;Times;serif" w:hAnsi="Times New Roman;Times;serif"/>
          <w:b/>
          <w:sz w:val="20"/>
        </w:rPr>
      </w:pPr>
      <w:r>
        <w:rPr>
          <w:rFonts w:ascii="Times New Roman;Times;serif" w:hAnsi="Times New Roman;Times;serif"/>
          <w:b/>
          <w:sz w:val="20"/>
        </w:rPr>
        <w:t>NOTE 15. EQUITY </w:t>
      </w:r>
    </w:p>
    <w:p>
      <w:pPr>
        <w:pStyle w:val="TextBody"/>
        <w:bidi w:val="0"/>
        <w:spacing w:lineRule="auto" w:line="273" w:before="0" w:after="0"/>
        <w:ind w:left="0" w:right="0" w:hanging="0"/>
        <w:jc w:val="both"/>
        <w:rPr/>
      </w:pPr>
      <w:r>
        <w:rPr/>
        <w:t>​</w:t>
      </w:r>
    </w:p>
    <w:p>
      <w:pPr>
        <w:pStyle w:val="TextBody"/>
        <w:bidi w:val="0"/>
        <w:spacing w:lineRule="auto" w:line="273" w:before="0" w:after="0"/>
        <w:ind w:left="0" w:right="0" w:hanging="0"/>
        <w:jc w:val="both"/>
        <w:rPr>
          <w:rFonts w:ascii="Times New Roman;Times;serif" w:hAnsi="Times New Roman;Times;serif"/>
          <w:i/>
          <w:sz w:val="20"/>
        </w:rPr>
      </w:pPr>
      <w:r>
        <w:rPr>
          <w:rFonts w:ascii="Times New Roman;Times;serif" w:hAnsi="Times New Roman;Times;serif"/>
          <w:i/>
          <w:sz w:val="20"/>
        </w:rPr>
        <w:t>SHELF REGISTRATION</w:t>
      </w:r>
    </w:p>
    <w:p>
      <w:pPr>
        <w:pStyle w:val="TextBody"/>
        <w:bidi w:val="0"/>
        <w:spacing w:lineRule="auto" w:line="273"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On December 1, 2020, the Company filed a shelf registration statement on Form S-3, relating to the registration and potential issuance of its common stock, preferred stock, warrants, rights, and units with a maximum aggregate offering price of up to $350.0 million (the “2020 Registration Statement”). The Securities and Exchange Commission declared the 2020 Registration Statement effective on December 11, 2020.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On September 27, 2023, the Company filed a shelf registration statement on Form S-3, relating to the registration and potential issuance of common stock, preferred stock, debt securities, warrants, rights, and units with a maximum aggregate offering price of up to $350.0 million (the “2023 Registration Statement”). The 2020 Registration Statement was terminated concurrently with the filing of the 2023 Registration Statement. The Securities and Exchange Commission declared the 2023 Registration Statement effective on September 29, 2023.</w:t>
      </w:r>
    </w:p>
    <w:p>
      <w:pPr>
        <w:pStyle w:val="TextBody"/>
        <w:bidi w:val="0"/>
        <w:spacing w:before="0" w:after="0"/>
        <w:ind w:left="0" w:right="0" w:firstLine="360"/>
        <w:jc w:val="both"/>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FOLLOW-ON PUBLIC OFFERING</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shd w:fill="FFFFFF" w:val="clear"/>
        </w:rPr>
        <w:t xml:space="preserve">In June 2021, the Company completed a follow-on public offering of </w:t>
      </w:r>
      <w:r>
        <w:rPr>
          <w:rFonts w:ascii="Times New Roman;Times;serif" w:hAnsi="Times New Roman;Times;serif"/>
          <w:sz w:val="20"/>
        </w:rPr>
        <w:t xml:space="preserve">3,220,000 </w:t>
      </w:r>
      <w:r>
        <w:rPr>
          <w:rFonts w:ascii="Times New Roman;Times;serif" w:hAnsi="Times New Roman;Times;serif"/>
          <w:sz w:val="20"/>
          <w:shd w:fill="FFFFFF" w:val="clear"/>
        </w:rPr>
        <w:t>shares of common stock, which included the full exercise of the underwriters’ option to purchase an additional 420,000 shares of common stock. Upon closing, the Company issued 3,220,000 shares and received net proceeds of $54.3 million, after deducting the underwriting discount and expenses.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73" w:before="0" w:after="0"/>
        <w:ind w:left="0" w:right="0" w:hanging="0"/>
        <w:jc w:val="both"/>
        <w:rPr>
          <w:rFonts w:ascii="Times New Roman;Times;serif" w:hAnsi="Times New Roman;Times;serif"/>
          <w:i/>
          <w:sz w:val="20"/>
        </w:rPr>
      </w:pPr>
      <w:r>
        <w:rPr>
          <w:rFonts w:ascii="Times New Roman;Times;serif" w:hAnsi="Times New Roman;Times;serif"/>
          <w:i/>
          <w:sz w:val="20"/>
        </w:rPr>
        <w:t>COMMON STOCK ATM PROGRAM</w:t>
      </w:r>
    </w:p>
    <w:p>
      <w:pPr>
        <w:pStyle w:val="TextBody"/>
        <w:bidi w:val="0"/>
        <w:spacing w:lineRule="auto" w:line="273"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shd w:fill="FFFFFF" w:val="clear"/>
        </w:rPr>
      </w:pPr>
      <w:r>
        <w:rPr>
          <w:rFonts w:ascii="Times New Roman;Times;serif" w:hAnsi="Times New Roman;Times;serif"/>
          <w:sz w:val="20"/>
          <w:shd w:fill="FFFFFF" w:val="clear"/>
        </w:rPr>
        <w:t>On December 14, 2020, the Company implemented a $100.0 million “at-the-market” equity offering program (the “2020 ATM Program”) pursuant to which the Company may sell, from time to time, shares of the Company’s common stock. During the year ended December 31, 2022, the Company sold 446,167 shares under the 2020 ATM Program for gross proceeds of $8.7 million at a weighted average price of $19.44 per share, generating net proceeds of $8.6 million after deducting transaction fees totaling $0.1 million. During the year ended December 31, 2021, the Company sold 761,902 shares under the 2020 ATM Program for gross proceeds of $14.0 million at a weighted average price of $18.36 per share, generating net proceeds of $13.8 million after deducting transaction fees totaling $0.2 million. The 2020 ATM Program was terminated in advance of implementing the 2022 ATM Program, hereinafter defined.</w:t>
      </w:r>
    </w:p>
    <w:p>
      <w:pPr>
        <w:pStyle w:val="TextBody"/>
        <w:bidi w:val="0"/>
        <w:spacing w:before="0" w:after="0"/>
        <w:ind w:left="0" w:right="0" w:firstLine="360"/>
        <w:jc w:val="both"/>
        <w:rPr>
          <w:shd w:fill="FFFFFF" w:val="clear"/>
        </w:rPr>
      </w:pPr>
      <w:r>
        <w:rPr>
          <w:shd w:fill="FFFFFF" w:val="clea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shd w:fill="FFFFFF" w:val="clear"/>
        </w:rPr>
        <w:t xml:space="preserve">On October 21, 2022, the Company implemented a $150.0 million “at-the-market” equity offering program (the “2022 ATM Program”) pursuant to which the Company may sell, from time to time, shares of the Company’s common stock. During the three months ended June 30, 2026, the Company sold 1,139,351 shares under the 2022 ATM Program for gross proceeds of $22.0 million at a weighted average price of $19.31 per share, generating net proceeds of $21.7 million after deducting transaction fees totaling $0.3 million. During the six months ended June 30, 2026, the Company sold 2,801,075 shares under the 2022 ATM Program for gross proceeds of $54.1 million at a weighted average price of $19.31 per share, generating net proceeds of $53.3 million after deducting transaction fees totaling $0.8 million. The Company was not active under the 2022 ATM Program during the three and six months ended June 30, 2025. During the year ended December 31, 2025, the Company sold 618,757 shares under the 2022 ATM Program for gross proceeds of $10.6 million at a weighted average price of $17.10 per share, generating net proceeds of $10.4 million after deducting transaction fees totaling $0.2 million. During the year ended December 31, 2024, the Company sold 1,059,271 shares under the 2022 ATM Program for gross proceeds of $19.1 million at a weighted average price of $18.04 per share, generating net proceeds of $18.8 million after deducting transaction fees totaling $0.3 million. During the year ended December 31, 2023, the Company sold 665,929 shares under the 2022 ATM Program for gross proceeds of $12.6 million at a weighted average price of $18.96 per share, generating net proceeds of $12.4 million after deducting transaction fees totaling $0.2 million. </w:t>
      </w:r>
      <w:r>
        <w:rPr>
          <w:rFonts w:ascii="Times New Roman;Times;serif" w:hAnsi="Times New Roman;Times;serif"/>
          <w:sz w:val="20"/>
        </w:rPr>
        <w:t>During the year ended December 31, 2022, the Company sold 1,479,241 shares under the 2022 ATM Program for gross proceeds of $27.8 million at a weighted average price of $18.81 per share, generating net proceeds of $27.4 million after deducting transaction fees totaling $0.4 million. As of June 30, 2026, $25.8 million of availability remained under the 2022 ATM Program.</w:t>
      </w:r>
    </w:p>
    <w:p>
      <w:pPr>
        <w:pStyle w:val="TextBody"/>
        <w:bidi w:val="0"/>
        <w:spacing w:lineRule="auto" w:line="273"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 the aggregate, under the 2020 ATM Program and 2022 ATM Program, during the year ended December 31, 2022, the Company sold 1,925,408 shares for gross proceeds of $36.5 million at a weighted average price of $18.96 per share, generating net proceeds of $36.0 million after deducting transaction fees totaling $0.5 million.</w:t>
      </w:r>
    </w:p>
    <w:p>
      <w:pPr>
        <w:pStyle w:val="TextBody"/>
        <w:bidi w:val="0"/>
        <w:spacing w:before="0" w:after="0"/>
        <w:ind w:left="0" w:right="0" w:hanging="0"/>
        <w:jc w:val="both"/>
        <w:rPr>
          <w:shd w:fill="FFFFFF" w:val="clear"/>
        </w:rPr>
      </w:pPr>
      <w:r>
        <w:rPr>
          <w:shd w:fill="FFFFFF" w:val="clea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PREFERRED STOCK</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On November 5, 2025, the Company priced a public offering of 2,000,000 shares of the Company’s 8.00% Series A Cumulative Redeemable Preferred Stock (the “Series A Preferred Stock”) at a public offering price of $25.00 per share. The offering closed on November 12, 2025, and the Company received gross proceeds of $50.0 million before deducting the underwriting discount and expenses, with net proceeds totaling $48.1 million.</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On December 5, 2025, the Company implemented a $35.0 million “at-the-market” preferred stock equity offering program (the “2025 Preferred Stock ATM Program”) pursuant to which the Company may sell, from time to time, shares of the Company’s Series A Preferred Stock. During the three months ended June 30, 2026, the Company sold 156,302 shares under the 2025 Preferred Stock ATM Program for gross proceeds of $3.9 million at a weighted average price of $25.18 per share, generating net proceeds of $3.9 million after deducting transaction fees totaling less than $0.1 million. During the six months ended June 30, 2026, the Company sold 342,540 shares under the 2025 Preferred Stock ATM Program for gross proceeds of $8.6 million at a weighted average price of $25.17 per share, generating net proceeds of $8.4 million after deducting transaction fees totaling $0.2 million. During the year ended December 31, 2025, the Company sold 83,328 shares under the 2025 Preferred Stock ATM Program for gross proceeds of $2.1 million at a weighted average price of $24.96 per share, generating net proceeds of $2.0 million after deducting transaction fees totaling less than $0.1 million. As of June 30, 2026, $24.3 million of availability remained under the 2025 Preferred Stock ATM Program.</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both"/>
        <w:rPr>
          <w:rFonts w:ascii="Times New Roman;Times;serif" w:hAnsi="Times New Roman;Times;serif"/>
          <w:sz w:val="20"/>
        </w:rPr>
      </w:pPr>
      <w:bookmarkStart w:id="1506" w:name="Tc_Fgktfk1hYUegMnhYUSbF4A_10_11"/>
      <w:bookmarkStart w:id="1507" w:name="Tc_jMHLeD6NCEm8qow5UYNaiw_10_8"/>
      <w:bookmarkStart w:id="1508" w:name="Tc_YMIC5B-Jwkyg4LL_ok9ftw_10_5"/>
      <w:bookmarkStart w:id="1509" w:name="Tc_i-TfQEw3HE--WeN-ZXuRQA_10_2"/>
      <w:bookmarkStart w:id="1510" w:name="Tc_pvvO14ZS7EGMJldhLb8HhQ_10_0"/>
      <w:bookmarkStart w:id="1511" w:name="Tc__DFJcaK29Eu144fMqk7xkg_9_11"/>
      <w:bookmarkStart w:id="1512" w:name="Tc_r_HhHBCy9k6QM8Ep3bmNSg_9_8"/>
      <w:bookmarkStart w:id="1513" w:name="Tc_8iGAp9SuLkqeCMKF8rNjYA_9_5"/>
      <w:bookmarkStart w:id="1514" w:name="Tc_h_slQpUjPUGuuXKh90vHLg_9_2"/>
      <w:bookmarkStart w:id="1515" w:name="Tc_zFkjdf_fik67ex_C9pZU5A_9_0"/>
      <w:bookmarkStart w:id="1516" w:name="Tc_TIhHkNYbekKyuHN8omWG1Q_8_0"/>
      <w:bookmarkStart w:id="1517" w:name="Tc_Hx1VeFezpUCe0m59PYW9RA_6_12"/>
      <w:bookmarkStart w:id="1518" w:name="Tc_HuxeXnUniUW6SzKvtad0Kw_6_11"/>
      <w:bookmarkStart w:id="1519" w:name="Tc_w2KsSm-Ts0G77vgiHAkIsA_6_8"/>
      <w:bookmarkStart w:id="1520" w:name="Tc_MXDWQzzzykW2CPrs38Er2w_6_6"/>
      <w:bookmarkStart w:id="1521" w:name="Tc_wFETWsCrzk2TtGiRbjUXpg_6_5"/>
      <w:bookmarkStart w:id="1522" w:name="Tc_6WHOypUuYkev8DlDh5YSyg_6_2"/>
      <w:bookmarkStart w:id="1523" w:name="Tc_O674ejoz0EGueMDbOH5NZw_6_0"/>
      <w:bookmarkStart w:id="1524" w:name="Tc_xDnAYSCLRUSKr4-UW-HFbw_5_12"/>
      <w:bookmarkStart w:id="1525" w:name="Tc_tppjzZXneUqu27RMh9C6jg_5_11"/>
      <w:bookmarkStart w:id="1526" w:name="Tc_6n_sO2wWBk-8RLXt6LUXWg_5_8"/>
      <w:bookmarkStart w:id="1527" w:name="Tc_2CQi54Rq1kqF3dbHNOW9EQ_5_6"/>
      <w:bookmarkStart w:id="1528" w:name="Tc_FS1h4cvxlUG0rmndbXMlIw_5_5"/>
      <w:bookmarkStart w:id="1529" w:name="Tc_A8bqS5cwjkWG1jO0Y98NWg_5_2"/>
      <w:bookmarkStart w:id="1530" w:name="Tc_n7DljVbq90C7MVIQHxWmWQ_5_0"/>
      <w:bookmarkStart w:id="1531" w:name="Tc_cCeHeOZVHk-Gjt8ydJ08zw_4_0"/>
      <w:bookmarkStart w:id="1532" w:name="Tc_QzU5XvqvaEypG4pNNQYc3g_2_11"/>
      <w:bookmarkStart w:id="1533" w:name="Tc_ysd2y2Mq5ESRe0TlhLnc5A_2_8"/>
      <w:bookmarkStart w:id="1534" w:name="Tc_SKNHzBHO9Uix1halRE3hBA_2_5"/>
      <w:bookmarkStart w:id="1535" w:name="Tc_EKyz8dnaVE-Q9YNuqDkjQw_2_2"/>
      <w:bookmarkStart w:id="1536" w:name="Tc_Hpj08nMVK0qfEruC_x5QqA_1_8"/>
      <w:bookmarkStart w:id="1537" w:name="Tc_ArDT9l6fs0uLh38HOqVMaw_1_2"/>
      <w:bookmarkStart w:id="1538" w:name="_7f893a8b_93cf_4e3c_9149_b2dceb0cbab5"/>
      <w:bookmarkEnd w:id="1506"/>
      <w:bookmarkEnd w:id="1507"/>
      <w:bookmarkEnd w:id="1508"/>
      <w:bookmarkEnd w:id="1509"/>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bookmarkEnd w:id="1527"/>
      <w:bookmarkEnd w:id="1528"/>
      <w:bookmarkEnd w:id="1529"/>
      <w:bookmarkEnd w:id="1530"/>
      <w:bookmarkEnd w:id="1531"/>
      <w:bookmarkEnd w:id="1532"/>
      <w:bookmarkEnd w:id="1533"/>
      <w:bookmarkEnd w:id="1534"/>
      <w:bookmarkEnd w:id="1535"/>
      <w:bookmarkEnd w:id="1536"/>
      <w:bookmarkEnd w:id="1537"/>
      <w:bookmarkEnd w:id="1538"/>
      <w:r>
        <w:rPr>
          <w:rFonts w:ascii="Times New Roman;Times;serif" w:hAnsi="Times New Roman;Times;serif"/>
          <w:sz w:val="20"/>
        </w:rPr>
        <w:t>The Series A Preferred Stock ranks senior to the Company’s common stock with respect to dividend rights and rights upon liquidation, dissolution or winding up of the Company. The Series A Preferred Stock has no maturity date and will remain outstanding unless redeemed. The Series A Preferred Stock is not redeemable by the Company prior to November 12, 2030 except under limited circumstances intended to preserve the Company’s qualification as a REIT for U.S. federal income tax purposes or upon the occurrence of a change of control, as defined in the Articles Supplementary designating the Series A Preferred Stock (the “Articles Supplementary”). Upon such change in control, the Company may redeem, at its election, the Series A Preferred Stock at a redemption price of $25.00 per share plus any accumulated and unpaid dividends up to, but excluding the date of redemption, and in limited circumstances, the holders of preferred stock shares may convert some or all of their Series A Preferred Stock into shares of the Company’s common stock at conversion rates set forth in the Articles Supplementary.</w:t>
      </w:r>
    </w:p>
    <w:p>
      <w:pPr>
        <w:pStyle w:val="TextBody"/>
        <w:bidi w:val="0"/>
        <w:spacing w:lineRule="auto" w:line="271" w:before="0" w:after="0"/>
        <w:ind w:left="0" w:right="0" w:hanging="0"/>
        <w:jc w:val="both"/>
        <w:rPr/>
      </w:pPr>
      <w:r>
        <w:rPr/>
        <w:t>​</w:t>
      </w:r>
    </w:p>
    <w:p>
      <w:pPr>
        <w:pStyle w:val="TextBody"/>
        <w:bidi w:val="0"/>
        <w:spacing w:lineRule="auto" w:line="271" w:before="0" w:after="0"/>
        <w:ind w:left="0" w:right="0" w:hanging="0"/>
        <w:jc w:val="both"/>
        <w:rPr>
          <w:rFonts w:ascii="Times New Roman;Times;serif" w:hAnsi="Times New Roman;Times;serif"/>
          <w:i/>
          <w:sz w:val="20"/>
        </w:rPr>
      </w:pPr>
      <w:r>
        <w:rPr>
          <w:rFonts w:ascii="Times New Roman;Times;serif" w:hAnsi="Times New Roman;Times;serif"/>
          <w:i/>
          <w:sz w:val="20"/>
        </w:rPr>
        <w:t>NONCONTROLLING INTEREST</w:t>
      </w:r>
    </w:p>
    <w:p>
      <w:pPr>
        <w:pStyle w:val="TextBody"/>
        <w:bidi w:val="0"/>
        <w:spacing w:lineRule="auto" w:line="271"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As of June 30, 2026, CTO holds, directly and indirectly, a 6.5% noncontrolling ownership interest in the Operating Partnership as a result of 1,223,854 OP Units issued to CTO and its wholly owned subsidiaries at the time of the Company’s IPO.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DIVIDENDS</w:t>
      </w:r>
    </w:p>
    <w:p>
      <w:pPr>
        <w:pStyle w:val="TextBody"/>
        <w:bidi w:val="0"/>
        <w:spacing w:before="0" w:after="0"/>
        <w:ind w:left="0" w:right="0" w:firstLine="360"/>
        <w:jc w:val="left"/>
        <w:rPr/>
      </w:pPr>
      <w:r>
        <w:rPr/>
        <w:t>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Company has elected to be taxed as a REIT for U.S. federal income tax purposes under the Code. To qualify as a REIT, the Company must annually distribute, at a minimum, an amount equal to 90% of its taxable income, determined without regard to the deduction for dividends paid and excluding net capital gains, and must distribute 100% of its taxable income (including net capital gains) to eliminate U.S. federal corporate income taxes payable by the Company. Because taxable income differs from cash flow from operations due to non-cash revenues and expenses (such as depreciation and other items), in certain circumstances, the Company may generate operating cash flow in excess of its dividends, or alternatively, may need to make dividend payments in excess of operating cash flows.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following table outlines dividends declared and paid for the Series A Preferred Stock and the Company’s common stock during the three and the six months ended June 30, 2026 and 2025 (in thousands, except per share data):</w:t>
      </w:r>
    </w:p>
    <w:p>
      <w:pPr>
        <w:pStyle w:val="TextBody"/>
        <w:bidi w:val="0"/>
        <w:spacing w:before="0" w:after="0"/>
        <w:ind w:left="0" w:right="0" w:firstLine="360"/>
        <w:jc w:val="both"/>
        <w:rPr/>
      </w:pPr>
      <w:r>
        <w:rPr/>
        <w:t>​</w:t>
      </w:r>
    </w:p>
    <w:tbl>
      <w:tblPr>
        <w:tblW w:w="7650" w:type="dxa"/>
        <w:jc w:val="left"/>
        <w:tblInd w:w="0" w:type="dxa"/>
        <w:tblLayout w:type="fixed"/>
        <w:tblCellMar>
          <w:top w:w="0" w:type="dxa"/>
          <w:left w:w="0" w:type="dxa"/>
          <w:bottom w:w="0" w:type="dxa"/>
          <w:right w:w="0" w:type="dxa"/>
        </w:tblCellMar>
      </w:tblPr>
      <w:tblGrid>
        <w:gridCol w:w="2056"/>
        <w:gridCol w:w="109"/>
        <w:gridCol w:w="343"/>
        <w:gridCol w:w="932"/>
        <w:gridCol w:w="122"/>
        <w:gridCol w:w="343"/>
        <w:gridCol w:w="932"/>
        <w:gridCol w:w="109"/>
        <w:gridCol w:w="303"/>
        <w:gridCol w:w="972"/>
        <w:gridCol w:w="109"/>
        <w:gridCol w:w="310"/>
        <w:gridCol w:w="1010"/>
      </w:tblGrid>
      <w:tr>
        <w:trPr/>
        <w:tc>
          <w:tcPr>
            <w:tcW w:w="205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69215" cy="175260"/>
                      <wp:effectExtent l="0" t="0" r="0" b="0"/>
                      <wp:wrapNone/>
                      <wp:docPr id="325" name="Frame32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217805" cy="175260"/>
                      <wp:effectExtent l="0" t="0" r="0" b="0"/>
                      <wp:wrapNone/>
                      <wp:docPr id="326" name="Frame326"/>
                      <a:graphic xmlns:a="http://schemas.openxmlformats.org/drawingml/2006/main">
                        <a:graphicData uri="http://schemas.microsoft.com/office/word/2010/wordprocessingShape">
                          <wps:wsp>
                            <wps:cNvSpPr txBox="1"/>
                            <wps:spPr>
                              <a:xfrm>
                                <a:off x="0" y="0"/>
                                <a:ext cx="2178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591820" cy="175260"/>
                      <wp:effectExtent l="0" t="0" r="0" b="0"/>
                      <wp:wrapNone/>
                      <wp:docPr id="327" name="Frame327"/>
                      <a:graphic xmlns:a="http://schemas.openxmlformats.org/drawingml/2006/main">
                        <a:graphicData uri="http://schemas.microsoft.com/office/word/2010/wordprocessingShape">
                          <wps:wsp>
                            <wps:cNvSpPr txBox="1"/>
                            <wps:spPr>
                              <a:xfrm>
                                <a:off x="0" y="0"/>
                                <a:ext cx="5918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77470" cy="175260"/>
                      <wp:effectExtent l="0" t="0" r="0" b="0"/>
                      <wp:wrapNone/>
                      <wp:docPr id="328" name="Frame328"/>
                      <a:graphic xmlns:a="http://schemas.openxmlformats.org/drawingml/2006/main">
                        <a:graphicData uri="http://schemas.microsoft.com/office/word/2010/wordprocessingShape">
                          <wps:wsp>
                            <wps:cNvSpPr txBox="1"/>
                            <wps:spPr>
                              <a:xfrm>
                                <a:off x="0" y="0"/>
                                <a:ext cx="774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217805" cy="175260"/>
                      <wp:effectExtent l="0" t="0" r="0" b="0"/>
                      <wp:wrapNone/>
                      <wp:docPr id="329" name="Frame329"/>
                      <a:graphic xmlns:a="http://schemas.openxmlformats.org/drawingml/2006/main">
                        <a:graphicData uri="http://schemas.microsoft.com/office/word/2010/wordprocessingShape">
                          <wps:wsp>
                            <wps:cNvSpPr txBox="1"/>
                            <wps:spPr>
                              <a:xfrm>
                                <a:off x="0" y="0"/>
                                <a:ext cx="2178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591820" cy="175260"/>
                      <wp:effectExtent l="0" t="0" r="0" b="0"/>
                      <wp:wrapNone/>
                      <wp:docPr id="330" name="Frame330"/>
                      <a:graphic xmlns:a="http://schemas.openxmlformats.org/drawingml/2006/main">
                        <a:graphicData uri="http://schemas.microsoft.com/office/word/2010/wordprocessingShape">
                          <wps:wsp>
                            <wps:cNvSpPr txBox="1"/>
                            <wps:spPr>
                              <a:xfrm>
                                <a:off x="0" y="0"/>
                                <a:ext cx="5918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69215" cy="175260"/>
                      <wp:effectExtent l="0" t="0" r="0" b="0"/>
                      <wp:wrapNone/>
                      <wp:docPr id="331" name="Frame33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192405" cy="175260"/>
                      <wp:effectExtent l="0" t="0" r="0" b="0"/>
                      <wp:wrapNone/>
                      <wp:docPr id="332" name="Frame332"/>
                      <a:graphic xmlns:a="http://schemas.openxmlformats.org/drawingml/2006/main">
                        <a:graphicData uri="http://schemas.microsoft.com/office/word/2010/wordprocessingShape">
                          <wps:wsp>
                            <wps:cNvSpPr txBox="1"/>
                            <wps:spPr>
                              <a:xfrm>
                                <a:off x="0" y="0"/>
                                <a:ext cx="1924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617220" cy="175260"/>
                      <wp:effectExtent l="0" t="0" r="0" b="0"/>
                      <wp:wrapNone/>
                      <wp:docPr id="333" name="Frame333"/>
                      <a:graphic xmlns:a="http://schemas.openxmlformats.org/drawingml/2006/main">
                        <a:graphicData uri="http://schemas.microsoft.com/office/word/2010/wordprocessingShape">
                          <wps:wsp>
                            <wps:cNvSpPr txBox="1"/>
                            <wps:spPr>
                              <a:xfrm>
                                <a:off x="0" y="0"/>
                                <a:ext cx="6172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69215" cy="175260"/>
                      <wp:effectExtent l="0" t="0" r="0" b="0"/>
                      <wp:wrapNone/>
                      <wp:docPr id="334" name="Frame33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196850" cy="175260"/>
                      <wp:effectExtent l="0" t="0" r="0" b="0"/>
                      <wp:wrapNone/>
                      <wp:docPr id="335" name="Frame335"/>
                      <a:graphic xmlns:a="http://schemas.openxmlformats.org/drawingml/2006/main">
                        <a:graphicData uri="http://schemas.microsoft.com/office/word/2010/wordprocessingShape">
                          <wps:wsp>
                            <wps:cNvSpPr txBox="1"/>
                            <wps:spPr>
                              <a:xfrm>
                                <a:off x="0" y="0"/>
                                <a:ext cx="1968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641350" cy="175260"/>
                      <wp:effectExtent l="0" t="0" r="0" b="0"/>
                      <wp:wrapNone/>
                      <wp:docPr id="336" name="Frame336"/>
                      <a:graphic xmlns:a="http://schemas.openxmlformats.org/drawingml/2006/main">
                        <a:graphicData uri="http://schemas.microsoft.com/office/word/2010/wordprocessingShape">
                          <wps:wsp>
                            <wps:cNvSpPr txBox="1"/>
                            <wps:spPr>
                              <a:xfrm>
                                <a:off x="0" y="0"/>
                                <a:ext cx="6413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056" w:type="dxa"/>
            <w:tcBorders/>
            <w:vAlign w:val="center"/>
          </w:tcPr>
          <w:p>
            <w:pPr>
              <w:pStyle w:val="TableContents"/>
              <w:bidi w:val="0"/>
              <w:spacing w:before="0" w:after="0"/>
              <w:ind w:left="0" w:right="0" w:hanging="0"/>
              <w:jc w:val="left"/>
              <w:rPr>
                <w:color w:val="FF0000"/>
              </w:rPr>
            </w:pPr>
            <w:r>
              <w:rPr>
                <w:color w:val="FF0000"/>
              </w:rPr>
              <w:t>​</w:t>
            </w:r>
          </w:p>
        </w:tc>
        <w:tc>
          <w:tcPr>
            <w:tcW w:w="109" w:type="dxa"/>
            <w:tcBorders/>
            <w:vAlign w:val="center"/>
          </w:tcPr>
          <w:p>
            <w:pPr>
              <w:pStyle w:val="TableContents"/>
              <w:bidi w:val="0"/>
              <w:spacing w:before="0" w:after="0"/>
              <w:ind w:left="0" w:right="0" w:hanging="0"/>
              <w:jc w:val="left"/>
              <w:rPr/>
            </w:pPr>
            <w:r>
              <w:rPr/>
              <w:t>​</w:t>
            </w:r>
          </w:p>
        </w:tc>
        <w:tc>
          <w:tcPr>
            <w:tcW w:w="2672"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Three Months Ended</w:t>
            </w:r>
          </w:p>
        </w:tc>
        <w:tc>
          <w:tcPr>
            <w:tcW w:w="109" w:type="dxa"/>
            <w:tcBorders/>
            <w:vAlign w:val="center"/>
          </w:tcPr>
          <w:p>
            <w:pPr>
              <w:pStyle w:val="TableContents"/>
              <w:bidi w:val="0"/>
              <w:spacing w:before="0" w:after="0"/>
              <w:ind w:left="0" w:right="0" w:hanging="0"/>
              <w:jc w:val="center"/>
              <w:rPr/>
            </w:pPr>
            <w:r>
              <w:rPr/>
              <w:t>​</w:t>
            </w:r>
          </w:p>
        </w:tc>
        <w:tc>
          <w:tcPr>
            <w:tcW w:w="270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Six Months Ended</w:t>
            </w:r>
          </w:p>
        </w:tc>
      </w:tr>
      <w:tr>
        <w:trPr/>
        <w:tc>
          <w:tcPr>
            <w:tcW w:w="205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2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2026</w:t>
            </w:r>
          </w:p>
        </w:tc>
        <w:tc>
          <w:tcPr>
            <w:tcW w:w="122" w:type="dxa"/>
            <w:tcBorders/>
            <w:vAlign w:val="center"/>
          </w:tcPr>
          <w:p>
            <w:pPr>
              <w:pStyle w:val="TableContents"/>
              <w:bidi w:val="0"/>
              <w:spacing w:before="0" w:after="0"/>
              <w:ind w:left="0" w:right="0" w:hanging="0"/>
              <w:jc w:val="left"/>
              <w:rPr/>
            </w:pPr>
            <w:r>
              <w:rPr/>
              <w:t>​</w:t>
            </w:r>
          </w:p>
        </w:tc>
        <w:tc>
          <w:tcPr>
            <w:tcW w:w="12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2025</w:t>
            </w:r>
          </w:p>
        </w:tc>
        <w:tc>
          <w:tcPr>
            <w:tcW w:w="109" w:type="dxa"/>
            <w:tcBorders/>
            <w:vAlign w:val="center"/>
          </w:tcPr>
          <w:p>
            <w:pPr>
              <w:pStyle w:val="TableContents"/>
              <w:bidi w:val="0"/>
              <w:spacing w:before="0" w:after="0"/>
              <w:ind w:left="0" w:right="0" w:hanging="0"/>
              <w:jc w:val="center"/>
              <w:rPr/>
            </w:pPr>
            <w:r>
              <w:rPr/>
              <w:t>​</w:t>
            </w:r>
          </w:p>
        </w:tc>
        <w:tc>
          <w:tcPr>
            <w:tcW w:w="12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2026</w:t>
            </w:r>
          </w:p>
        </w:tc>
        <w:tc>
          <w:tcPr>
            <w:tcW w:w="109" w:type="dxa"/>
            <w:tcBorders/>
            <w:vAlign w:val="center"/>
          </w:tcPr>
          <w:p>
            <w:pPr>
              <w:pStyle w:val="TableContents"/>
              <w:bidi w:val="0"/>
              <w:spacing w:before="0" w:after="0"/>
              <w:ind w:left="0" w:right="0" w:hanging="0"/>
              <w:jc w:val="left"/>
              <w:rPr/>
            </w:pPr>
            <w:r>
              <w:rPr/>
              <w:t>​</w:t>
            </w:r>
          </w:p>
        </w:tc>
        <w:tc>
          <w:tcPr>
            <w:tcW w:w="13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2025</w:t>
            </w:r>
          </w:p>
        </w:tc>
      </w:tr>
      <w:tr>
        <w:trPr/>
        <w:tc>
          <w:tcPr>
            <w:tcW w:w="205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43" w:type="dxa"/>
            <w:tcBorders/>
            <w:shd w:fill="CCEEFF" w:val="clear"/>
            <w:vAlign w:val="center"/>
          </w:tcPr>
          <w:p>
            <w:pPr>
              <w:pStyle w:val="TableContents"/>
              <w:bidi w:val="0"/>
              <w:spacing w:before="0" w:after="0"/>
              <w:ind w:left="0" w:right="0" w:hanging="0"/>
              <w:jc w:val="left"/>
              <w:rPr/>
            </w:pPr>
            <w:r>
              <w:rPr/>
              <w:t>​</w:t>
            </w:r>
          </w:p>
        </w:tc>
        <w:tc>
          <w:tcPr>
            <w:tcW w:w="932" w:type="dxa"/>
            <w:tcBorders/>
            <w:shd w:fill="CCEEFF" w:val="clear"/>
            <w:vAlign w:val="center"/>
          </w:tcPr>
          <w:p>
            <w:pPr>
              <w:pStyle w:val="TableContents"/>
              <w:bidi w:val="0"/>
              <w:spacing w:before="0" w:after="0"/>
              <w:ind w:left="0" w:right="0" w:hanging="0"/>
              <w:jc w:val="right"/>
              <w:rPr/>
            </w:pPr>
            <w:r>
              <w:rPr/>
              <w:t>​</w:t>
            </w:r>
          </w:p>
        </w:tc>
        <w:tc>
          <w:tcPr>
            <w:tcW w:w="122" w:type="dxa"/>
            <w:tcBorders/>
            <w:shd w:fill="CCEEFF" w:val="clear"/>
            <w:vAlign w:val="center"/>
          </w:tcPr>
          <w:p>
            <w:pPr>
              <w:pStyle w:val="TableContents"/>
              <w:bidi w:val="0"/>
              <w:spacing w:before="0" w:after="0"/>
              <w:ind w:left="0" w:right="0" w:hanging="0"/>
              <w:jc w:val="left"/>
              <w:rPr/>
            </w:pPr>
            <w:r>
              <w:rPr/>
              <w:t>​</w:t>
            </w:r>
          </w:p>
        </w:tc>
        <w:tc>
          <w:tcPr>
            <w:tcW w:w="343" w:type="dxa"/>
            <w:tcBorders/>
            <w:shd w:fill="CCEEFF" w:val="clear"/>
            <w:vAlign w:val="center"/>
          </w:tcPr>
          <w:p>
            <w:pPr>
              <w:pStyle w:val="TableContents"/>
              <w:bidi w:val="0"/>
              <w:spacing w:before="0" w:after="0"/>
              <w:ind w:left="0" w:right="0" w:hanging="0"/>
              <w:jc w:val="left"/>
              <w:rPr/>
            </w:pPr>
            <w:r>
              <w:rPr/>
              <w:t>​</w:t>
            </w:r>
          </w:p>
        </w:tc>
        <w:tc>
          <w:tcPr>
            <w:tcW w:w="932"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303" w:type="dxa"/>
            <w:tcBorders/>
            <w:shd w:fill="CCEEFF" w:val="clear"/>
            <w:vAlign w:val="center"/>
          </w:tcPr>
          <w:p>
            <w:pPr>
              <w:pStyle w:val="TableContents"/>
              <w:bidi w:val="0"/>
              <w:spacing w:before="0" w:after="0"/>
              <w:ind w:left="0" w:right="0" w:hanging="0"/>
              <w:jc w:val="left"/>
              <w:rPr/>
            </w:pPr>
            <w:r>
              <w:rPr/>
              <w:t>​</w:t>
            </w:r>
          </w:p>
        </w:tc>
        <w:tc>
          <w:tcPr>
            <w:tcW w:w="972"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left"/>
              <w:rPr/>
            </w:pPr>
            <w:r>
              <w:rPr/>
              <w:t>​</w:t>
            </w:r>
          </w:p>
        </w:tc>
        <w:tc>
          <w:tcPr>
            <w:tcW w:w="1010" w:type="dxa"/>
            <w:tcBorders/>
            <w:shd w:fill="CCEEFF" w:val="clear"/>
            <w:vAlign w:val="center"/>
          </w:tcPr>
          <w:p>
            <w:pPr>
              <w:pStyle w:val="TableContents"/>
              <w:bidi w:val="0"/>
              <w:spacing w:before="0" w:after="0"/>
              <w:ind w:left="0" w:right="0" w:hanging="0"/>
              <w:jc w:val="right"/>
              <w:rPr/>
            </w:pPr>
            <w:r>
              <w:rPr/>
              <w:t>​</w:t>
            </w:r>
          </w:p>
        </w:tc>
      </w:tr>
      <w:tr>
        <w:trPr/>
        <w:tc>
          <w:tcPr>
            <w:tcW w:w="20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Series A Preferred Stock</w:t>
            </w:r>
          </w:p>
        </w:tc>
        <w:tc>
          <w:tcPr>
            <w:tcW w:w="109" w:type="dxa"/>
            <w:tcBorders/>
            <w:vAlign w:val="center"/>
          </w:tcPr>
          <w:p>
            <w:pPr>
              <w:pStyle w:val="TableContents"/>
              <w:bidi w:val="0"/>
              <w:spacing w:before="0" w:after="0"/>
              <w:ind w:left="0" w:right="0" w:hanging="0"/>
              <w:jc w:val="left"/>
              <w:rPr/>
            </w:pPr>
            <w:r>
              <w:rPr/>
              <w:t>​</w:t>
            </w:r>
          </w:p>
        </w:tc>
        <w:tc>
          <w:tcPr>
            <w:tcW w:w="343" w:type="dxa"/>
            <w:tcBorders/>
            <w:vAlign w:val="center"/>
          </w:tcPr>
          <w:p>
            <w:pPr>
              <w:pStyle w:val="TableContents"/>
              <w:bidi w:val="0"/>
              <w:spacing w:before="0" w:after="0"/>
              <w:ind w:left="0" w:right="0" w:hanging="0"/>
              <w:jc w:val="left"/>
              <w:rPr/>
            </w:pPr>
            <w:r>
              <w:rPr/>
              <w:t>​</w:t>
            </w:r>
          </w:p>
        </w:tc>
        <w:tc>
          <w:tcPr>
            <w:tcW w:w="932" w:type="dxa"/>
            <w:tcBorders/>
            <w:vAlign w:val="center"/>
          </w:tcPr>
          <w:p>
            <w:pPr>
              <w:pStyle w:val="TableContents"/>
              <w:bidi w:val="0"/>
              <w:spacing w:before="0" w:after="0"/>
              <w:ind w:left="0" w:right="0" w:hanging="0"/>
              <w:jc w:val="right"/>
              <w:rPr/>
            </w:pPr>
            <w:r>
              <w:rPr/>
              <w:t>​</w:t>
            </w:r>
          </w:p>
        </w:tc>
        <w:tc>
          <w:tcPr>
            <w:tcW w:w="122" w:type="dxa"/>
            <w:tcBorders/>
            <w:vAlign w:val="center"/>
          </w:tcPr>
          <w:p>
            <w:pPr>
              <w:pStyle w:val="TableContents"/>
              <w:bidi w:val="0"/>
              <w:spacing w:before="0" w:after="0"/>
              <w:ind w:left="0" w:right="0" w:hanging="0"/>
              <w:jc w:val="left"/>
              <w:rPr/>
            </w:pPr>
            <w:r>
              <w:rPr/>
              <w:t>​</w:t>
            </w:r>
          </w:p>
        </w:tc>
        <w:tc>
          <w:tcPr>
            <w:tcW w:w="343" w:type="dxa"/>
            <w:tcBorders/>
            <w:vAlign w:val="center"/>
          </w:tcPr>
          <w:p>
            <w:pPr>
              <w:pStyle w:val="TableContents"/>
              <w:bidi w:val="0"/>
              <w:spacing w:before="0" w:after="0"/>
              <w:ind w:left="0" w:right="0" w:hanging="0"/>
              <w:jc w:val="left"/>
              <w:rPr/>
            </w:pPr>
            <w:r>
              <w:rPr/>
              <w:t>​</w:t>
            </w:r>
          </w:p>
        </w:tc>
        <w:tc>
          <w:tcPr>
            <w:tcW w:w="932"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303" w:type="dxa"/>
            <w:tcBorders/>
            <w:vAlign w:val="center"/>
          </w:tcPr>
          <w:p>
            <w:pPr>
              <w:pStyle w:val="TableContents"/>
              <w:bidi w:val="0"/>
              <w:spacing w:before="0" w:after="0"/>
              <w:ind w:left="0" w:right="0" w:hanging="0"/>
              <w:jc w:val="left"/>
              <w:rPr/>
            </w:pPr>
            <w:r>
              <w:rPr/>
              <w:t>​</w:t>
            </w:r>
          </w:p>
        </w:tc>
        <w:tc>
          <w:tcPr>
            <w:tcW w:w="972"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left"/>
              <w:rPr/>
            </w:pPr>
            <w:r>
              <w:rPr/>
              <w:t>​</w:t>
            </w:r>
          </w:p>
        </w:tc>
        <w:tc>
          <w:tcPr>
            <w:tcW w:w="1010" w:type="dxa"/>
            <w:tcBorders/>
            <w:vAlign w:val="center"/>
          </w:tcPr>
          <w:p>
            <w:pPr>
              <w:pStyle w:val="TableContents"/>
              <w:bidi w:val="0"/>
              <w:spacing w:before="0" w:after="0"/>
              <w:ind w:left="0" w:right="0" w:hanging="0"/>
              <w:jc w:val="right"/>
              <w:rPr/>
            </w:pPr>
            <w:r>
              <w:rPr/>
              <w:t>​</w:t>
            </w:r>
          </w:p>
        </w:tc>
      </w:tr>
      <w:tr>
        <w:trPr/>
        <w:tc>
          <w:tcPr>
            <w:tcW w:w="20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Dividends</w:t>
            </w:r>
          </w:p>
        </w:tc>
        <w:tc>
          <w:tcPr>
            <w:tcW w:w="109" w:type="dxa"/>
            <w:tcBorders/>
            <w:shd w:fill="CCEEFF" w:val="clear"/>
            <w:vAlign w:val="center"/>
          </w:tcPr>
          <w:p>
            <w:pPr>
              <w:pStyle w:val="TableContents"/>
              <w:bidi w:val="0"/>
              <w:spacing w:before="0" w:after="0"/>
              <w:ind w:left="0" w:right="0" w:hanging="0"/>
              <w:jc w:val="left"/>
              <w:rPr/>
            </w:pPr>
            <w:r>
              <w:rPr/>
              <w:t>​</w:t>
            </w:r>
          </w:p>
        </w:tc>
        <w:tc>
          <w:tcPr>
            <w:tcW w:w="34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1,187</w:t>
            </w:r>
          </w:p>
        </w:tc>
        <w:tc>
          <w:tcPr>
            <w:tcW w:w="122" w:type="dxa"/>
            <w:tcBorders/>
            <w:shd w:fill="CCEEFF" w:val="clear"/>
            <w:vAlign w:val="center"/>
          </w:tcPr>
          <w:p>
            <w:pPr>
              <w:pStyle w:val="TableContents"/>
              <w:bidi w:val="0"/>
              <w:spacing w:before="0" w:after="0"/>
              <w:ind w:left="0" w:right="0" w:hanging="0"/>
              <w:jc w:val="left"/>
              <w:rPr/>
            </w:pPr>
            <w:r>
              <w:rPr/>
              <w:t>​</w:t>
            </w:r>
          </w:p>
        </w:tc>
        <w:tc>
          <w:tcPr>
            <w:tcW w:w="34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2"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30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2,309</w:t>
            </w:r>
          </w:p>
        </w:tc>
        <w:tc>
          <w:tcPr>
            <w:tcW w:w="109"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shd w:fill="CCEEFF" w:val="clear"/>
            <w:vAlign w:val="center"/>
          </w:tcPr>
          <w:p>
            <w:pPr>
              <w:pStyle w:val="TableContents"/>
              <w:bidi w:val="0"/>
              <w:spacing w:before="0" w:after="0"/>
              <w:ind w:left="0" w:right="0" w:hanging="0"/>
              <w:jc w:val="right"/>
              <w:rPr/>
            </w:pPr>
            <w:r>
              <w:rPr/>
              <w:t>—</w:t>
            </w:r>
          </w:p>
        </w:tc>
      </w:tr>
      <w:tr>
        <w:trPr/>
        <w:tc>
          <w:tcPr>
            <w:tcW w:w="20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Per Share</w:t>
            </w:r>
          </w:p>
        </w:tc>
        <w:tc>
          <w:tcPr>
            <w:tcW w:w="109" w:type="dxa"/>
            <w:tcBorders/>
            <w:vAlign w:val="center"/>
          </w:tcPr>
          <w:p>
            <w:pPr>
              <w:pStyle w:val="TableContents"/>
              <w:bidi w:val="0"/>
              <w:spacing w:before="0" w:after="0"/>
              <w:ind w:left="0" w:right="0" w:hanging="0"/>
              <w:jc w:val="left"/>
              <w:rPr/>
            </w:pPr>
            <w:r>
              <w:rPr/>
              <w:t>​</w:t>
            </w:r>
          </w:p>
        </w:tc>
        <w:tc>
          <w:tcPr>
            <w:tcW w:w="34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0.500</w:t>
            </w:r>
          </w:p>
        </w:tc>
        <w:tc>
          <w:tcPr>
            <w:tcW w:w="122" w:type="dxa"/>
            <w:tcBorders/>
            <w:vAlign w:val="center"/>
          </w:tcPr>
          <w:p>
            <w:pPr>
              <w:pStyle w:val="TableContents"/>
              <w:bidi w:val="0"/>
              <w:spacing w:before="0" w:after="0"/>
              <w:ind w:left="0" w:right="0" w:hanging="0"/>
              <w:jc w:val="left"/>
              <w:rPr/>
            </w:pPr>
            <w:r>
              <w:rPr/>
              <w:t>​</w:t>
            </w:r>
          </w:p>
        </w:tc>
        <w:tc>
          <w:tcPr>
            <w:tcW w:w="34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2"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30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109"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vAlign w:val="center"/>
          </w:tcPr>
          <w:p>
            <w:pPr>
              <w:pStyle w:val="TableContents"/>
              <w:bidi w:val="0"/>
              <w:spacing w:before="0" w:after="0"/>
              <w:ind w:left="0" w:right="0" w:hanging="0"/>
              <w:jc w:val="right"/>
              <w:rPr/>
            </w:pPr>
            <w:r>
              <w:rPr/>
              <w:t>—</w:t>
            </w:r>
          </w:p>
        </w:tc>
      </w:tr>
      <w:tr>
        <w:trPr/>
        <w:tc>
          <w:tcPr>
            <w:tcW w:w="205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43" w:type="dxa"/>
            <w:tcBorders/>
            <w:shd w:fill="CCEEFF" w:val="clear"/>
            <w:vAlign w:val="center"/>
          </w:tcPr>
          <w:p>
            <w:pPr>
              <w:pStyle w:val="TableContents"/>
              <w:bidi w:val="0"/>
              <w:spacing w:before="0" w:after="0"/>
              <w:ind w:left="0" w:right="0" w:hanging="0"/>
              <w:jc w:val="left"/>
              <w:rPr/>
            </w:pPr>
            <w:r>
              <w:rPr/>
              <w:t>​</w:t>
            </w:r>
          </w:p>
        </w:tc>
        <w:tc>
          <w:tcPr>
            <w:tcW w:w="932" w:type="dxa"/>
            <w:tcBorders/>
            <w:shd w:fill="CCEEFF" w:val="clear"/>
            <w:vAlign w:val="center"/>
          </w:tcPr>
          <w:p>
            <w:pPr>
              <w:pStyle w:val="TableContents"/>
              <w:bidi w:val="0"/>
              <w:spacing w:before="0" w:after="0"/>
              <w:ind w:left="0" w:right="0" w:hanging="0"/>
              <w:jc w:val="right"/>
              <w:rPr/>
            </w:pPr>
            <w:r>
              <w:rPr/>
              <w:t>​</w:t>
            </w:r>
          </w:p>
        </w:tc>
        <w:tc>
          <w:tcPr>
            <w:tcW w:w="122" w:type="dxa"/>
            <w:tcBorders/>
            <w:shd w:fill="CCEEFF" w:val="clear"/>
            <w:vAlign w:val="center"/>
          </w:tcPr>
          <w:p>
            <w:pPr>
              <w:pStyle w:val="TableContents"/>
              <w:bidi w:val="0"/>
              <w:spacing w:before="0" w:after="0"/>
              <w:ind w:left="0" w:right="0" w:hanging="0"/>
              <w:jc w:val="left"/>
              <w:rPr/>
            </w:pPr>
            <w:r>
              <w:rPr/>
              <w:t>​</w:t>
            </w:r>
          </w:p>
        </w:tc>
        <w:tc>
          <w:tcPr>
            <w:tcW w:w="343" w:type="dxa"/>
            <w:tcBorders/>
            <w:shd w:fill="CCEEFF" w:val="clear"/>
            <w:vAlign w:val="center"/>
          </w:tcPr>
          <w:p>
            <w:pPr>
              <w:pStyle w:val="TableContents"/>
              <w:bidi w:val="0"/>
              <w:spacing w:before="0" w:after="0"/>
              <w:ind w:left="0" w:right="0" w:hanging="0"/>
              <w:jc w:val="left"/>
              <w:rPr/>
            </w:pPr>
            <w:r>
              <w:rPr/>
              <w:t>​</w:t>
            </w:r>
          </w:p>
        </w:tc>
        <w:tc>
          <w:tcPr>
            <w:tcW w:w="932"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303" w:type="dxa"/>
            <w:tcBorders/>
            <w:shd w:fill="CCEEFF" w:val="clear"/>
            <w:vAlign w:val="center"/>
          </w:tcPr>
          <w:p>
            <w:pPr>
              <w:pStyle w:val="TableContents"/>
              <w:bidi w:val="0"/>
              <w:spacing w:before="0" w:after="0"/>
              <w:ind w:left="0" w:right="0" w:hanging="0"/>
              <w:jc w:val="left"/>
              <w:rPr/>
            </w:pPr>
            <w:r>
              <w:rPr/>
              <w:t>​</w:t>
            </w:r>
          </w:p>
        </w:tc>
        <w:tc>
          <w:tcPr>
            <w:tcW w:w="972"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left"/>
              <w:rPr/>
            </w:pPr>
            <w:r>
              <w:rPr/>
              <w:t>​</w:t>
            </w:r>
          </w:p>
        </w:tc>
        <w:tc>
          <w:tcPr>
            <w:tcW w:w="1010" w:type="dxa"/>
            <w:tcBorders/>
            <w:shd w:fill="CCEEFF" w:val="clear"/>
            <w:vAlign w:val="center"/>
          </w:tcPr>
          <w:p>
            <w:pPr>
              <w:pStyle w:val="TableContents"/>
              <w:bidi w:val="0"/>
              <w:spacing w:before="0" w:after="0"/>
              <w:ind w:left="0" w:right="0" w:hanging="0"/>
              <w:jc w:val="right"/>
              <w:rPr/>
            </w:pPr>
            <w:r>
              <w:rPr/>
              <w:t>​</w:t>
            </w:r>
          </w:p>
        </w:tc>
      </w:tr>
      <w:tr>
        <w:trPr/>
        <w:tc>
          <w:tcPr>
            <w:tcW w:w="20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Stock</w:t>
            </w:r>
          </w:p>
        </w:tc>
        <w:tc>
          <w:tcPr>
            <w:tcW w:w="109" w:type="dxa"/>
            <w:tcBorders/>
            <w:vAlign w:val="center"/>
          </w:tcPr>
          <w:p>
            <w:pPr>
              <w:pStyle w:val="TableContents"/>
              <w:bidi w:val="0"/>
              <w:spacing w:before="0" w:after="0"/>
              <w:ind w:left="0" w:right="0" w:hanging="0"/>
              <w:jc w:val="left"/>
              <w:rPr/>
            </w:pPr>
            <w:r>
              <w:rPr/>
              <w:t>​</w:t>
            </w:r>
          </w:p>
        </w:tc>
        <w:tc>
          <w:tcPr>
            <w:tcW w:w="343" w:type="dxa"/>
            <w:tcBorders/>
            <w:vAlign w:val="center"/>
          </w:tcPr>
          <w:p>
            <w:pPr>
              <w:pStyle w:val="TableContents"/>
              <w:bidi w:val="0"/>
              <w:spacing w:before="0" w:after="0"/>
              <w:ind w:left="0" w:right="0" w:hanging="0"/>
              <w:jc w:val="left"/>
              <w:rPr/>
            </w:pPr>
            <w:r>
              <w:rPr/>
              <w:t>​</w:t>
            </w:r>
          </w:p>
        </w:tc>
        <w:tc>
          <w:tcPr>
            <w:tcW w:w="932" w:type="dxa"/>
            <w:tcBorders/>
            <w:vAlign w:val="center"/>
          </w:tcPr>
          <w:p>
            <w:pPr>
              <w:pStyle w:val="TableContents"/>
              <w:bidi w:val="0"/>
              <w:spacing w:before="0" w:after="0"/>
              <w:ind w:left="0" w:right="0" w:hanging="0"/>
              <w:jc w:val="right"/>
              <w:rPr/>
            </w:pPr>
            <w:r>
              <w:rPr/>
              <w:t>​</w:t>
            </w:r>
          </w:p>
        </w:tc>
        <w:tc>
          <w:tcPr>
            <w:tcW w:w="122" w:type="dxa"/>
            <w:tcBorders/>
            <w:vAlign w:val="center"/>
          </w:tcPr>
          <w:p>
            <w:pPr>
              <w:pStyle w:val="TableContents"/>
              <w:bidi w:val="0"/>
              <w:spacing w:before="0" w:after="0"/>
              <w:ind w:left="0" w:right="0" w:hanging="0"/>
              <w:jc w:val="left"/>
              <w:rPr/>
            </w:pPr>
            <w:r>
              <w:rPr/>
              <w:t>​</w:t>
            </w:r>
          </w:p>
        </w:tc>
        <w:tc>
          <w:tcPr>
            <w:tcW w:w="343" w:type="dxa"/>
            <w:tcBorders/>
            <w:vAlign w:val="center"/>
          </w:tcPr>
          <w:p>
            <w:pPr>
              <w:pStyle w:val="TableContents"/>
              <w:bidi w:val="0"/>
              <w:spacing w:before="0" w:after="0"/>
              <w:ind w:left="0" w:right="0" w:hanging="0"/>
              <w:jc w:val="left"/>
              <w:rPr/>
            </w:pPr>
            <w:r>
              <w:rPr/>
              <w:t>​</w:t>
            </w:r>
          </w:p>
        </w:tc>
        <w:tc>
          <w:tcPr>
            <w:tcW w:w="932"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303" w:type="dxa"/>
            <w:tcBorders/>
            <w:vAlign w:val="center"/>
          </w:tcPr>
          <w:p>
            <w:pPr>
              <w:pStyle w:val="TableContents"/>
              <w:bidi w:val="0"/>
              <w:spacing w:before="0" w:after="0"/>
              <w:ind w:left="0" w:right="0" w:hanging="0"/>
              <w:jc w:val="left"/>
              <w:rPr/>
            </w:pPr>
            <w:r>
              <w:rPr/>
              <w:t>​</w:t>
            </w:r>
          </w:p>
        </w:tc>
        <w:tc>
          <w:tcPr>
            <w:tcW w:w="972"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left"/>
              <w:rPr/>
            </w:pPr>
            <w:r>
              <w:rPr/>
              <w:t>​</w:t>
            </w:r>
          </w:p>
        </w:tc>
        <w:tc>
          <w:tcPr>
            <w:tcW w:w="1010" w:type="dxa"/>
            <w:tcBorders/>
            <w:vAlign w:val="center"/>
          </w:tcPr>
          <w:p>
            <w:pPr>
              <w:pStyle w:val="TableContents"/>
              <w:bidi w:val="0"/>
              <w:spacing w:before="0" w:after="0"/>
              <w:ind w:left="0" w:right="0" w:hanging="0"/>
              <w:jc w:val="right"/>
              <w:rPr/>
            </w:pPr>
            <w:r>
              <w:rPr/>
              <w:t>​</w:t>
            </w:r>
          </w:p>
        </w:tc>
      </w:tr>
      <w:tr>
        <w:trPr/>
        <w:tc>
          <w:tcPr>
            <w:tcW w:w="20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Dividends</w:t>
            </w:r>
          </w:p>
        </w:tc>
        <w:tc>
          <w:tcPr>
            <w:tcW w:w="109" w:type="dxa"/>
            <w:tcBorders/>
            <w:shd w:fill="CCEEFF" w:val="clear"/>
            <w:vAlign w:val="center"/>
          </w:tcPr>
          <w:p>
            <w:pPr>
              <w:pStyle w:val="TableContents"/>
              <w:bidi w:val="0"/>
              <w:spacing w:before="0" w:after="0"/>
              <w:ind w:left="0" w:right="0" w:hanging="0"/>
              <w:jc w:val="left"/>
              <w:rPr/>
            </w:pPr>
            <w:r>
              <w:rPr/>
              <w:t>​</w:t>
            </w:r>
          </w:p>
        </w:tc>
        <w:tc>
          <w:tcPr>
            <w:tcW w:w="34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5,646</w:t>
            </w:r>
          </w:p>
        </w:tc>
        <w:tc>
          <w:tcPr>
            <w:tcW w:w="122" w:type="dxa"/>
            <w:tcBorders/>
            <w:shd w:fill="CCEEFF" w:val="clear"/>
            <w:vAlign w:val="center"/>
          </w:tcPr>
          <w:p>
            <w:pPr>
              <w:pStyle w:val="TableContents"/>
              <w:bidi w:val="0"/>
              <w:spacing w:before="0" w:after="0"/>
              <w:ind w:left="0" w:right="0" w:hanging="0"/>
              <w:jc w:val="left"/>
              <w:rPr/>
            </w:pPr>
            <w:r>
              <w:rPr/>
              <w:t>​</w:t>
            </w:r>
          </w:p>
        </w:tc>
        <w:tc>
          <w:tcPr>
            <w:tcW w:w="34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4,381</w:t>
            </w:r>
          </w:p>
        </w:tc>
        <w:tc>
          <w:tcPr>
            <w:tcW w:w="109" w:type="dxa"/>
            <w:tcBorders/>
            <w:shd w:fill="CCEEFF" w:val="clear"/>
            <w:vAlign w:val="center"/>
          </w:tcPr>
          <w:p>
            <w:pPr>
              <w:pStyle w:val="TableContents"/>
              <w:bidi w:val="0"/>
              <w:spacing w:before="0" w:after="0"/>
              <w:ind w:left="0" w:right="0" w:hanging="0"/>
              <w:jc w:val="right"/>
              <w:rPr/>
            </w:pPr>
            <w:r>
              <w:rPr/>
              <w:t>​</w:t>
            </w:r>
          </w:p>
        </w:tc>
        <w:tc>
          <w:tcPr>
            <w:tcW w:w="30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10,921</w:t>
            </w:r>
          </w:p>
        </w:tc>
        <w:tc>
          <w:tcPr>
            <w:tcW w:w="109"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8,876</w:t>
            </w:r>
          </w:p>
        </w:tc>
      </w:tr>
      <w:tr>
        <w:trPr/>
        <w:tc>
          <w:tcPr>
            <w:tcW w:w="20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Per Share</w:t>
            </w:r>
          </w:p>
        </w:tc>
        <w:tc>
          <w:tcPr>
            <w:tcW w:w="109" w:type="dxa"/>
            <w:tcBorders/>
            <w:vAlign w:val="center"/>
          </w:tcPr>
          <w:p>
            <w:pPr>
              <w:pStyle w:val="TableContents"/>
              <w:bidi w:val="0"/>
              <w:spacing w:before="0" w:after="0"/>
              <w:ind w:left="0" w:right="0" w:hanging="0"/>
              <w:jc w:val="left"/>
              <w:rPr/>
            </w:pPr>
            <w:r>
              <w:rPr/>
              <w:t>​</w:t>
            </w:r>
          </w:p>
        </w:tc>
        <w:tc>
          <w:tcPr>
            <w:tcW w:w="34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0.300</w:t>
            </w:r>
          </w:p>
        </w:tc>
        <w:tc>
          <w:tcPr>
            <w:tcW w:w="122" w:type="dxa"/>
            <w:tcBorders/>
            <w:vAlign w:val="center"/>
          </w:tcPr>
          <w:p>
            <w:pPr>
              <w:pStyle w:val="TableContents"/>
              <w:bidi w:val="0"/>
              <w:spacing w:before="0" w:after="0"/>
              <w:ind w:left="0" w:right="0" w:hanging="0"/>
              <w:jc w:val="left"/>
              <w:rPr/>
            </w:pPr>
            <w:r>
              <w:rPr/>
              <w:t>​</w:t>
            </w:r>
          </w:p>
        </w:tc>
        <w:tc>
          <w:tcPr>
            <w:tcW w:w="34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0.285</w:t>
            </w:r>
          </w:p>
        </w:tc>
        <w:tc>
          <w:tcPr>
            <w:tcW w:w="109" w:type="dxa"/>
            <w:tcBorders/>
            <w:vAlign w:val="center"/>
          </w:tcPr>
          <w:p>
            <w:pPr>
              <w:pStyle w:val="TableContents"/>
              <w:bidi w:val="0"/>
              <w:spacing w:before="0" w:after="0"/>
              <w:ind w:left="0" w:right="0" w:hanging="0"/>
              <w:jc w:val="right"/>
              <w:rPr/>
            </w:pPr>
            <w:r>
              <w:rPr/>
              <w:t>​</w:t>
            </w:r>
          </w:p>
        </w:tc>
        <w:tc>
          <w:tcPr>
            <w:tcW w:w="30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0.600</w:t>
            </w:r>
          </w:p>
        </w:tc>
        <w:tc>
          <w:tcPr>
            <w:tcW w:w="109"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0.570</w:t>
            </w:r>
          </w:p>
        </w:tc>
      </w:tr>
    </w:tbl>
    <w:p>
      <w:pPr>
        <w:pStyle w:val="TextBody"/>
        <w:bidi w:val="0"/>
        <w:spacing w:lineRule="auto" w:line="271" w:before="0" w:after="0"/>
        <w:ind w:left="0" w:right="0" w:firstLine="360"/>
        <w:jc w:val="both"/>
        <w:rPr/>
      </w:pPr>
      <w:r>
        <w:rPr/>
        <w:t>​</w:t>
      </w:r>
    </w:p>
    <w:p>
      <w:pPr>
        <w:pStyle w:val="TextBody"/>
        <w:bidi w:val="0"/>
        <w:spacing w:lineRule="auto" w:line="271" w:before="0" w:after="240"/>
        <w:ind w:left="0" w:right="0" w:hanging="0"/>
        <w:jc w:val="left"/>
        <w:rPr>
          <w:rFonts w:ascii="Times New Roman;Times;serif" w:hAnsi="Times New Roman;Times;serif"/>
          <w:b/>
          <w:sz w:val="20"/>
        </w:rPr>
      </w:pPr>
      <w:r>
        <w:rPr>
          <w:rFonts w:ascii="Times New Roman;Times;serif" w:hAnsi="Times New Roman;Times;serif"/>
          <w:b/>
          <w:sz w:val="20"/>
        </w:rPr>
        <w:t>NOTE 16. COMMON STOCK AND EARNINGS PER SHARE</w:t>
      </w:r>
    </w:p>
    <w:p>
      <w:pPr>
        <w:pStyle w:val="TextBody"/>
        <w:bidi w:val="0"/>
        <w:spacing w:lineRule="auto" w:line="271" w:before="0" w:after="0"/>
        <w:ind w:left="0" w:right="0" w:firstLine="360"/>
        <w:jc w:val="both"/>
        <w:rPr>
          <w:rFonts w:ascii="Times New Roman;Times;serif" w:hAnsi="Times New Roman;Times;serif"/>
          <w:sz w:val="20"/>
        </w:rPr>
      </w:pPr>
      <w:r>
        <w:rPr>
          <w:rFonts w:ascii="Times New Roman;Times;serif" w:hAnsi="Times New Roman;Times;serif"/>
          <w:sz w:val="20"/>
        </w:rPr>
        <w:t>Basic earnings per common share is computed by dividing net income (loss) attributable to the Company for the period by the weighted average number of shares of common stock outstanding for the period. Diluted earnings per common share is determined based on the assumption that the OP Units are redeemed for shares of our common stock on a one-for-one basis.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71" w:before="0" w:after="0"/>
        <w:ind w:left="0" w:right="0" w:firstLine="360"/>
        <w:jc w:val="both"/>
        <w:rPr>
          <w:rFonts w:ascii="Times New Roman;Times;serif" w:hAnsi="Times New Roman;Times;serif"/>
          <w:sz w:val="20"/>
          <w:shd w:fill="FFFFFF" w:val="clear"/>
        </w:rPr>
      </w:pPr>
      <w:bookmarkStart w:id="1539" w:name="Tc_vVeKnU4Vy0GPOaLlmQZnXg_12_11"/>
      <w:bookmarkStart w:id="1540" w:name="Tc_LcR0v4sYQ0efw3zLTq9Zmg_12_8"/>
      <w:bookmarkStart w:id="1541" w:name="Tc_p0uiCKA4c0ikpymu6rxIaA_12_5"/>
      <w:bookmarkStart w:id="1542" w:name="Tc_g9pK8-zev0CecyT2UHUdCQ_12_2"/>
      <w:bookmarkStart w:id="1543" w:name="Tc_XJTREhPHP0ipUrikaDRfKw_12_0"/>
      <w:bookmarkStart w:id="1544" w:name="Tc_6RT3EMROoU2cQbr-A6og6A_11_11"/>
      <w:bookmarkStart w:id="1545" w:name="Tc__PKvAcnN80ia92T6duQxJg_11_8"/>
      <w:bookmarkStart w:id="1546" w:name="Tc_iw5DC4KNUECLK8Yd7R0wig_11_5"/>
      <w:bookmarkStart w:id="1547" w:name="Tc_4E6gpjK5DUa29Kafj7mKSA_11_2"/>
      <w:bookmarkStart w:id="1548" w:name="Tc_k4ycMlE_qUewfkG_Nya37w_11_0"/>
      <w:bookmarkStart w:id="1549" w:name="Tc_G6-HoIlLDE-XCoQ_BJ_-CA_10_0"/>
      <w:bookmarkStart w:id="1550" w:name="Tc_fyyD5iJjzkmFTbO7bleM0Q_9_0"/>
      <w:bookmarkStart w:id="1551" w:name="Tc_PJwkTjvQJ0GJF24RgzHJTA_7_0"/>
      <w:bookmarkStart w:id="1552" w:name="Tc_0bycR74PeUepAL3tayl8KA_6_0"/>
      <w:bookmarkStart w:id="1553" w:name="Tc_A11aZYkRa0yWGc4drp0bdg_5_0"/>
      <w:bookmarkStart w:id="1554" w:name="Tc_TLY-YPDLnEi47DMnrutpLw_3_11"/>
      <w:bookmarkStart w:id="1555" w:name="Tc_gpOCt3t7UkegPTzl34JCoA_3_8"/>
      <w:bookmarkStart w:id="1556" w:name="Tc_acki0Uvu_0Oq158YIhCWoA_3_5"/>
      <w:bookmarkStart w:id="1557" w:name="Tc_VUtkGpUvWU21DvDpf0545Q_3_2"/>
      <w:bookmarkStart w:id="1558" w:name="Tc_D5r-WW_3pEK2D_MAUdYnJQ_3_0"/>
      <w:bookmarkStart w:id="1559" w:name="Tc_7jq9pKIazkKbLJsyOrtQCg_2_11"/>
      <w:bookmarkStart w:id="1560" w:name="Tc_3X5YDxS2a0OuoEf7itQI_Q_2_8"/>
      <w:bookmarkStart w:id="1561" w:name="Tc_916QTKokzUe98c-_zSRiaA_2_5"/>
      <w:bookmarkStart w:id="1562" w:name="Tc_5xsGRE-LZUylf9e5I4pfoQ_2_2"/>
      <w:bookmarkStart w:id="1563" w:name="Tc_5c3TbBV-80CrDo3aA6gkrQ_1_8"/>
      <w:bookmarkStart w:id="1564" w:name="Tc_2wy33atsX0-L6iiza4-7zA_1_2"/>
      <w:bookmarkStart w:id="1565" w:name="_0626e53b_9dc9_43c0_bcdf_e18fd575388d"/>
      <w:bookmarkStart w:id="1566" w:name="_05de662d_cd7c_4f5e_a1ec_d168be590536"/>
      <w:bookmarkEnd w:id="1539"/>
      <w:bookmarkEnd w:id="1540"/>
      <w:bookmarkEnd w:id="1541"/>
      <w:bookmarkEnd w:id="1542"/>
      <w:bookmarkEnd w:id="1543"/>
      <w:bookmarkEnd w:id="1544"/>
      <w:bookmarkEnd w:id="1545"/>
      <w:bookmarkEnd w:id="1546"/>
      <w:bookmarkEnd w:id="1547"/>
      <w:bookmarkEnd w:id="1548"/>
      <w:bookmarkEnd w:id="1549"/>
      <w:bookmarkEnd w:id="1550"/>
      <w:bookmarkEnd w:id="1551"/>
      <w:bookmarkEnd w:id="1552"/>
      <w:bookmarkEnd w:id="1553"/>
      <w:bookmarkEnd w:id="1554"/>
      <w:bookmarkEnd w:id="1555"/>
      <w:bookmarkEnd w:id="1556"/>
      <w:bookmarkEnd w:id="1557"/>
      <w:bookmarkEnd w:id="1558"/>
      <w:bookmarkEnd w:id="1559"/>
      <w:bookmarkEnd w:id="1560"/>
      <w:bookmarkEnd w:id="1561"/>
      <w:bookmarkEnd w:id="1562"/>
      <w:bookmarkEnd w:id="1563"/>
      <w:bookmarkEnd w:id="1564"/>
      <w:bookmarkEnd w:id="1565"/>
      <w:bookmarkEnd w:id="1566"/>
      <w:r>
        <w:rPr>
          <w:rFonts w:ascii="Times New Roman;Times;serif" w:hAnsi="Times New Roman;Times;serif"/>
          <w:sz w:val="20"/>
          <w:shd w:fill="FFFFFF" w:val="clear"/>
        </w:rPr>
        <w:t>The following is a reconciliation of basic and diluted earnings per common share (in thousands, except share and per share data):</w:t>
      </w:r>
    </w:p>
    <w:p>
      <w:pPr>
        <w:pStyle w:val="TextBody"/>
        <w:bidi w:val="0"/>
        <w:spacing w:lineRule="auto" w:line="271" w:before="0" w:after="0"/>
        <w:ind w:left="0" w:right="0" w:firstLine="360"/>
        <w:jc w:val="both"/>
        <w:rPr>
          <w:shd w:fill="FFFFFF" w:val="clear"/>
        </w:rPr>
      </w:pPr>
      <w:r>
        <w:rPr>
          <w:shd w:fill="FFFFFF" w:val="clear"/>
        </w:rPr>
        <w:t>​</w:t>
      </w:r>
    </w:p>
    <w:tbl>
      <w:tblPr>
        <w:tblW w:w="10205" w:type="dxa"/>
        <w:jc w:val="left"/>
        <w:tblInd w:w="0" w:type="dxa"/>
        <w:tblLayout w:type="fixed"/>
        <w:tblCellMar>
          <w:top w:w="0" w:type="dxa"/>
          <w:left w:w="0" w:type="dxa"/>
          <w:bottom w:w="0" w:type="dxa"/>
          <w:right w:w="0" w:type="dxa"/>
        </w:tblCellMar>
      </w:tblPr>
      <w:tblGrid>
        <w:gridCol w:w="5167"/>
        <w:gridCol w:w="109"/>
        <w:gridCol w:w="200"/>
        <w:gridCol w:w="938"/>
        <w:gridCol w:w="109"/>
        <w:gridCol w:w="200"/>
        <w:gridCol w:w="938"/>
        <w:gridCol w:w="109"/>
        <w:gridCol w:w="200"/>
        <w:gridCol w:w="938"/>
        <w:gridCol w:w="109"/>
        <w:gridCol w:w="200"/>
        <w:gridCol w:w="988"/>
      </w:tblGrid>
      <w:tr>
        <w:trPr/>
        <w:tc>
          <w:tcPr>
            <w:tcW w:w="5167" w:type="dxa"/>
            <w:tcBorders/>
            <w:vAlign w:val="center"/>
          </w:tcPr>
          <w:p>
            <w:pPr>
              <w:pStyle w:val="TableContents"/>
              <w:bidi w:val="0"/>
              <w:spacing w:lineRule="auto" w:line="271"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69215" cy="175260"/>
                      <wp:effectExtent l="0" t="0" r="0" b="0"/>
                      <wp:wrapNone/>
                      <wp:docPr id="337" name="Frame33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71"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71" w:before="0" w:after="0"/>
                              <w:ind w:left="0" w:right="0" w:hanging="0"/>
                              <w:jc w:val="left"/>
                              <w:rPr/>
                            </w:pPr>
                            <w:r>
                              <w:rPr/>
                              <w:t>​</w:t>
                            </w:r>
                          </w:p>
                        </w:txbxContent>
                      </v:textbox>
                      <w10:wrap type="none"/>
                    </v:rect>
                  </w:pict>
                </mc:Fallback>
              </mc:AlternateContent>
            </w:r>
          </w:p>
        </w:tc>
        <w:tc>
          <w:tcPr>
            <w:tcW w:w="2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127000" cy="175260"/>
                      <wp:effectExtent l="0" t="0" r="0" b="0"/>
                      <wp:wrapNone/>
                      <wp:docPr id="338" name="Frame338"/>
                      <a:graphic xmlns:a="http://schemas.openxmlformats.org/drawingml/2006/main">
                        <a:graphicData uri="http://schemas.microsoft.com/office/word/2010/wordprocessingShape">
                          <wps:wsp>
                            <wps:cNvSpPr txBox="1"/>
                            <wps:spPr>
                              <a:xfrm>
                                <a:off x="0" y="0"/>
                                <a:ext cx="127000" cy="175260"/>
                              </a:xfrm>
                              <a:prstGeom prst="rect"/>
                              <a:solidFill>
                                <a:srgbClr val="FFFFFF"/>
                              </a:solidFill>
                            </wps:spPr>
                            <wps:txbx>
                              <w:txbxContent>
                                <w:p>
                                  <w:pPr>
                                    <w:pStyle w:val="TableContents"/>
                                    <w:bidi w:val="0"/>
                                    <w:spacing w:lineRule="auto" w:line="271"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71" w:before="0" w:after="0"/>
                              <w:ind w:left="0" w:right="0" w:hanging="0"/>
                              <w:jc w:val="left"/>
                              <w:rPr/>
                            </w:pPr>
                            <w:r>
                              <w:rPr/>
                              <w:t>​</w:t>
                            </w:r>
                          </w:p>
                        </w:txbxContent>
                      </v:textbox>
                      <w10:wrap type="none"/>
                    </v:rect>
                  </w:pict>
                </mc:Fallback>
              </mc:AlternateContent>
            </w:r>
          </w:p>
        </w:tc>
        <w:tc>
          <w:tcPr>
            <w:tcW w:w="9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595630" cy="175260"/>
                      <wp:effectExtent l="0" t="0" r="0" b="0"/>
                      <wp:wrapNone/>
                      <wp:docPr id="339" name="Frame339"/>
                      <a:graphic xmlns:a="http://schemas.openxmlformats.org/drawingml/2006/main">
                        <a:graphicData uri="http://schemas.microsoft.com/office/word/2010/wordprocessingShape">
                          <wps:wsp>
                            <wps:cNvSpPr txBox="1"/>
                            <wps:spPr>
                              <a:xfrm>
                                <a:off x="0" y="0"/>
                                <a:ext cx="595630" cy="175260"/>
                              </a:xfrm>
                              <a:prstGeom prst="rect"/>
                              <a:solidFill>
                                <a:srgbClr val="FFFFFF"/>
                              </a:solidFill>
                            </wps:spPr>
                            <wps:txbx>
                              <w:txbxContent>
                                <w:p>
                                  <w:pPr>
                                    <w:pStyle w:val="TableContents"/>
                                    <w:bidi w:val="0"/>
                                    <w:spacing w:lineRule="auto" w:line="271"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71"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69215" cy="175260"/>
                      <wp:effectExtent l="0" t="0" r="0" b="0"/>
                      <wp:wrapNone/>
                      <wp:docPr id="340" name="Frame34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71"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71" w:before="0" w:after="0"/>
                              <w:ind w:left="0" w:right="0" w:hanging="0"/>
                              <w:jc w:val="left"/>
                              <w:rPr/>
                            </w:pPr>
                            <w:r>
                              <w:rPr/>
                              <w:t>​</w:t>
                            </w:r>
                          </w:p>
                        </w:txbxContent>
                      </v:textbox>
                      <w10:wrap type="none"/>
                    </v:rect>
                  </w:pict>
                </mc:Fallback>
              </mc:AlternateContent>
            </w:r>
          </w:p>
        </w:tc>
        <w:tc>
          <w:tcPr>
            <w:tcW w:w="2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127000" cy="175260"/>
                      <wp:effectExtent l="0" t="0" r="0" b="0"/>
                      <wp:wrapNone/>
                      <wp:docPr id="341" name="Frame341"/>
                      <a:graphic xmlns:a="http://schemas.openxmlformats.org/drawingml/2006/main">
                        <a:graphicData uri="http://schemas.microsoft.com/office/word/2010/wordprocessingShape">
                          <wps:wsp>
                            <wps:cNvSpPr txBox="1"/>
                            <wps:spPr>
                              <a:xfrm>
                                <a:off x="0" y="0"/>
                                <a:ext cx="127000" cy="175260"/>
                              </a:xfrm>
                              <a:prstGeom prst="rect"/>
                              <a:solidFill>
                                <a:srgbClr val="FFFFFF"/>
                              </a:solidFill>
                            </wps:spPr>
                            <wps:txbx>
                              <w:txbxContent>
                                <w:p>
                                  <w:pPr>
                                    <w:pStyle w:val="TableContents"/>
                                    <w:bidi w:val="0"/>
                                    <w:spacing w:lineRule="auto" w:line="271"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71" w:before="0" w:after="0"/>
                              <w:ind w:left="0" w:right="0" w:hanging="0"/>
                              <w:jc w:val="left"/>
                              <w:rPr/>
                            </w:pPr>
                            <w:r>
                              <w:rPr/>
                              <w:t>​</w:t>
                            </w:r>
                          </w:p>
                        </w:txbxContent>
                      </v:textbox>
                      <w10:wrap type="none"/>
                    </v:rect>
                  </w:pict>
                </mc:Fallback>
              </mc:AlternateContent>
            </w:r>
          </w:p>
        </w:tc>
        <w:tc>
          <w:tcPr>
            <w:tcW w:w="9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595630" cy="175260"/>
                      <wp:effectExtent l="0" t="0" r="0" b="0"/>
                      <wp:wrapNone/>
                      <wp:docPr id="342" name="Frame342"/>
                      <a:graphic xmlns:a="http://schemas.openxmlformats.org/drawingml/2006/main">
                        <a:graphicData uri="http://schemas.microsoft.com/office/word/2010/wordprocessingShape">
                          <wps:wsp>
                            <wps:cNvSpPr txBox="1"/>
                            <wps:spPr>
                              <a:xfrm>
                                <a:off x="0" y="0"/>
                                <a:ext cx="595630" cy="175260"/>
                              </a:xfrm>
                              <a:prstGeom prst="rect"/>
                              <a:solidFill>
                                <a:srgbClr val="FFFFFF"/>
                              </a:solidFill>
                            </wps:spPr>
                            <wps:txbx>
                              <w:txbxContent>
                                <w:p>
                                  <w:pPr>
                                    <w:pStyle w:val="TableContents"/>
                                    <w:bidi w:val="0"/>
                                    <w:spacing w:lineRule="auto" w:line="271"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71"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69215" cy="175260"/>
                      <wp:effectExtent l="0" t="0" r="0" b="0"/>
                      <wp:wrapNone/>
                      <wp:docPr id="343" name="Frame34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71"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71" w:before="0" w:after="0"/>
                              <w:ind w:left="0" w:right="0" w:hanging="0"/>
                              <w:jc w:val="left"/>
                              <w:rPr/>
                            </w:pPr>
                            <w:r>
                              <w:rPr/>
                              <w:t>​</w:t>
                            </w:r>
                          </w:p>
                        </w:txbxContent>
                      </v:textbox>
                      <w10:wrap type="none"/>
                    </v:rect>
                  </w:pict>
                </mc:Fallback>
              </mc:AlternateContent>
            </w:r>
          </w:p>
        </w:tc>
        <w:tc>
          <w:tcPr>
            <w:tcW w:w="2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127000" cy="175260"/>
                      <wp:effectExtent l="0" t="0" r="0" b="0"/>
                      <wp:wrapNone/>
                      <wp:docPr id="344" name="Frame344"/>
                      <a:graphic xmlns:a="http://schemas.openxmlformats.org/drawingml/2006/main">
                        <a:graphicData uri="http://schemas.microsoft.com/office/word/2010/wordprocessingShape">
                          <wps:wsp>
                            <wps:cNvSpPr txBox="1"/>
                            <wps:spPr>
                              <a:xfrm>
                                <a:off x="0" y="0"/>
                                <a:ext cx="127000" cy="175260"/>
                              </a:xfrm>
                              <a:prstGeom prst="rect"/>
                              <a:solidFill>
                                <a:srgbClr val="FFFFFF"/>
                              </a:solidFill>
                            </wps:spPr>
                            <wps:txbx>
                              <w:txbxContent>
                                <w:p>
                                  <w:pPr>
                                    <w:pStyle w:val="TableContents"/>
                                    <w:bidi w:val="0"/>
                                    <w:spacing w:lineRule="auto" w:line="271"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71" w:before="0" w:after="0"/>
                              <w:ind w:left="0" w:right="0" w:hanging="0"/>
                              <w:jc w:val="left"/>
                              <w:rPr/>
                            </w:pPr>
                            <w:r>
                              <w:rPr/>
                              <w:t>​</w:t>
                            </w:r>
                          </w:p>
                        </w:txbxContent>
                      </v:textbox>
                      <w10:wrap type="none"/>
                    </v:rect>
                  </w:pict>
                </mc:Fallback>
              </mc:AlternateContent>
            </w:r>
          </w:p>
        </w:tc>
        <w:tc>
          <w:tcPr>
            <w:tcW w:w="9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595630" cy="175260"/>
                      <wp:effectExtent l="0" t="0" r="0" b="0"/>
                      <wp:wrapNone/>
                      <wp:docPr id="345" name="Frame345"/>
                      <a:graphic xmlns:a="http://schemas.openxmlformats.org/drawingml/2006/main">
                        <a:graphicData uri="http://schemas.microsoft.com/office/word/2010/wordprocessingShape">
                          <wps:wsp>
                            <wps:cNvSpPr txBox="1"/>
                            <wps:spPr>
                              <a:xfrm>
                                <a:off x="0" y="0"/>
                                <a:ext cx="595630" cy="175260"/>
                              </a:xfrm>
                              <a:prstGeom prst="rect"/>
                              <a:solidFill>
                                <a:srgbClr val="FFFFFF"/>
                              </a:solidFill>
                            </wps:spPr>
                            <wps:txbx>
                              <w:txbxContent>
                                <w:p>
                                  <w:pPr>
                                    <w:pStyle w:val="TableContents"/>
                                    <w:bidi w:val="0"/>
                                    <w:spacing w:lineRule="auto" w:line="271"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71"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69215" cy="175260"/>
                      <wp:effectExtent l="0" t="0" r="0" b="0"/>
                      <wp:wrapNone/>
                      <wp:docPr id="346" name="Frame34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71"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71" w:before="0" w:after="0"/>
                              <w:ind w:left="0" w:right="0" w:hanging="0"/>
                              <w:jc w:val="left"/>
                              <w:rPr/>
                            </w:pPr>
                            <w:r>
                              <w:rPr/>
                              <w:t>​</w:t>
                            </w:r>
                          </w:p>
                        </w:txbxContent>
                      </v:textbox>
                      <w10:wrap type="none"/>
                    </v:rect>
                  </w:pict>
                </mc:Fallback>
              </mc:AlternateContent>
            </w:r>
          </w:p>
        </w:tc>
        <w:tc>
          <w:tcPr>
            <w:tcW w:w="2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127000" cy="175260"/>
                      <wp:effectExtent l="0" t="0" r="0" b="0"/>
                      <wp:wrapNone/>
                      <wp:docPr id="347" name="Frame347"/>
                      <a:graphic xmlns:a="http://schemas.openxmlformats.org/drawingml/2006/main">
                        <a:graphicData uri="http://schemas.microsoft.com/office/word/2010/wordprocessingShape">
                          <wps:wsp>
                            <wps:cNvSpPr txBox="1"/>
                            <wps:spPr>
                              <a:xfrm>
                                <a:off x="0" y="0"/>
                                <a:ext cx="127000" cy="175260"/>
                              </a:xfrm>
                              <a:prstGeom prst="rect"/>
                              <a:solidFill>
                                <a:srgbClr val="FFFFFF"/>
                              </a:solidFill>
                            </wps:spPr>
                            <wps:txbx>
                              <w:txbxContent>
                                <w:p>
                                  <w:pPr>
                                    <w:pStyle w:val="TableContents"/>
                                    <w:bidi w:val="0"/>
                                    <w:spacing w:lineRule="auto" w:line="271"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71" w:before="0" w:after="0"/>
                              <w:ind w:left="0" w:right="0" w:hanging="0"/>
                              <w:jc w:val="left"/>
                              <w:rPr/>
                            </w:pPr>
                            <w:r>
                              <w:rPr/>
                              <w:t>​</w:t>
                            </w:r>
                          </w:p>
                        </w:txbxContent>
                      </v:textbox>
                      <w10:wrap type="none"/>
                    </v:rect>
                  </w:pict>
                </mc:Fallback>
              </mc:AlternateContent>
            </w:r>
          </w:p>
        </w:tc>
        <w:tc>
          <w:tcPr>
            <w:tcW w:w="9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627380" cy="175260"/>
                      <wp:effectExtent l="0" t="0" r="0" b="0"/>
                      <wp:wrapNone/>
                      <wp:docPr id="348" name="Frame348"/>
                      <a:graphic xmlns:a="http://schemas.openxmlformats.org/drawingml/2006/main">
                        <a:graphicData uri="http://schemas.microsoft.com/office/word/2010/wordprocessingShape">
                          <wps:wsp>
                            <wps:cNvSpPr txBox="1"/>
                            <wps:spPr>
                              <a:xfrm>
                                <a:off x="0" y="0"/>
                                <a:ext cx="627380" cy="175260"/>
                              </a:xfrm>
                              <a:prstGeom prst="rect"/>
                              <a:solidFill>
                                <a:srgbClr val="FFFFFF"/>
                              </a:solidFill>
                            </wps:spPr>
                            <wps:txbx>
                              <w:txbxContent>
                                <w:p>
                                  <w:pPr>
                                    <w:pStyle w:val="TableContents"/>
                                    <w:bidi w:val="0"/>
                                    <w:spacing w:lineRule="auto" w:line="271"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71" w:before="0" w:after="0"/>
                              <w:ind w:left="0" w:right="0" w:hanging="0"/>
                              <w:jc w:val="left"/>
                              <w:rPr/>
                            </w:pPr>
                            <w:r>
                              <w:rPr/>
                              <w:t>​</w:t>
                            </w:r>
                          </w:p>
                        </w:txbxContent>
                      </v:textbox>
                      <w10:wrap type="none"/>
                    </v:rect>
                  </w:pict>
                </mc:Fallback>
              </mc:AlternateContent>
            </w:r>
          </w:p>
        </w:tc>
      </w:tr>
      <w:tr>
        <w:trPr/>
        <w:tc>
          <w:tcPr>
            <w:tcW w:w="5167" w:type="dxa"/>
            <w:tcBorders/>
            <w:vAlign w:val="center"/>
          </w:tcPr>
          <w:p>
            <w:pPr>
              <w:pStyle w:val="TableContents"/>
              <w:bidi w:val="0"/>
              <w:spacing w:lineRule="auto" w:line="271" w:before="0" w:after="0"/>
              <w:ind w:left="0" w:right="0" w:hanging="0"/>
              <w:jc w:val="left"/>
              <w:rPr>
                <w:color w:val="FF0000"/>
              </w:rPr>
            </w:pPr>
            <w:r>
              <w:rPr>
                <w:color w:val="FF0000"/>
              </w:rPr>
              <w:t>​</w:t>
            </w:r>
          </w:p>
        </w:tc>
        <w:tc>
          <w:tcPr>
            <w:tcW w:w="109" w:type="dxa"/>
            <w:tcBorders/>
            <w:vAlign w:val="center"/>
          </w:tcPr>
          <w:p>
            <w:pPr>
              <w:pStyle w:val="TableContents"/>
              <w:bidi w:val="0"/>
              <w:spacing w:lineRule="auto" w:line="271" w:before="0" w:after="0"/>
              <w:ind w:left="0" w:right="0" w:hanging="0"/>
              <w:jc w:val="left"/>
              <w:rPr/>
            </w:pPr>
            <w:r>
              <w:rPr/>
              <w:t>​</w:t>
            </w:r>
          </w:p>
        </w:tc>
        <w:tc>
          <w:tcPr>
            <w:tcW w:w="2385" w:type="dxa"/>
            <w:gridSpan w:val="5"/>
            <w:tcBorders>
              <w:bottom w:val="single" w:sz="2" w:space="0" w:color="000000"/>
            </w:tcBorders>
            <w:tcMar>
              <w:bottom w:w="28" w:type="dxa"/>
            </w:tcMar>
            <w:vAlign w:val="center"/>
          </w:tcPr>
          <w:p>
            <w:pPr>
              <w:pStyle w:val="TableContents"/>
              <w:bidi w:val="0"/>
              <w:spacing w:lineRule="auto" w:line="271" w:before="0" w:after="0"/>
              <w:ind w:left="0" w:right="0" w:hanging="0"/>
              <w:jc w:val="center"/>
              <w:rPr>
                <w:rFonts w:ascii="Times New Roman;Times;serif" w:hAnsi="Times New Roman;Times;serif"/>
                <w:b/>
                <w:sz w:val="18"/>
              </w:rPr>
            </w:pPr>
            <w:r>
              <w:rPr>
                <w:rFonts w:ascii="Times New Roman;Times;serif" w:hAnsi="Times New Roman;Times;serif"/>
                <w:b/>
                <w:sz w:val="18"/>
              </w:rPr>
              <w:t>Three Months Ended</w:t>
            </w:r>
          </w:p>
        </w:tc>
        <w:tc>
          <w:tcPr>
            <w:tcW w:w="109" w:type="dxa"/>
            <w:tcBorders/>
            <w:vAlign w:val="center"/>
          </w:tcPr>
          <w:p>
            <w:pPr>
              <w:pStyle w:val="TableContents"/>
              <w:bidi w:val="0"/>
              <w:spacing w:lineRule="auto" w:line="271" w:before="0" w:after="0"/>
              <w:ind w:left="0" w:right="0" w:hanging="0"/>
              <w:jc w:val="center"/>
              <w:rPr/>
            </w:pPr>
            <w:r>
              <w:rPr/>
              <w:t>​</w:t>
            </w:r>
          </w:p>
        </w:tc>
        <w:tc>
          <w:tcPr>
            <w:tcW w:w="2435" w:type="dxa"/>
            <w:gridSpan w:val="5"/>
            <w:tcBorders>
              <w:bottom w:val="single" w:sz="2" w:space="0" w:color="000000"/>
            </w:tcBorders>
            <w:tcMar>
              <w:bottom w:w="28" w:type="dxa"/>
            </w:tcMar>
            <w:vAlign w:val="center"/>
          </w:tcPr>
          <w:p>
            <w:pPr>
              <w:pStyle w:val="TableContents"/>
              <w:bidi w:val="0"/>
              <w:spacing w:lineRule="auto" w:line="271" w:before="0" w:after="0"/>
              <w:ind w:left="0" w:right="0" w:hanging="0"/>
              <w:jc w:val="center"/>
              <w:rPr>
                <w:rFonts w:ascii="Times New Roman;Times;serif" w:hAnsi="Times New Roman;Times;serif"/>
                <w:b/>
                <w:sz w:val="18"/>
              </w:rPr>
            </w:pPr>
            <w:r>
              <w:rPr>
                <w:rFonts w:ascii="Times New Roman;Times;serif" w:hAnsi="Times New Roman;Times;serif"/>
                <w:b/>
                <w:sz w:val="18"/>
              </w:rPr>
              <w:t>Six Months Ended</w:t>
            </w:r>
          </w:p>
        </w:tc>
      </w:tr>
      <w:tr>
        <w:trPr/>
        <w:tc>
          <w:tcPr>
            <w:tcW w:w="5167" w:type="dxa"/>
            <w:tcBorders/>
            <w:vAlign w:val="center"/>
          </w:tcPr>
          <w:p>
            <w:pPr>
              <w:pStyle w:val="TableContents"/>
              <w:bidi w:val="0"/>
              <w:spacing w:lineRule="auto" w:line="271" w:before="0" w:after="0"/>
              <w:ind w:left="0" w:right="0" w:hanging="0"/>
              <w:jc w:val="left"/>
              <w:rPr/>
            </w:pPr>
            <w:r>
              <w:rPr/>
              <w:t>​</w:t>
            </w:r>
          </w:p>
        </w:tc>
        <w:tc>
          <w:tcPr>
            <w:tcW w:w="109" w:type="dxa"/>
            <w:tcBorders/>
            <w:vAlign w:val="center"/>
          </w:tcPr>
          <w:p>
            <w:pPr>
              <w:pStyle w:val="TableContents"/>
              <w:bidi w:val="0"/>
              <w:spacing w:lineRule="auto" w:line="271" w:before="0" w:after="0"/>
              <w:ind w:left="0" w:right="0" w:hanging="0"/>
              <w:jc w:val="center"/>
              <w:rPr/>
            </w:pPr>
            <w:r>
              <w:rPr/>
              <w:t>​</w:t>
            </w:r>
          </w:p>
        </w:tc>
        <w:tc>
          <w:tcPr>
            <w:tcW w:w="1138" w:type="dxa"/>
            <w:gridSpan w:val="2"/>
            <w:tcBorders>
              <w:bottom w:val="single" w:sz="2" w:space="0" w:color="000000"/>
            </w:tcBorders>
            <w:tcMar>
              <w:bottom w:w="28" w:type="dxa"/>
            </w:tcMar>
            <w:vAlign w:val="center"/>
          </w:tcPr>
          <w:p>
            <w:pPr>
              <w:pStyle w:val="TableContents"/>
              <w:bidi w:val="0"/>
              <w:spacing w:lineRule="auto" w:line="271" w:before="0" w:after="0"/>
              <w:ind w:left="0" w:right="0" w:hanging="0"/>
              <w:jc w:val="center"/>
              <w:rPr>
                <w:rFonts w:ascii="Times New Roman;Times;serif" w:hAnsi="Times New Roman;Times;serif"/>
                <w:b/>
                <w:sz w:val="18"/>
              </w:rPr>
            </w:pPr>
            <w:r>
              <w:rPr>
                <w:rFonts w:ascii="Times New Roman;Times;serif" w:hAnsi="Times New Roman;Times;serif"/>
                <w:b/>
                <w:sz w:val="18"/>
              </w:rPr>
              <w:t>June 30, 2026</w:t>
            </w:r>
          </w:p>
        </w:tc>
        <w:tc>
          <w:tcPr>
            <w:tcW w:w="109" w:type="dxa"/>
            <w:tcBorders/>
            <w:vAlign w:val="center"/>
          </w:tcPr>
          <w:p>
            <w:pPr>
              <w:pStyle w:val="TableContents"/>
              <w:bidi w:val="0"/>
              <w:spacing w:lineRule="auto" w:line="271" w:before="0" w:after="0"/>
              <w:ind w:left="0" w:right="0" w:hanging="0"/>
              <w:jc w:val="left"/>
              <w:rPr/>
            </w:pPr>
            <w:r>
              <w:rPr/>
              <w:t>​</w:t>
            </w:r>
          </w:p>
        </w:tc>
        <w:tc>
          <w:tcPr>
            <w:tcW w:w="1138" w:type="dxa"/>
            <w:gridSpan w:val="2"/>
            <w:tcBorders>
              <w:bottom w:val="single" w:sz="2" w:space="0" w:color="000000"/>
            </w:tcBorders>
            <w:tcMar>
              <w:bottom w:w="28" w:type="dxa"/>
            </w:tcMar>
            <w:vAlign w:val="center"/>
          </w:tcPr>
          <w:p>
            <w:pPr>
              <w:pStyle w:val="TableContents"/>
              <w:bidi w:val="0"/>
              <w:spacing w:lineRule="auto" w:line="271" w:before="0" w:after="0"/>
              <w:ind w:left="0" w:right="0" w:hanging="0"/>
              <w:jc w:val="center"/>
              <w:rPr>
                <w:rFonts w:ascii="Times New Roman;Times;serif" w:hAnsi="Times New Roman;Times;serif"/>
                <w:b/>
                <w:sz w:val="18"/>
              </w:rPr>
            </w:pPr>
            <w:r>
              <w:rPr>
                <w:rFonts w:ascii="Times New Roman;Times;serif" w:hAnsi="Times New Roman;Times;serif"/>
                <w:b/>
                <w:sz w:val="18"/>
              </w:rPr>
              <w:t>June 30, 2025</w:t>
            </w:r>
          </w:p>
        </w:tc>
        <w:tc>
          <w:tcPr>
            <w:tcW w:w="109" w:type="dxa"/>
            <w:tcBorders/>
            <w:vAlign w:val="center"/>
          </w:tcPr>
          <w:p>
            <w:pPr>
              <w:pStyle w:val="TableContents"/>
              <w:bidi w:val="0"/>
              <w:spacing w:lineRule="auto" w:line="271" w:before="0" w:after="0"/>
              <w:ind w:left="0" w:right="0" w:hanging="0"/>
              <w:jc w:val="center"/>
              <w:rPr/>
            </w:pPr>
            <w:r>
              <w:rPr/>
              <w:t>​</w:t>
            </w:r>
          </w:p>
        </w:tc>
        <w:tc>
          <w:tcPr>
            <w:tcW w:w="1138" w:type="dxa"/>
            <w:gridSpan w:val="2"/>
            <w:tcBorders>
              <w:bottom w:val="single" w:sz="2" w:space="0" w:color="000000"/>
            </w:tcBorders>
            <w:tcMar>
              <w:bottom w:w="28" w:type="dxa"/>
            </w:tcMar>
            <w:vAlign w:val="center"/>
          </w:tcPr>
          <w:p>
            <w:pPr>
              <w:pStyle w:val="TableContents"/>
              <w:bidi w:val="0"/>
              <w:spacing w:lineRule="auto" w:line="271" w:before="0" w:after="0"/>
              <w:ind w:left="0" w:right="0" w:hanging="0"/>
              <w:jc w:val="center"/>
              <w:rPr>
                <w:rFonts w:ascii="Times New Roman;Times;serif" w:hAnsi="Times New Roman;Times;serif"/>
                <w:b/>
                <w:sz w:val="18"/>
              </w:rPr>
            </w:pPr>
            <w:r>
              <w:rPr>
                <w:rFonts w:ascii="Times New Roman;Times;serif" w:hAnsi="Times New Roman;Times;serif"/>
                <w:b/>
                <w:sz w:val="18"/>
              </w:rPr>
              <w:t>June 30, 2026</w:t>
            </w:r>
          </w:p>
        </w:tc>
        <w:tc>
          <w:tcPr>
            <w:tcW w:w="109" w:type="dxa"/>
            <w:tcBorders/>
            <w:vAlign w:val="center"/>
          </w:tcPr>
          <w:p>
            <w:pPr>
              <w:pStyle w:val="TableContents"/>
              <w:bidi w:val="0"/>
              <w:spacing w:lineRule="auto" w:line="271" w:before="0" w:after="0"/>
              <w:ind w:left="0" w:right="0" w:hanging="0"/>
              <w:jc w:val="left"/>
              <w:rPr/>
            </w:pPr>
            <w:r>
              <w:rPr/>
              <w:t>​</w:t>
            </w:r>
          </w:p>
        </w:tc>
        <w:tc>
          <w:tcPr>
            <w:tcW w:w="1188" w:type="dxa"/>
            <w:gridSpan w:val="2"/>
            <w:tcBorders>
              <w:bottom w:val="single" w:sz="2" w:space="0" w:color="000000"/>
            </w:tcBorders>
            <w:tcMar>
              <w:bottom w:w="28" w:type="dxa"/>
            </w:tcMar>
            <w:vAlign w:val="center"/>
          </w:tcPr>
          <w:p>
            <w:pPr>
              <w:pStyle w:val="TableContents"/>
              <w:bidi w:val="0"/>
              <w:spacing w:lineRule="auto" w:line="271" w:before="0" w:after="0"/>
              <w:ind w:left="0" w:right="0" w:hanging="0"/>
              <w:jc w:val="center"/>
              <w:rPr>
                <w:rFonts w:ascii="Times New Roman;Times;serif" w:hAnsi="Times New Roman;Times;serif"/>
                <w:b/>
                <w:sz w:val="18"/>
              </w:rPr>
            </w:pPr>
            <w:r>
              <w:rPr>
                <w:rFonts w:ascii="Times New Roman;Times;serif" w:hAnsi="Times New Roman;Times;serif"/>
                <w:b/>
                <w:sz w:val="18"/>
              </w:rPr>
              <w:t>June 30, 2025</w:t>
            </w:r>
          </w:p>
        </w:tc>
      </w:tr>
      <w:tr>
        <w:trPr/>
        <w:tc>
          <w:tcPr>
            <w:tcW w:w="5167" w:type="dxa"/>
            <w:tcBorders/>
            <w:shd w:fill="CCEEFF" w:val="clear"/>
            <w:vAlign w:val="center"/>
          </w:tcPr>
          <w:p>
            <w:pPr>
              <w:pStyle w:val="TableContents"/>
              <w:bidi w:val="0"/>
              <w:spacing w:lineRule="auto" w:line="271" w:before="0" w:after="0"/>
              <w:ind w:left="0" w:right="0" w:hanging="0"/>
              <w:jc w:val="left"/>
              <w:rPr>
                <w:rFonts w:ascii="Times New Roman;Times;serif" w:hAnsi="Times New Roman;Times;serif"/>
                <w:sz w:val="18"/>
              </w:rPr>
            </w:pPr>
            <w:r>
              <w:rPr>
                <w:rFonts w:ascii="Times New Roman;Times;serif" w:hAnsi="Times New Roman;Times;serif"/>
                <w:sz w:val="18"/>
              </w:rPr>
              <w:t>Net Income (Loss) Attributable to Common Stockholders</w:t>
            </w:r>
          </w:p>
        </w:tc>
        <w:tc>
          <w:tcPr>
            <w:tcW w:w="109" w:type="dxa"/>
            <w:tcBorders/>
            <w:shd w:fill="CCEEFF" w:val="clear"/>
            <w:vAlign w:val="center"/>
          </w:tcPr>
          <w:p>
            <w:pPr>
              <w:pStyle w:val="TableContents"/>
              <w:bidi w:val="0"/>
              <w:spacing w:lineRule="auto" w:line="271" w:before="0" w:after="0"/>
              <w:ind w:left="0" w:right="0" w:hanging="0"/>
              <w:jc w:val="left"/>
              <w:rPr/>
            </w:pPr>
            <w:r>
              <w:rPr/>
              <w:t>​</w:t>
            </w:r>
          </w:p>
        </w:tc>
        <w:tc>
          <w:tcPr>
            <w:tcW w:w="200" w:type="dxa"/>
            <w:tcBorders>
              <w:bottom w:val="double" w:sz="6" w:space="0" w:color="000000"/>
            </w:tcBorders>
            <w:shd w:fill="CCEEFF" w:val="clear"/>
            <w:tcMar>
              <w:bottom w:w="28" w:type="dxa"/>
            </w:tcMar>
            <w:vAlign w:val="center"/>
          </w:tcPr>
          <w:p>
            <w:pPr>
              <w:pStyle w:val="TableContents"/>
              <w:bidi w:val="0"/>
              <w:spacing w:lineRule="auto" w:line="271"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38" w:type="dxa"/>
            <w:tcBorders>
              <w:bottom w:val="double" w:sz="6" w:space="0" w:color="000000"/>
            </w:tcBorders>
            <w:shd w:fill="CCEEFF" w:val="clear"/>
            <w:tcMar>
              <w:bottom w:w="28" w:type="dxa"/>
            </w:tcMar>
            <w:vAlign w:val="center"/>
          </w:tcPr>
          <w:p>
            <w:pPr>
              <w:pStyle w:val="TableContents"/>
              <w:bidi w:val="0"/>
              <w:spacing w:lineRule="auto" w:line="271" w:before="0" w:after="0"/>
              <w:ind w:left="0" w:right="0" w:hanging="0"/>
              <w:jc w:val="right"/>
              <w:rPr>
                <w:rFonts w:ascii="Times New Roman;Times;serif" w:hAnsi="Times New Roman;Times;serif"/>
                <w:sz w:val="18"/>
              </w:rPr>
            </w:pPr>
            <w:r>
              <w:rPr>
                <w:rFonts w:ascii="Times New Roman;Times;serif" w:hAnsi="Times New Roman;Times;serif"/>
                <w:sz w:val="18"/>
              </w:rPr>
              <w:t>3,004</w:t>
            </w:r>
          </w:p>
        </w:tc>
        <w:tc>
          <w:tcPr>
            <w:tcW w:w="109" w:type="dxa"/>
            <w:tcBorders/>
            <w:shd w:fill="CCEEFF" w:val="clear"/>
            <w:vAlign w:val="center"/>
          </w:tcPr>
          <w:p>
            <w:pPr>
              <w:pStyle w:val="TableContents"/>
              <w:bidi w:val="0"/>
              <w:spacing w:lineRule="auto" w:line="271" w:before="0" w:after="0"/>
              <w:ind w:left="0" w:right="0" w:hanging="0"/>
              <w:jc w:val="left"/>
              <w:rPr/>
            </w:pPr>
            <w:r>
              <w:rPr/>
              <w:t>​</w:t>
            </w:r>
          </w:p>
        </w:tc>
        <w:tc>
          <w:tcPr>
            <w:tcW w:w="200" w:type="dxa"/>
            <w:tcBorders>
              <w:bottom w:val="double" w:sz="6" w:space="0" w:color="000000"/>
            </w:tcBorders>
            <w:shd w:fill="CCEEFF" w:val="clear"/>
            <w:tcMar>
              <w:bottom w:w="28" w:type="dxa"/>
            </w:tcMar>
            <w:vAlign w:val="center"/>
          </w:tcPr>
          <w:p>
            <w:pPr>
              <w:pStyle w:val="TableContents"/>
              <w:bidi w:val="0"/>
              <w:spacing w:lineRule="auto" w:line="271"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38" w:type="dxa"/>
            <w:tcBorders>
              <w:bottom w:val="double" w:sz="6" w:space="0" w:color="000000"/>
            </w:tcBorders>
            <w:shd w:fill="CCEEFF" w:val="clear"/>
            <w:tcMar>
              <w:bottom w:w="28" w:type="dxa"/>
            </w:tcMar>
            <w:vAlign w:val="center"/>
          </w:tcPr>
          <w:p>
            <w:pPr>
              <w:pStyle w:val="TableContents"/>
              <w:bidi w:val="0"/>
              <w:spacing w:lineRule="auto" w:line="271" w:before="0" w:after="0"/>
              <w:ind w:left="0" w:right="0" w:hanging="0"/>
              <w:jc w:val="right"/>
              <w:rPr>
                <w:rFonts w:ascii="Times New Roman;Times;serif" w:hAnsi="Times New Roman;Times;serif"/>
                <w:sz w:val="18"/>
              </w:rPr>
            </w:pPr>
            <w:r>
              <w:rPr>
                <w:rFonts w:ascii="Times New Roman;Times;serif" w:hAnsi="Times New Roman;Times;serif"/>
                <w:sz w:val="18"/>
              </w:rPr>
              <w:t>(1,641)</w:t>
            </w:r>
          </w:p>
        </w:tc>
        <w:tc>
          <w:tcPr>
            <w:tcW w:w="109" w:type="dxa"/>
            <w:tcBorders/>
            <w:shd w:fill="CCEEFF" w:val="clear"/>
            <w:vAlign w:val="center"/>
          </w:tcPr>
          <w:p>
            <w:pPr>
              <w:pStyle w:val="TableContents"/>
              <w:bidi w:val="0"/>
              <w:spacing w:lineRule="auto" w:line="271" w:before="0" w:after="0"/>
              <w:ind w:left="0" w:right="0" w:hanging="0"/>
              <w:jc w:val="right"/>
              <w:rPr/>
            </w:pPr>
            <w:r>
              <w:rPr/>
              <w:t>​</w:t>
            </w:r>
          </w:p>
        </w:tc>
        <w:tc>
          <w:tcPr>
            <w:tcW w:w="200" w:type="dxa"/>
            <w:tcBorders>
              <w:bottom w:val="double" w:sz="6" w:space="0" w:color="000000"/>
            </w:tcBorders>
            <w:shd w:fill="CCEEFF" w:val="clear"/>
            <w:tcMar>
              <w:bottom w:w="28" w:type="dxa"/>
            </w:tcMar>
            <w:vAlign w:val="center"/>
          </w:tcPr>
          <w:p>
            <w:pPr>
              <w:pStyle w:val="TableContents"/>
              <w:bidi w:val="0"/>
              <w:spacing w:lineRule="auto" w:line="271"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38" w:type="dxa"/>
            <w:tcBorders>
              <w:bottom w:val="double" w:sz="6" w:space="0" w:color="000000"/>
            </w:tcBorders>
            <w:shd w:fill="CCEEFF" w:val="clear"/>
            <w:tcMar>
              <w:bottom w:w="28" w:type="dxa"/>
            </w:tcMar>
            <w:vAlign w:val="center"/>
          </w:tcPr>
          <w:p>
            <w:pPr>
              <w:pStyle w:val="TableContents"/>
              <w:bidi w:val="0"/>
              <w:spacing w:lineRule="auto" w:line="271" w:before="0" w:after="0"/>
              <w:ind w:left="0" w:right="0" w:hanging="0"/>
              <w:jc w:val="right"/>
              <w:rPr>
                <w:rFonts w:ascii="Times New Roman;Times;serif" w:hAnsi="Times New Roman;Times;serif"/>
                <w:sz w:val="18"/>
              </w:rPr>
            </w:pPr>
            <w:r>
              <w:rPr>
                <w:rFonts w:ascii="Times New Roman;Times;serif" w:hAnsi="Times New Roman;Times;serif"/>
                <w:sz w:val="18"/>
              </w:rPr>
              <w:t>4,067</w:t>
            </w:r>
          </w:p>
        </w:tc>
        <w:tc>
          <w:tcPr>
            <w:tcW w:w="109" w:type="dxa"/>
            <w:tcBorders/>
            <w:shd w:fill="CCEEFF" w:val="clear"/>
            <w:vAlign w:val="center"/>
          </w:tcPr>
          <w:p>
            <w:pPr>
              <w:pStyle w:val="TableContents"/>
              <w:bidi w:val="0"/>
              <w:spacing w:lineRule="auto" w:line="271" w:before="0" w:after="0"/>
              <w:ind w:left="0" w:right="0" w:hanging="0"/>
              <w:jc w:val="left"/>
              <w:rPr/>
            </w:pPr>
            <w:r>
              <w:rPr/>
              <w:t>​</w:t>
            </w:r>
          </w:p>
        </w:tc>
        <w:tc>
          <w:tcPr>
            <w:tcW w:w="200" w:type="dxa"/>
            <w:tcBorders>
              <w:bottom w:val="double" w:sz="6" w:space="0" w:color="000000"/>
            </w:tcBorders>
            <w:shd w:fill="CCEEFF" w:val="clear"/>
            <w:tcMar>
              <w:bottom w:w="28" w:type="dxa"/>
            </w:tcMar>
            <w:vAlign w:val="center"/>
          </w:tcPr>
          <w:p>
            <w:pPr>
              <w:pStyle w:val="TableContents"/>
              <w:bidi w:val="0"/>
              <w:spacing w:lineRule="auto" w:line="271"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88" w:type="dxa"/>
            <w:tcBorders>
              <w:bottom w:val="double" w:sz="6" w:space="0" w:color="000000"/>
            </w:tcBorders>
            <w:shd w:fill="CCEEFF" w:val="clear"/>
            <w:tcMar>
              <w:bottom w:w="28" w:type="dxa"/>
            </w:tcMar>
            <w:vAlign w:val="center"/>
          </w:tcPr>
          <w:p>
            <w:pPr>
              <w:pStyle w:val="TableContents"/>
              <w:bidi w:val="0"/>
              <w:spacing w:lineRule="auto" w:line="271" w:before="0" w:after="0"/>
              <w:ind w:left="0" w:right="0" w:hanging="0"/>
              <w:jc w:val="right"/>
              <w:rPr>
                <w:rFonts w:ascii="Times New Roman;Times;serif" w:hAnsi="Times New Roman;Times;serif"/>
                <w:sz w:val="18"/>
              </w:rPr>
            </w:pPr>
            <w:r>
              <w:rPr>
                <w:rFonts w:ascii="Times New Roman;Times;serif" w:hAnsi="Times New Roman;Times;serif"/>
                <w:sz w:val="18"/>
              </w:rPr>
              <w:t>(2,820)</w:t>
            </w:r>
          </w:p>
        </w:tc>
      </w:tr>
      <w:tr>
        <w:trPr/>
        <w:tc>
          <w:tcPr>
            <w:tcW w:w="5167" w:type="dxa"/>
            <w:tcBorders/>
            <w:vAlign w:val="center"/>
          </w:tcPr>
          <w:p>
            <w:pPr>
              <w:pStyle w:val="TableContents"/>
              <w:bidi w:val="0"/>
              <w:spacing w:lineRule="auto" w:line="271" w:before="0" w:after="0"/>
              <w:ind w:left="0" w:right="0" w:hanging="0"/>
              <w:jc w:val="left"/>
              <w:rPr/>
            </w:pPr>
            <w:r>
              <w:rPr/>
              <w:t>​</w:t>
            </w:r>
          </w:p>
        </w:tc>
        <w:tc>
          <w:tcPr>
            <w:tcW w:w="109" w:type="dxa"/>
            <w:tcBorders/>
            <w:vAlign w:val="center"/>
          </w:tcPr>
          <w:p>
            <w:pPr>
              <w:pStyle w:val="TableContents"/>
              <w:bidi w:val="0"/>
              <w:spacing w:lineRule="auto" w:line="271" w:before="0" w:after="0"/>
              <w:ind w:left="0" w:right="0" w:hanging="0"/>
              <w:jc w:val="left"/>
              <w:rPr/>
            </w:pPr>
            <w:r>
              <w:rPr/>
              <w:t>​</w:t>
            </w:r>
          </w:p>
        </w:tc>
        <w:tc>
          <w:tcPr>
            <w:tcW w:w="200" w:type="dxa"/>
            <w:tcBorders/>
            <w:vAlign w:val="center"/>
          </w:tcPr>
          <w:p>
            <w:pPr>
              <w:pStyle w:val="TableContents"/>
              <w:bidi w:val="0"/>
              <w:spacing w:lineRule="auto" w:line="271" w:before="0" w:after="0"/>
              <w:ind w:left="0" w:right="0" w:hanging="0"/>
              <w:jc w:val="left"/>
              <w:rPr/>
            </w:pPr>
            <w:r>
              <w:rPr/>
              <w:t>​</w:t>
            </w:r>
          </w:p>
        </w:tc>
        <w:tc>
          <w:tcPr>
            <w:tcW w:w="938" w:type="dxa"/>
            <w:tcBorders/>
            <w:vAlign w:val="center"/>
          </w:tcPr>
          <w:p>
            <w:pPr>
              <w:pStyle w:val="TableContents"/>
              <w:bidi w:val="0"/>
              <w:spacing w:lineRule="auto" w:line="271" w:before="0" w:after="0"/>
              <w:ind w:left="0" w:right="0" w:hanging="0"/>
              <w:jc w:val="right"/>
              <w:rPr/>
            </w:pPr>
            <w:r>
              <w:rPr/>
              <w:t>​</w:t>
            </w:r>
          </w:p>
        </w:tc>
        <w:tc>
          <w:tcPr>
            <w:tcW w:w="109" w:type="dxa"/>
            <w:tcBorders/>
            <w:vAlign w:val="center"/>
          </w:tcPr>
          <w:p>
            <w:pPr>
              <w:pStyle w:val="TableContents"/>
              <w:bidi w:val="0"/>
              <w:spacing w:lineRule="auto" w:line="271" w:before="0" w:after="0"/>
              <w:ind w:left="0" w:right="0" w:hanging="0"/>
              <w:jc w:val="left"/>
              <w:rPr/>
            </w:pPr>
            <w:r>
              <w:rPr/>
              <w:t>​</w:t>
            </w:r>
          </w:p>
        </w:tc>
        <w:tc>
          <w:tcPr>
            <w:tcW w:w="200" w:type="dxa"/>
            <w:tcBorders/>
            <w:vAlign w:val="center"/>
          </w:tcPr>
          <w:p>
            <w:pPr>
              <w:pStyle w:val="TableContents"/>
              <w:bidi w:val="0"/>
              <w:spacing w:lineRule="auto" w:line="271" w:before="0" w:after="0"/>
              <w:ind w:left="0" w:right="0" w:hanging="0"/>
              <w:jc w:val="left"/>
              <w:rPr/>
            </w:pPr>
            <w:r>
              <w:rPr/>
              <w:t>​</w:t>
            </w:r>
          </w:p>
        </w:tc>
        <w:tc>
          <w:tcPr>
            <w:tcW w:w="938" w:type="dxa"/>
            <w:tcBorders/>
            <w:vAlign w:val="center"/>
          </w:tcPr>
          <w:p>
            <w:pPr>
              <w:pStyle w:val="TableContents"/>
              <w:bidi w:val="0"/>
              <w:spacing w:lineRule="auto" w:line="271" w:before="0" w:after="0"/>
              <w:ind w:left="0" w:right="0" w:hanging="0"/>
              <w:jc w:val="right"/>
              <w:rPr/>
            </w:pPr>
            <w:r>
              <w:rPr/>
              <w:t>​</w:t>
            </w:r>
          </w:p>
        </w:tc>
        <w:tc>
          <w:tcPr>
            <w:tcW w:w="109" w:type="dxa"/>
            <w:tcBorders/>
            <w:vAlign w:val="center"/>
          </w:tcPr>
          <w:p>
            <w:pPr>
              <w:pStyle w:val="TableContents"/>
              <w:bidi w:val="0"/>
              <w:spacing w:lineRule="auto" w:line="271" w:before="0" w:after="0"/>
              <w:ind w:left="0" w:right="0" w:hanging="0"/>
              <w:jc w:val="right"/>
              <w:rPr/>
            </w:pPr>
            <w:r>
              <w:rPr/>
              <w:t>​</w:t>
            </w:r>
          </w:p>
        </w:tc>
        <w:tc>
          <w:tcPr>
            <w:tcW w:w="200" w:type="dxa"/>
            <w:tcBorders/>
            <w:vAlign w:val="center"/>
          </w:tcPr>
          <w:p>
            <w:pPr>
              <w:pStyle w:val="TableContents"/>
              <w:bidi w:val="0"/>
              <w:spacing w:lineRule="auto" w:line="271" w:before="0" w:after="0"/>
              <w:ind w:left="0" w:right="0" w:hanging="0"/>
              <w:jc w:val="left"/>
              <w:rPr/>
            </w:pPr>
            <w:r>
              <w:rPr/>
              <w:t>​</w:t>
            </w:r>
          </w:p>
        </w:tc>
        <w:tc>
          <w:tcPr>
            <w:tcW w:w="938" w:type="dxa"/>
            <w:tcBorders/>
            <w:vAlign w:val="center"/>
          </w:tcPr>
          <w:p>
            <w:pPr>
              <w:pStyle w:val="TableContents"/>
              <w:bidi w:val="0"/>
              <w:spacing w:lineRule="auto" w:line="271" w:before="0" w:after="0"/>
              <w:ind w:left="0" w:right="0" w:hanging="0"/>
              <w:jc w:val="right"/>
              <w:rPr/>
            </w:pPr>
            <w:r>
              <w:rPr/>
              <w:t>​</w:t>
            </w:r>
          </w:p>
        </w:tc>
        <w:tc>
          <w:tcPr>
            <w:tcW w:w="109" w:type="dxa"/>
            <w:tcBorders/>
            <w:vAlign w:val="center"/>
          </w:tcPr>
          <w:p>
            <w:pPr>
              <w:pStyle w:val="TableContents"/>
              <w:bidi w:val="0"/>
              <w:spacing w:lineRule="auto" w:line="271" w:before="0" w:after="0"/>
              <w:ind w:left="0" w:right="0" w:hanging="0"/>
              <w:jc w:val="left"/>
              <w:rPr/>
            </w:pPr>
            <w:r>
              <w:rPr/>
              <w:t>​</w:t>
            </w:r>
          </w:p>
        </w:tc>
        <w:tc>
          <w:tcPr>
            <w:tcW w:w="200" w:type="dxa"/>
            <w:tcBorders/>
            <w:vAlign w:val="center"/>
          </w:tcPr>
          <w:p>
            <w:pPr>
              <w:pStyle w:val="TableContents"/>
              <w:bidi w:val="0"/>
              <w:spacing w:lineRule="auto" w:line="271" w:before="0" w:after="0"/>
              <w:ind w:left="0" w:right="0" w:hanging="0"/>
              <w:jc w:val="left"/>
              <w:rPr/>
            </w:pPr>
            <w:r>
              <w:rPr/>
              <w:t>​</w:t>
            </w:r>
          </w:p>
        </w:tc>
        <w:tc>
          <w:tcPr>
            <w:tcW w:w="988" w:type="dxa"/>
            <w:tcBorders/>
            <w:vAlign w:val="center"/>
          </w:tcPr>
          <w:p>
            <w:pPr>
              <w:pStyle w:val="TableContents"/>
              <w:bidi w:val="0"/>
              <w:spacing w:lineRule="auto" w:line="271" w:before="0" w:after="0"/>
              <w:ind w:left="0" w:right="0" w:hanging="0"/>
              <w:jc w:val="right"/>
              <w:rPr/>
            </w:pPr>
            <w:r>
              <w:rPr/>
              <w:t>​</w:t>
            </w:r>
          </w:p>
        </w:tc>
      </w:tr>
      <w:tr>
        <w:trPr/>
        <w:tc>
          <w:tcPr>
            <w:tcW w:w="5167" w:type="dxa"/>
            <w:tcBorders/>
            <w:shd w:fill="CCEEFF" w:val="clear"/>
            <w:vAlign w:val="center"/>
          </w:tcPr>
          <w:p>
            <w:pPr>
              <w:pStyle w:val="TableContents"/>
              <w:bidi w:val="0"/>
              <w:spacing w:lineRule="auto" w:line="271" w:before="0" w:after="0"/>
              <w:ind w:left="0" w:right="0" w:hanging="0"/>
              <w:jc w:val="left"/>
              <w:rPr>
                <w:rFonts w:ascii="Times New Roman;Times;serif" w:hAnsi="Times New Roman;Times;serif"/>
                <w:sz w:val="18"/>
              </w:rPr>
            </w:pPr>
            <w:r>
              <w:rPr>
                <w:rFonts w:ascii="Times New Roman;Times;serif" w:hAnsi="Times New Roman;Times;serif"/>
                <w:sz w:val="18"/>
              </w:rPr>
              <w:t>Weighted Average Number of Common Shares Outstanding</w:t>
            </w:r>
          </w:p>
        </w:tc>
        <w:tc>
          <w:tcPr>
            <w:tcW w:w="109" w:type="dxa"/>
            <w:tcBorders/>
            <w:shd w:fill="CCEEFF" w:val="clear"/>
            <w:vAlign w:val="center"/>
          </w:tcPr>
          <w:p>
            <w:pPr>
              <w:pStyle w:val="TableContents"/>
              <w:bidi w:val="0"/>
              <w:spacing w:lineRule="auto" w:line="271" w:before="0" w:after="0"/>
              <w:ind w:left="0" w:right="0" w:hanging="0"/>
              <w:jc w:val="left"/>
              <w:rPr/>
            </w:pPr>
            <w:r>
              <w:rPr/>
              <w:t>​</w:t>
            </w:r>
          </w:p>
        </w:tc>
        <w:tc>
          <w:tcPr>
            <w:tcW w:w="200" w:type="dxa"/>
            <w:tcBorders/>
            <w:shd w:fill="CCEEFF" w:val="clear"/>
            <w:vAlign w:val="center"/>
          </w:tcPr>
          <w:p>
            <w:pPr>
              <w:pStyle w:val="TableContents"/>
              <w:bidi w:val="0"/>
              <w:spacing w:lineRule="auto" w:line="271" w:before="0" w:after="0"/>
              <w:ind w:left="0" w:right="0" w:hanging="0"/>
              <w:jc w:val="left"/>
              <w:rPr/>
            </w:pPr>
            <w:r>
              <w:rPr/>
              <w:t>​</w:t>
            </w:r>
          </w:p>
        </w:tc>
        <w:tc>
          <w:tcPr>
            <w:tcW w:w="938" w:type="dxa"/>
            <w:tcBorders/>
            <w:shd w:fill="CCEEFF" w:val="clear"/>
            <w:vAlign w:val="center"/>
          </w:tcPr>
          <w:p>
            <w:pPr>
              <w:pStyle w:val="TableContents"/>
              <w:bidi w:val="0"/>
              <w:spacing w:lineRule="auto" w:line="271" w:before="0" w:after="0"/>
              <w:ind w:left="0" w:right="0" w:hanging="0"/>
              <w:jc w:val="right"/>
              <w:rPr>
                <w:rFonts w:ascii="Times New Roman;Times;serif" w:hAnsi="Times New Roman;Times;serif"/>
                <w:sz w:val="18"/>
              </w:rPr>
            </w:pPr>
            <w:r>
              <w:rPr>
                <w:rFonts w:ascii="Times New Roman;Times;serif" w:hAnsi="Times New Roman;Times;serif"/>
                <w:sz w:val="18"/>
              </w:rPr>
              <w:t>17,066,917</w:t>
            </w:r>
          </w:p>
        </w:tc>
        <w:tc>
          <w:tcPr>
            <w:tcW w:w="109" w:type="dxa"/>
            <w:tcBorders/>
            <w:shd w:fill="CCEEFF" w:val="clear"/>
            <w:vAlign w:val="center"/>
          </w:tcPr>
          <w:p>
            <w:pPr>
              <w:pStyle w:val="TableContents"/>
              <w:bidi w:val="0"/>
              <w:spacing w:lineRule="auto" w:line="271" w:before="0" w:after="0"/>
              <w:ind w:left="0" w:right="0" w:hanging="0"/>
              <w:jc w:val="left"/>
              <w:rPr/>
            </w:pPr>
            <w:r>
              <w:rPr/>
              <w:t>​</w:t>
            </w:r>
          </w:p>
        </w:tc>
        <w:tc>
          <w:tcPr>
            <w:tcW w:w="200" w:type="dxa"/>
            <w:tcBorders/>
            <w:shd w:fill="CCEEFF" w:val="clear"/>
            <w:vAlign w:val="center"/>
          </w:tcPr>
          <w:p>
            <w:pPr>
              <w:pStyle w:val="TableContents"/>
              <w:bidi w:val="0"/>
              <w:spacing w:lineRule="auto" w:line="271" w:before="0" w:after="0"/>
              <w:ind w:left="0" w:right="0" w:hanging="0"/>
              <w:jc w:val="left"/>
              <w:rPr/>
            </w:pPr>
            <w:r>
              <w:rPr/>
              <w:t>​</w:t>
            </w:r>
          </w:p>
        </w:tc>
        <w:tc>
          <w:tcPr>
            <w:tcW w:w="938" w:type="dxa"/>
            <w:tcBorders/>
            <w:shd w:fill="CCEEFF" w:val="clear"/>
            <w:vAlign w:val="center"/>
          </w:tcPr>
          <w:p>
            <w:pPr>
              <w:pStyle w:val="TableContents"/>
              <w:bidi w:val="0"/>
              <w:spacing w:lineRule="auto" w:line="271" w:before="0" w:after="0"/>
              <w:ind w:left="0" w:right="0" w:hanging="0"/>
              <w:jc w:val="right"/>
              <w:rPr>
                <w:rFonts w:ascii="Times New Roman;Times;serif" w:hAnsi="Times New Roman;Times;serif"/>
                <w:sz w:val="18"/>
              </w:rPr>
            </w:pPr>
            <w:r>
              <w:rPr>
                <w:rFonts w:ascii="Times New Roman;Times;serif" w:hAnsi="Times New Roman;Times;serif"/>
                <w:sz w:val="18"/>
              </w:rPr>
              <w:t>14,202,796</w:t>
            </w:r>
          </w:p>
        </w:tc>
        <w:tc>
          <w:tcPr>
            <w:tcW w:w="109" w:type="dxa"/>
            <w:tcBorders/>
            <w:shd w:fill="CCEEFF" w:val="clear"/>
            <w:vAlign w:val="center"/>
          </w:tcPr>
          <w:p>
            <w:pPr>
              <w:pStyle w:val="TableContents"/>
              <w:bidi w:val="0"/>
              <w:spacing w:lineRule="auto" w:line="271" w:before="0" w:after="0"/>
              <w:ind w:left="0" w:right="0" w:hanging="0"/>
              <w:jc w:val="right"/>
              <w:rPr/>
            </w:pPr>
            <w:r>
              <w:rPr/>
              <w:t>​</w:t>
            </w:r>
          </w:p>
        </w:tc>
        <w:tc>
          <w:tcPr>
            <w:tcW w:w="200" w:type="dxa"/>
            <w:tcBorders/>
            <w:shd w:fill="CCEEFF" w:val="clear"/>
            <w:vAlign w:val="center"/>
          </w:tcPr>
          <w:p>
            <w:pPr>
              <w:pStyle w:val="TableContents"/>
              <w:bidi w:val="0"/>
              <w:spacing w:lineRule="auto" w:line="271" w:before="0" w:after="0"/>
              <w:ind w:left="0" w:right="0" w:hanging="0"/>
              <w:jc w:val="left"/>
              <w:rPr/>
            </w:pPr>
            <w:r>
              <w:rPr/>
              <w:t>​</w:t>
            </w:r>
          </w:p>
        </w:tc>
        <w:tc>
          <w:tcPr>
            <w:tcW w:w="938" w:type="dxa"/>
            <w:tcBorders/>
            <w:shd w:fill="CCEEFF" w:val="clear"/>
            <w:vAlign w:val="center"/>
          </w:tcPr>
          <w:p>
            <w:pPr>
              <w:pStyle w:val="TableContents"/>
              <w:bidi w:val="0"/>
              <w:spacing w:lineRule="auto" w:line="271" w:before="0" w:after="0"/>
              <w:ind w:left="0" w:right="0" w:hanging="0"/>
              <w:jc w:val="right"/>
              <w:rPr>
                <w:rFonts w:ascii="Times New Roman;Times;serif" w:hAnsi="Times New Roman;Times;serif"/>
                <w:sz w:val="18"/>
              </w:rPr>
            </w:pPr>
            <w:r>
              <w:rPr>
                <w:rFonts w:ascii="Times New Roman;Times;serif" w:hAnsi="Times New Roman;Times;serif"/>
                <w:sz w:val="18"/>
              </w:rPr>
              <w:t>16,310,036</w:t>
            </w:r>
          </w:p>
        </w:tc>
        <w:tc>
          <w:tcPr>
            <w:tcW w:w="109" w:type="dxa"/>
            <w:tcBorders/>
            <w:shd w:fill="CCEEFF" w:val="clear"/>
            <w:vAlign w:val="center"/>
          </w:tcPr>
          <w:p>
            <w:pPr>
              <w:pStyle w:val="TableContents"/>
              <w:bidi w:val="0"/>
              <w:spacing w:lineRule="auto" w:line="271" w:before="0" w:after="0"/>
              <w:ind w:left="0" w:right="0" w:hanging="0"/>
              <w:jc w:val="left"/>
              <w:rPr/>
            </w:pPr>
            <w:r>
              <w:rPr/>
              <w:t>​</w:t>
            </w:r>
          </w:p>
        </w:tc>
        <w:tc>
          <w:tcPr>
            <w:tcW w:w="200" w:type="dxa"/>
            <w:tcBorders/>
            <w:shd w:fill="CCEEFF" w:val="clear"/>
            <w:vAlign w:val="center"/>
          </w:tcPr>
          <w:p>
            <w:pPr>
              <w:pStyle w:val="TableContents"/>
              <w:bidi w:val="0"/>
              <w:spacing w:lineRule="auto" w:line="271" w:before="0" w:after="0"/>
              <w:ind w:left="0" w:right="0" w:hanging="0"/>
              <w:jc w:val="left"/>
              <w:rPr/>
            </w:pPr>
            <w:r>
              <w:rPr/>
              <w:t>​</w:t>
            </w:r>
          </w:p>
        </w:tc>
        <w:tc>
          <w:tcPr>
            <w:tcW w:w="988" w:type="dxa"/>
            <w:tcBorders/>
            <w:shd w:fill="CCEEFF" w:val="clear"/>
            <w:vAlign w:val="center"/>
          </w:tcPr>
          <w:p>
            <w:pPr>
              <w:pStyle w:val="TableContents"/>
              <w:bidi w:val="0"/>
              <w:spacing w:lineRule="auto" w:line="271" w:before="0" w:after="0"/>
              <w:ind w:left="0" w:right="0" w:hanging="0"/>
              <w:jc w:val="right"/>
              <w:rPr>
                <w:rFonts w:ascii="Times New Roman;Times;serif" w:hAnsi="Times New Roman;Times;serif"/>
                <w:sz w:val="18"/>
              </w:rPr>
            </w:pPr>
            <w:r>
              <w:rPr>
                <w:rFonts w:ascii="Times New Roman;Times;serif" w:hAnsi="Times New Roman;Times;serif"/>
                <w:sz w:val="18"/>
              </w:rPr>
              <w:t>14,414,682</w:t>
            </w:r>
          </w:p>
        </w:tc>
      </w:tr>
      <w:tr>
        <w:trPr/>
        <w:tc>
          <w:tcPr>
            <w:tcW w:w="5167" w:type="dxa"/>
            <w:tcBorders/>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Weighted Average Number of Common Shares Applicable to OP Units using Treasury Stock Method </w:t>
            </w:r>
            <w:r>
              <w:rPr>
                <w:rFonts w:ascii="Times New Roman;Times;serif" w:hAnsi="Times New Roman;Times;serif"/>
                <w:sz w:val="14"/>
              </w:rPr>
              <w:t>(1)</w:t>
            </w:r>
          </w:p>
        </w:tc>
        <w:tc>
          <w:tcPr>
            <w:tcW w:w="109" w:type="dxa"/>
            <w:tcBorders/>
            <w:vAlign w:val="center"/>
          </w:tcPr>
          <w:p>
            <w:pPr>
              <w:pStyle w:val="TableContents"/>
              <w:bidi w:val="0"/>
              <w:spacing w:lineRule="auto" w:line="271" w:before="0" w:after="0"/>
              <w:ind w:left="0" w:right="0" w:hanging="0"/>
              <w:jc w:val="left"/>
              <w:rPr/>
            </w:pPr>
            <w:r>
              <w:rPr/>
              <w:t>​</w:t>
            </w:r>
          </w:p>
        </w:tc>
        <w:tc>
          <w:tcPr>
            <w:tcW w:w="200" w:type="dxa"/>
            <w:tcBorders>
              <w:bottom w:val="single" w:sz="2" w:space="0" w:color="000000"/>
            </w:tcBorders>
            <w:tcMar>
              <w:bottom w:w="28" w:type="dxa"/>
            </w:tcMar>
            <w:vAlign w:val="center"/>
          </w:tcPr>
          <w:p>
            <w:pPr>
              <w:pStyle w:val="TableContents"/>
              <w:bidi w:val="0"/>
              <w:spacing w:lineRule="auto" w:line="271" w:before="0" w:after="0"/>
              <w:ind w:left="0" w:right="0" w:hanging="0"/>
              <w:jc w:val="left"/>
              <w:rPr/>
            </w:pPr>
            <w:r>
              <w:rPr/>
              <w:t>​</w:t>
            </w:r>
          </w:p>
        </w:tc>
        <w:tc>
          <w:tcPr>
            <w:tcW w:w="938" w:type="dxa"/>
            <w:tcBorders>
              <w:bottom w:val="single" w:sz="2" w:space="0" w:color="000000"/>
            </w:tcBorders>
            <w:tcMar>
              <w:bottom w:w="28" w:type="dxa"/>
            </w:tcMar>
            <w:vAlign w:val="center"/>
          </w:tcPr>
          <w:p>
            <w:pPr>
              <w:pStyle w:val="TableContents"/>
              <w:bidi w:val="0"/>
              <w:spacing w:lineRule="auto" w:line="271" w:before="0" w:after="0"/>
              <w:ind w:left="0" w:right="0" w:hanging="0"/>
              <w:jc w:val="right"/>
              <w:rPr>
                <w:rFonts w:ascii="Times New Roman;Times;serif" w:hAnsi="Times New Roman;Times;serif"/>
                <w:sz w:val="18"/>
              </w:rPr>
            </w:pPr>
            <w:r>
              <w:rPr>
                <w:rFonts w:ascii="Times New Roman;Times;serif" w:hAnsi="Times New Roman;Times;serif"/>
                <w:sz w:val="18"/>
              </w:rPr>
              <w:t>1,223,854</w:t>
            </w:r>
          </w:p>
        </w:tc>
        <w:tc>
          <w:tcPr>
            <w:tcW w:w="109" w:type="dxa"/>
            <w:tcBorders/>
            <w:vAlign w:val="center"/>
          </w:tcPr>
          <w:p>
            <w:pPr>
              <w:pStyle w:val="TableContents"/>
              <w:bidi w:val="0"/>
              <w:spacing w:lineRule="auto" w:line="271" w:before="0" w:after="0"/>
              <w:ind w:left="0" w:right="0" w:hanging="0"/>
              <w:jc w:val="left"/>
              <w:rPr/>
            </w:pPr>
            <w:r>
              <w:rPr/>
              <w:t>​</w:t>
            </w:r>
          </w:p>
        </w:tc>
        <w:tc>
          <w:tcPr>
            <w:tcW w:w="200" w:type="dxa"/>
            <w:tcBorders>
              <w:bottom w:val="single" w:sz="2" w:space="0" w:color="000000"/>
            </w:tcBorders>
            <w:tcMar>
              <w:bottom w:w="28" w:type="dxa"/>
            </w:tcMar>
            <w:vAlign w:val="center"/>
          </w:tcPr>
          <w:p>
            <w:pPr>
              <w:pStyle w:val="TableContents"/>
              <w:bidi w:val="0"/>
              <w:spacing w:lineRule="auto" w:line="271" w:before="0" w:after="0"/>
              <w:ind w:left="0" w:right="0" w:hanging="0"/>
              <w:jc w:val="left"/>
              <w:rPr/>
            </w:pPr>
            <w:r>
              <w:rPr/>
              <w:t>​</w:t>
            </w:r>
          </w:p>
        </w:tc>
        <w:tc>
          <w:tcPr>
            <w:tcW w:w="938" w:type="dxa"/>
            <w:tcBorders>
              <w:bottom w:val="single" w:sz="2" w:space="0" w:color="000000"/>
            </w:tcBorders>
            <w:tcMar>
              <w:bottom w:w="28" w:type="dxa"/>
            </w:tcMar>
            <w:vAlign w:val="center"/>
          </w:tcPr>
          <w:p>
            <w:pPr>
              <w:pStyle w:val="TableContents"/>
              <w:bidi w:val="0"/>
              <w:spacing w:lineRule="auto" w:line="271" w:before="0" w:after="0"/>
              <w:ind w:left="0" w:right="0" w:hanging="0"/>
              <w:jc w:val="right"/>
              <w:rPr>
                <w:rFonts w:ascii="Times New Roman;Times;serif" w:hAnsi="Times New Roman;Times;serif"/>
                <w:sz w:val="18"/>
              </w:rPr>
            </w:pPr>
            <w:r>
              <w:rPr>
                <w:rFonts w:ascii="Times New Roman;Times;serif" w:hAnsi="Times New Roman;Times;serif"/>
                <w:sz w:val="18"/>
              </w:rPr>
              <w:t>1,223,854</w:t>
            </w:r>
          </w:p>
        </w:tc>
        <w:tc>
          <w:tcPr>
            <w:tcW w:w="109" w:type="dxa"/>
            <w:tcBorders/>
            <w:vAlign w:val="center"/>
          </w:tcPr>
          <w:p>
            <w:pPr>
              <w:pStyle w:val="TableContents"/>
              <w:bidi w:val="0"/>
              <w:spacing w:lineRule="auto" w:line="271" w:before="0" w:after="0"/>
              <w:ind w:left="0" w:right="0" w:hanging="0"/>
              <w:jc w:val="right"/>
              <w:rPr/>
            </w:pPr>
            <w:r>
              <w:rPr/>
              <w:t>​</w:t>
            </w:r>
          </w:p>
        </w:tc>
        <w:tc>
          <w:tcPr>
            <w:tcW w:w="200" w:type="dxa"/>
            <w:tcBorders>
              <w:bottom w:val="single" w:sz="2" w:space="0" w:color="000000"/>
            </w:tcBorders>
            <w:tcMar>
              <w:bottom w:w="28" w:type="dxa"/>
            </w:tcMar>
            <w:vAlign w:val="center"/>
          </w:tcPr>
          <w:p>
            <w:pPr>
              <w:pStyle w:val="TableContents"/>
              <w:bidi w:val="0"/>
              <w:spacing w:lineRule="auto" w:line="271" w:before="0" w:after="0"/>
              <w:ind w:left="0" w:right="0" w:hanging="0"/>
              <w:jc w:val="left"/>
              <w:rPr/>
            </w:pPr>
            <w:r>
              <w:rPr/>
              <w:t>​</w:t>
            </w:r>
          </w:p>
        </w:tc>
        <w:tc>
          <w:tcPr>
            <w:tcW w:w="938" w:type="dxa"/>
            <w:tcBorders>
              <w:bottom w:val="single" w:sz="2" w:space="0" w:color="000000"/>
            </w:tcBorders>
            <w:tcMar>
              <w:bottom w:w="28" w:type="dxa"/>
            </w:tcMar>
            <w:vAlign w:val="center"/>
          </w:tcPr>
          <w:p>
            <w:pPr>
              <w:pStyle w:val="TableContents"/>
              <w:bidi w:val="0"/>
              <w:spacing w:lineRule="auto" w:line="271" w:before="0" w:after="0"/>
              <w:ind w:left="0" w:right="0" w:hanging="0"/>
              <w:jc w:val="right"/>
              <w:rPr>
                <w:rFonts w:ascii="Times New Roman;Times;serif" w:hAnsi="Times New Roman;Times;serif"/>
                <w:sz w:val="18"/>
              </w:rPr>
            </w:pPr>
            <w:r>
              <w:rPr>
                <w:rFonts w:ascii="Times New Roman;Times;serif" w:hAnsi="Times New Roman;Times;serif"/>
                <w:sz w:val="18"/>
              </w:rPr>
              <w:t>1,223,854</w:t>
            </w:r>
          </w:p>
        </w:tc>
        <w:tc>
          <w:tcPr>
            <w:tcW w:w="109" w:type="dxa"/>
            <w:tcBorders/>
            <w:vAlign w:val="center"/>
          </w:tcPr>
          <w:p>
            <w:pPr>
              <w:pStyle w:val="TableContents"/>
              <w:bidi w:val="0"/>
              <w:spacing w:lineRule="auto" w:line="271" w:before="0" w:after="0"/>
              <w:ind w:left="0" w:right="0" w:hanging="0"/>
              <w:jc w:val="left"/>
              <w:rPr/>
            </w:pPr>
            <w:r>
              <w:rPr/>
              <w:t>​</w:t>
            </w:r>
          </w:p>
        </w:tc>
        <w:tc>
          <w:tcPr>
            <w:tcW w:w="200" w:type="dxa"/>
            <w:tcBorders>
              <w:bottom w:val="single" w:sz="2" w:space="0" w:color="000000"/>
            </w:tcBorders>
            <w:tcMar>
              <w:bottom w:w="28" w:type="dxa"/>
            </w:tcMar>
            <w:vAlign w:val="center"/>
          </w:tcPr>
          <w:p>
            <w:pPr>
              <w:pStyle w:val="TableContents"/>
              <w:bidi w:val="0"/>
              <w:spacing w:lineRule="auto" w:line="271" w:before="0" w:after="0"/>
              <w:ind w:left="0" w:right="0" w:hanging="0"/>
              <w:jc w:val="left"/>
              <w:rPr/>
            </w:pPr>
            <w:r>
              <w:rPr/>
              <w:t>​</w:t>
            </w:r>
          </w:p>
        </w:tc>
        <w:tc>
          <w:tcPr>
            <w:tcW w:w="988" w:type="dxa"/>
            <w:tcBorders>
              <w:bottom w:val="single" w:sz="2" w:space="0" w:color="000000"/>
            </w:tcBorders>
            <w:tcMar>
              <w:bottom w:w="28" w:type="dxa"/>
            </w:tcMar>
            <w:vAlign w:val="center"/>
          </w:tcPr>
          <w:p>
            <w:pPr>
              <w:pStyle w:val="TableContents"/>
              <w:bidi w:val="0"/>
              <w:spacing w:lineRule="auto" w:line="271" w:before="0" w:after="0"/>
              <w:ind w:left="0" w:right="0" w:hanging="0"/>
              <w:jc w:val="right"/>
              <w:rPr>
                <w:rFonts w:ascii="Times New Roman;Times;serif" w:hAnsi="Times New Roman;Times;serif"/>
                <w:sz w:val="18"/>
              </w:rPr>
            </w:pPr>
            <w:r>
              <w:rPr>
                <w:rFonts w:ascii="Times New Roman;Times;serif" w:hAnsi="Times New Roman;Times;serif"/>
                <w:sz w:val="18"/>
              </w:rPr>
              <w:t>1,223,854</w:t>
            </w:r>
          </w:p>
        </w:tc>
      </w:tr>
      <w:tr>
        <w:trPr/>
        <w:tc>
          <w:tcPr>
            <w:tcW w:w="5167" w:type="dxa"/>
            <w:tcBorders/>
            <w:shd w:fill="CCEEFF" w:val="clear"/>
            <w:vAlign w:val="center"/>
          </w:tcPr>
          <w:p>
            <w:pPr>
              <w:pStyle w:val="TableContents"/>
              <w:bidi w:val="0"/>
              <w:spacing w:lineRule="auto" w:line="271" w:before="0" w:after="0"/>
              <w:ind w:left="0" w:right="0" w:hanging="0"/>
              <w:jc w:val="left"/>
              <w:rPr>
                <w:rFonts w:ascii="Times New Roman;Times;serif" w:hAnsi="Times New Roman;Times;serif"/>
                <w:sz w:val="18"/>
              </w:rPr>
            </w:pPr>
            <w:r>
              <w:rPr>
                <w:rFonts w:ascii="Times New Roman;Times;serif" w:hAnsi="Times New Roman;Times;serif"/>
                <w:sz w:val="18"/>
              </w:rPr>
              <w:t>Total Shares Applicable to Diluted Earnings per Share</w:t>
            </w:r>
          </w:p>
        </w:tc>
        <w:tc>
          <w:tcPr>
            <w:tcW w:w="109" w:type="dxa"/>
            <w:tcBorders/>
            <w:shd w:fill="CCEEFF" w:val="clear"/>
            <w:vAlign w:val="center"/>
          </w:tcPr>
          <w:p>
            <w:pPr>
              <w:pStyle w:val="TableContents"/>
              <w:bidi w:val="0"/>
              <w:spacing w:lineRule="auto" w:line="271" w:before="0" w:after="0"/>
              <w:ind w:left="0" w:right="0" w:hanging="0"/>
              <w:jc w:val="left"/>
              <w:rPr/>
            </w:pPr>
            <w:r>
              <w:rPr/>
              <w:t>​</w:t>
            </w:r>
          </w:p>
        </w:tc>
        <w:tc>
          <w:tcPr>
            <w:tcW w:w="200" w:type="dxa"/>
            <w:tcBorders>
              <w:bottom w:val="double" w:sz="6" w:space="0" w:color="000000"/>
            </w:tcBorders>
            <w:shd w:fill="CCEEFF" w:val="clear"/>
            <w:tcMar>
              <w:bottom w:w="28" w:type="dxa"/>
            </w:tcMar>
            <w:vAlign w:val="center"/>
          </w:tcPr>
          <w:p>
            <w:pPr>
              <w:pStyle w:val="TableContents"/>
              <w:bidi w:val="0"/>
              <w:spacing w:lineRule="auto" w:line="271" w:before="0" w:after="0"/>
              <w:ind w:left="0" w:right="0" w:hanging="0"/>
              <w:jc w:val="left"/>
              <w:rPr/>
            </w:pPr>
            <w:r>
              <w:rPr/>
              <w:t>​</w:t>
            </w:r>
          </w:p>
        </w:tc>
        <w:tc>
          <w:tcPr>
            <w:tcW w:w="938" w:type="dxa"/>
            <w:tcBorders>
              <w:bottom w:val="double" w:sz="6" w:space="0" w:color="000000"/>
            </w:tcBorders>
            <w:shd w:fill="CCEEFF" w:val="clear"/>
            <w:tcMar>
              <w:bottom w:w="28" w:type="dxa"/>
            </w:tcMar>
            <w:vAlign w:val="center"/>
          </w:tcPr>
          <w:p>
            <w:pPr>
              <w:pStyle w:val="TableContents"/>
              <w:bidi w:val="0"/>
              <w:spacing w:lineRule="auto" w:line="271" w:before="0" w:after="0"/>
              <w:ind w:left="0" w:right="0" w:hanging="0"/>
              <w:jc w:val="right"/>
              <w:rPr>
                <w:rFonts w:ascii="Times New Roman;Times;serif" w:hAnsi="Times New Roman;Times;serif"/>
                <w:sz w:val="18"/>
              </w:rPr>
            </w:pPr>
            <w:r>
              <w:rPr>
                <w:rFonts w:ascii="Times New Roman;Times;serif" w:hAnsi="Times New Roman;Times;serif"/>
                <w:sz w:val="18"/>
              </w:rPr>
              <w:t>18,290,771</w:t>
            </w:r>
          </w:p>
        </w:tc>
        <w:tc>
          <w:tcPr>
            <w:tcW w:w="109" w:type="dxa"/>
            <w:tcBorders/>
            <w:shd w:fill="CCEEFF" w:val="clear"/>
            <w:vAlign w:val="center"/>
          </w:tcPr>
          <w:p>
            <w:pPr>
              <w:pStyle w:val="TableContents"/>
              <w:bidi w:val="0"/>
              <w:spacing w:lineRule="auto" w:line="271" w:before="0" w:after="0"/>
              <w:ind w:left="0" w:right="0" w:hanging="0"/>
              <w:jc w:val="left"/>
              <w:rPr/>
            </w:pPr>
            <w:r>
              <w:rPr/>
              <w:t>​</w:t>
            </w:r>
          </w:p>
        </w:tc>
        <w:tc>
          <w:tcPr>
            <w:tcW w:w="200" w:type="dxa"/>
            <w:tcBorders>
              <w:bottom w:val="double" w:sz="6" w:space="0" w:color="000000"/>
            </w:tcBorders>
            <w:shd w:fill="CCEEFF" w:val="clear"/>
            <w:tcMar>
              <w:bottom w:w="28" w:type="dxa"/>
            </w:tcMar>
            <w:vAlign w:val="center"/>
          </w:tcPr>
          <w:p>
            <w:pPr>
              <w:pStyle w:val="TableContents"/>
              <w:bidi w:val="0"/>
              <w:spacing w:lineRule="auto" w:line="271" w:before="0" w:after="0"/>
              <w:ind w:left="0" w:right="0" w:hanging="0"/>
              <w:jc w:val="left"/>
              <w:rPr/>
            </w:pPr>
            <w:r>
              <w:rPr/>
              <w:t>​</w:t>
            </w:r>
          </w:p>
        </w:tc>
        <w:tc>
          <w:tcPr>
            <w:tcW w:w="938" w:type="dxa"/>
            <w:tcBorders>
              <w:bottom w:val="double" w:sz="6" w:space="0" w:color="000000"/>
            </w:tcBorders>
            <w:shd w:fill="CCEEFF" w:val="clear"/>
            <w:tcMar>
              <w:bottom w:w="28" w:type="dxa"/>
            </w:tcMar>
            <w:vAlign w:val="center"/>
          </w:tcPr>
          <w:p>
            <w:pPr>
              <w:pStyle w:val="TableContents"/>
              <w:bidi w:val="0"/>
              <w:spacing w:lineRule="auto" w:line="271" w:before="0" w:after="0"/>
              <w:ind w:left="0" w:right="0" w:hanging="0"/>
              <w:jc w:val="right"/>
              <w:rPr>
                <w:rFonts w:ascii="Times New Roman;Times;serif" w:hAnsi="Times New Roman;Times;serif"/>
                <w:sz w:val="18"/>
              </w:rPr>
            </w:pPr>
            <w:r>
              <w:rPr>
                <w:rFonts w:ascii="Times New Roman;Times;serif" w:hAnsi="Times New Roman;Times;serif"/>
                <w:sz w:val="18"/>
              </w:rPr>
              <w:t>15,426,650</w:t>
            </w:r>
          </w:p>
        </w:tc>
        <w:tc>
          <w:tcPr>
            <w:tcW w:w="109" w:type="dxa"/>
            <w:tcBorders/>
            <w:shd w:fill="CCEEFF" w:val="clear"/>
            <w:vAlign w:val="center"/>
          </w:tcPr>
          <w:p>
            <w:pPr>
              <w:pStyle w:val="TableContents"/>
              <w:bidi w:val="0"/>
              <w:spacing w:lineRule="auto" w:line="271" w:before="0" w:after="0"/>
              <w:ind w:left="0" w:right="0" w:hanging="0"/>
              <w:jc w:val="right"/>
              <w:rPr/>
            </w:pPr>
            <w:r>
              <w:rPr/>
              <w:t>​</w:t>
            </w:r>
          </w:p>
        </w:tc>
        <w:tc>
          <w:tcPr>
            <w:tcW w:w="200" w:type="dxa"/>
            <w:tcBorders>
              <w:bottom w:val="double" w:sz="6" w:space="0" w:color="000000"/>
            </w:tcBorders>
            <w:shd w:fill="CCEEFF" w:val="clear"/>
            <w:tcMar>
              <w:bottom w:w="28" w:type="dxa"/>
            </w:tcMar>
            <w:vAlign w:val="center"/>
          </w:tcPr>
          <w:p>
            <w:pPr>
              <w:pStyle w:val="TableContents"/>
              <w:bidi w:val="0"/>
              <w:spacing w:lineRule="auto" w:line="271" w:before="0" w:after="0"/>
              <w:ind w:left="0" w:right="0" w:hanging="0"/>
              <w:jc w:val="left"/>
              <w:rPr/>
            </w:pPr>
            <w:r>
              <w:rPr/>
              <w:t>​</w:t>
            </w:r>
          </w:p>
        </w:tc>
        <w:tc>
          <w:tcPr>
            <w:tcW w:w="938" w:type="dxa"/>
            <w:tcBorders>
              <w:bottom w:val="double" w:sz="6" w:space="0" w:color="000000"/>
            </w:tcBorders>
            <w:shd w:fill="CCEEFF" w:val="clear"/>
            <w:tcMar>
              <w:bottom w:w="28" w:type="dxa"/>
            </w:tcMar>
            <w:vAlign w:val="center"/>
          </w:tcPr>
          <w:p>
            <w:pPr>
              <w:pStyle w:val="TableContents"/>
              <w:bidi w:val="0"/>
              <w:spacing w:lineRule="auto" w:line="271" w:before="0" w:after="0"/>
              <w:ind w:left="0" w:right="0" w:hanging="0"/>
              <w:jc w:val="right"/>
              <w:rPr>
                <w:rFonts w:ascii="Times New Roman;Times;serif" w:hAnsi="Times New Roman;Times;serif"/>
                <w:sz w:val="18"/>
              </w:rPr>
            </w:pPr>
            <w:r>
              <w:rPr>
                <w:rFonts w:ascii="Times New Roman;Times;serif" w:hAnsi="Times New Roman;Times;serif"/>
                <w:sz w:val="18"/>
              </w:rPr>
              <w:t>17,533,890</w:t>
            </w:r>
          </w:p>
        </w:tc>
        <w:tc>
          <w:tcPr>
            <w:tcW w:w="109" w:type="dxa"/>
            <w:tcBorders/>
            <w:shd w:fill="CCEEFF" w:val="clear"/>
            <w:vAlign w:val="center"/>
          </w:tcPr>
          <w:p>
            <w:pPr>
              <w:pStyle w:val="TableContents"/>
              <w:bidi w:val="0"/>
              <w:spacing w:lineRule="auto" w:line="271" w:before="0" w:after="0"/>
              <w:ind w:left="0" w:right="0" w:hanging="0"/>
              <w:jc w:val="left"/>
              <w:rPr/>
            </w:pPr>
            <w:r>
              <w:rPr/>
              <w:t>​</w:t>
            </w:r>
          </w:p>
        </w:tc>
        <w:tc>
          <w:tcPr>
            <w:tcW w:w="200" w:type="dxa"/>
            <w:tcBorders>
              <w:bottom w:val="double" w:sz="6" w:space="0" w:color="000000"/>
            </w:tcBorders>
            <w:shd w:fill="CCEEFF" w:val="clear"/>
            <w:tcMar>
              <w:bottom w:w="28" w:type="dxa"/>
            </w:tcMar>
            <w:vAlign w:val="center"/>
          </w:tcPr>
          <w:p>
            <w:pPr>
              <w:pStyle w:val="TableContents"/>
              <w:bidi w:val="0"/>
              <w:spacing w:lineRule="auto" w:line="271" w:before="0" w:after="0"/>
              <w:ind w:left="0" w:right="0" w:hanging="0"/>
              <w:jc w:val="left"/>
              <w:rPr/>
            </w:pPr>
            <w:r>
              <w:rPr/>
              <w:t>​</w:t>
            </w:r>
          </w:p>
        </w:tc>
        <w:tc>
          <w:tcPr>
            <w:tcW w:w="988" w:type="dxa"/>
            <w:tcBorders>
              <w:bottom w:val="double" w:sz="6" w:space="0" w:color="000000"/>
            </w:tcBorders>
            <w:shd w:fill="CCEEFF" w:val="clear"/>
            <w:tcMar>
              <w:bottom w:w="28" w:type="dxa"/>
            </w:tcMar>
            <w:vAlign w:val="center"/>
          </w:tcPr>
          <w:p>
            <w:pPr>
              <w:pStyle w:val="TableContents"/>
              <w:bidi w:val="0"/>
              <w:spacing w:lineRule="auto" w:line="271" w:before="0" w:after="0"/>
              <w:ind w:left="0" w:right="0" w:hanging="0"/>
              <w:jc w:val="right"/>
              <w:rPr>
                <w:rFonts w:ascii="Times New Roman;Times;serif" w:hAnsi="Times New Roman;Times;serif"/>
                <w:sz w:val="18"/>
              </w:rPr>
            </w:pPr>
            <w:r>
              <w:rPr>
                <w:rFonts w:ascii="Times New Roman;Times;serif" w:hAnsi="Times New Roman;Times;serif"/>
                <w:sz w:val="18"/>
              </w:rPr>
              <w:t>15,638,536</w:t>
            </w:r>
          </w:p>
        </w:tc>
      </w:tr>
      <w:tr>
        <w:trPr/>
        <w:tc>
          <w:tcPr>
            <w:tcW w:w="5167" w:type="dxa"/>
            <w:tcBorders/>
            <w:vAlign w:val="center"/>
          </w:tcPr>
          <w:p>
            <w:pPr>
              <w:pStyle w:val="TableContents"/>
              <w:bidi w:val="0"/>
              <w:spacing w:lineRule="auto" w:line="271" w:before="0" w:after="0"/>
              <w:ind w:left="0" w:right="0" w:hanging="0"/>
              <w:jc w:val="left"/>
              <w:rPr/>
            </w:pPr>
            <w:r>
              <w:rPr/>
              <w:t>​</w:t>
            </w:r>
          </w:p>
        </w:tc>
        <w:tc>
          <w:tcPr>
            <w:tcW w:w="109" w:type="dxa"/>
            <w:tcBorders/>
            <w:vAlign w:val="center"/>
          </w:tcPr>
          <w:p>
            <w:pPr>
              <w:pStyle w:val="TableContents"/>
              <w:bidi w:val="0"/>
              <w:spacing w:lineRule="auto" w:line="271" w:before="0" w:after="0"/>
              <w:ind w:left="0" w:right="0" w:hanging="0"/>
              <w:jc w:val="left"/>
              <w:rPr/>
            </w:pPr>
            <w:r>
              <w:rPr/>
              <w:t>​</w:t>
            </w:r>
          </w:p>
        </w:tc>
        <w:tc>
          <w:tcPr>
            <w:tcW w:w="200" w:type="dxa"/>
            <w:tcBorders/>
            <w:vAlign w:val="center"/>
          </w:tcPr>
          <w:p>
            <w:pPr>
              <w:pStyle w:val="TableContents"/>
              <w:bidi w:val="0"/>
              <w:spacing w:lineRule="auto" w:line="271" w:before="0" w:after="0"/>
              <w:ind w:left="0" w:right="0" w:hanging="0"/>
              <w:jc w:val="left"/>
              <w:rPr/>
            </w:pPr>
            <w:r>
              <w:rPr/>
              <w:t>​</w:t>
            </w:r>
          </w:p>
        </w:tc>
        <w:tc>
          <w:tcPr>
            <w:tcW w:w="938" w:type="dxa"/>
            <w:tcBorders/>
            <w:vAlign w:val="center"/>
          </w:tcPr>
          <w:p>
            <w:pPr>
              <w:pStyle w:val="TableContents"/>
              <w:bidi w:val="0"/>
              <w:spacing w:lineRule="auto" w:line="271" w:before="0" w:after="0"/>
              <w:ind w:left="0" w:right="0" w:hanging="0"/>
              <w:jc w:val="right"/>
              <w:rPr/>
            </w:pPr>
            <w:r>
              <w:rPr/>
              <w:t>​</w:t>
            </w:r>
          </w:p>
        </w:tc>
        <w:tc>
          <w:tcPr>
            <w:tcW w:w="109" w:type="dxa"/>
            <w:tcBorders/>
            <w:vAlign w:val="center"/>
          </w:tcPr>
          <w:p>
            <w:pPr>
              <w:pStyle w:val="TableContents"/>
              <w:bidi w:val="0"/>
              <w:spacing w:lineRule="auto" w:line="271" w:before="0" w:after="0"/>
              <w:ind w:left="0" w:right="0" w:hanging="0"/>
              <w:jc w:val="left"/>
              <w:rPr/>
            </w:pPr>
            <w:r>
              <w:rPr/>
              <w:t>​</w:t>
            </w:r>
          </w:p>
        </w:tc>
        <w:tc>
          <w:tcPr>
            <w:tcW w:w="200" w:type="dxa"/>
            <w:tcBorders/>
            <w:vAlign w:val="center"/>
          </w:tcPr>
          <w:p>
            <w:pPr>
              <w:pStyle w:val="TableContents"/>
              <w:bidi w:val="0"/>
              <w:spacing w:lineRule="auto" w:line="271" w:before="0" w:after="0"/>
              <w:ind w:left="0" w:right="0" w:hanging="0"/>
              <w:jc w:val="left"/>
              <w:rPr/>
            </w:pPr>
            <w:r>
              <w:rPr/>
              <w:t>​</w:t>
            </w:r>
          </w:p>
        </w:tc>
        <w:tc>
          <w:tcPr>
            <w:tcW w:w="938" w:type="dxa"/>
            <w:tcBorders/>
            <w:vAlign w:val="center"/>
          </w:tcPr>
          <w:p>
            <w:pPr>
              <w:pStyle w:val="TableContents"/>
              <w:bidi w:val="0"/>
              <w:spacing w:lineRule="auto" w:line="271" w:before="0" w:after="0"/>
              <w:ind w:left="0" w:right="0" w:hanging="0"/>
              <w:jc w:val="right"/>
              <w:rPr/>
            </w:pPr>
            <w:r>
              <w:rPr/>
              <w:t>​</w:t>
            </w:r>
          </w:p>
        </w:tc>
        <w:tc>
          <w:tcPr>
            <w:tcW w:w="109" w:type="dxa"/>
            <w:tcBorders/>
            <w:vAlign w:val="center"/>
          </w:tcPr>
          <w:p>
            <w:pPr>
              <w:pStyle w:val="TableContents"/>
              <w:bidi w:val="0"/>
              <w:spacing w:lineRule="auto" w:line="271" w:before="0" w:after="0"/>
              <w:ind w:left="0" w:right="0" w:hanging="0"/>
              <w:jc w:val="right"/>
              <w:rPr/>
            </w:pPr>
            <w:r>
              <w:rPr/>
              <w:t>​</w:t>
            </w:r>
          </w:p>
        </w:tc>
        <w:tc>
          <w:tcPr>
            <w:tcW w:w="200" w:type="dxa"/>
            <w:tcBorders/>
            <w:vAlign w:val="center"/>
          </w:tcPr>
          <w:p>
            <w:pPr>
              <w:pStyle w:val="TableContents"/>
              <w:bidi w:val="0"/>
              <w:spacing w:lineRule="auto" w:line="271" w:before="0" w:after="0"/>
              <w:ind w:left="0" w:right="0" w:hanging="0"/>
              <w:jc w:val="left"/>
              <w:rPr/>
            </w:pPr>
            <w:r>
              <w:rPr/>
              <w:t>​</w:t>
            </w:r>
          </w:p>
        </w:tc>
        <w:tc>
          <w:tcPr>
            <w:tcW w:w="938" w:type="dxa"/>
            <w:tcBorders/>
            <w:vAlign w:val="center"/>
          </w:tcPr>
          <w:p>
            <w:pPr>
              <w:pStyle w:val="TableContents"/>
              <w:bidi w:val="0"/>
              <w:spacing w:lineRule="auto" w:line="271" w:before="0" w:after="0"/>
              <w:ind w:left="0" w:right="0" w:hanging="0"/>
              <w:jc w:val="right"/>
              <w:rPr/>
            </w:pPr>
            <w:r>
              <w:rPr/>
              <w:t>​</w:t>
            </w:r>
          </w:p>
        </w:tc>
        <w:tc>
          <w:tcPr>
            <w:tcW w:w="109" w:type="dxa"/>
            <w:tcBorders/>
            <w:vAlign w:val="center"/>
          </w:tcPr>
          <w:p>
            <w:pPr>
              <w:pStyle w:val="TableContents"/>
              <w:bidi w:val="0"/>
              <w:spacing w:lineRule="auto" w:line="271" w:before="0" w:after="0"/>
              <w:ind w:left="0" w:right="0" w:hanging="0"/>
              <w:jc w:val="left"/>
              <w:rPr/>
            </w:pPr>
            <w:r>
              <w:rPr/>
              <w:t>​</w:t>
            </w:r>
          </w:p>
        </w:tc>
        <w:tc>
          <w:tcPr>
            <w:tcW w:w="200" w:type="dxa"/>
            <w:tcBorders/>
            <w:vAlign w:val="center"/>
          </w:tcPr>
          <w:p>
            <w:pPr>
              <w:pStyle w:val="TableContents"/>
              <w:bidi w:val="0"/>
              <w:spacing w:lineRule="auto" w:line="271" w:before="0" w:after="0"/>
              <w:ind w:left="0" w:right="0" w:hanging="0"/>
              <w:jc w:val="left"/>
              <w:rPr/>
            </w:pPr>
            <w:r>
              <w:rPr/>
              <w:t>​</w:t>
            </w:r>
          </w:p>
        </w:tc>
        <w:tc>
          <w:tcPr>
            <w:tcW w:w="988" w:type="dxa"/>
            <w:tcBorders/>
            <w:vAlign w:val="center"/>
          </w:tcPr>
          <w:p>
            <w:pPr>
              <w:pStyle w:val="TableContents"/>
              <w:bidi w:val="0"/>
              <w:spacing w:lineRule="auto" w:line="271" w:before="0" w:after="0"/>
              <w:ind w:left="0" w:right="0" w:hanging="0"/>
              <w:jc w:val="right"/>
              <w:rPr/>
            </w:pPr>
            <w:r>
              <w:rPr/>
              <w:t>​</w:t>
            </w:r>
          </w:p>
        </w:tc>
      </w:tr>
      <w:tr>
        <w:trPr/>
        <w:tc>
          <w:tcPr>
            <w:tcW w:w="5167" w:type="dxa"/>
            <w:tcBorders/>
            <w:shd w:fill="CCEEFF" w:val="clear"/>
            <w:vAlign w:val="center"/>
          </w:tcPr>
          <w:p>
            <w:pPr>
              <w:pStyle w:val="TableContents"/>
              <w:bidi w:val="0"/>
              <w:spacing w:lineRule="auto" w:line="271" w:before="0" w:after="0"/>
              <w:ind w:left="0" w:right="0" w:hanging="0"/>
              <w:jc w:val="left"/>
              <w:rPr>
                <w:rFonts w:ascii="Times New Roman;Times;serif" w:hAnsi="Times New Roman;Times;serif"/>
                <w:b/>
                <w:sz w:val="18"/>
              </w:rPr>
            </w:pPr>
            <w:r>
              <w:rPr>
                <w:rFonts w:ascii="Times New Roman;Times;serif" w:hAnsi="Times New Roman;Times;serif"/>
                <w:b/>
                <w:sz w:val="18"/>
              </w:rPr>
              <w:t>Per Common Share Data:</w:t>
            </w:r>
          </w:p>
        </w:tc>
        <w:tc>
          <w:tcPr>
            <w:tcW w:w="109" w:type="dxa"/>
            <w:tcBorders/>
            <w:shd w:fill="CCEEFF" w:val="clear"/>
            <w:vAlign w:val="center"/>
          </w:tcPr>
          <w:p>
            <w:pPr>
              <w:pStyle w:val="TableContents"/>
              <w:bidi w:val="0"/>
              <w:spacing w:lineRule="auto" w:line="271" w:before="0" w:after="0"/>
              <w:ind w:left="0" w:right="0" w:hanging="0"/>
              <w:jc w:val="left"/>
              <w:rPr/>
            </w:pPr>
            <w:r>
              <w:rPr/>
              <w:t>​</w:t>
            </w:r>
          </w:p>
        </w:tc>
        <w:tc>
          <w:tcPr>
            <w:tcW w:w="200" w:type="dxa"/>
            <w:tcBorders/>
            <w:shd w:fill="CCEEFF" w:val="clear"/>
            <w:vAlign w:val="center"/>
          </w:tcPr>
          <w:p>
            <w:pPr>
              <w:pStyle w:val="TableContents"/>
              <w:bidi w:val="0"/>
              <w:spacing w:lineRule="auto" w:line="271" w:before="0" w:after="0"/>
              <w:ind w:left="0" w:right="0" w:hanging="0"/>
              <w:jc w:val="left"/>
              <w:rPr/>
            </w:pPr>
            <w:r>
              <w:rPr/>
              <w:t>​</w:t>
            </w:r>
          </w:p>
        </w:tc>
        <w:tc>
          <w:tcPr>
            <w:tcW w:w="938" w:type="dxa"/>
            <w:tcBorders/>
            <w:shd w:fill="CCEEFF" w:val="clear"/>
            <w:vAlign w:val="center"/>
          </w:tcPr>
          <w:p>
            <w:pPr>
              <w:pStyle w:val="TableContents"/>
              <w:bidi w:val="0"/>
              <w:spacing w:lineRule="auto" w:line="271" w:before="0" w:after="0"/>
              <w:ind w:left="0" w:right="0" w:hanging="0"/>
              <w:jc w:val="right"/>
              <w:rPr/>
            </w:pPr>
            <w:r>
              <w:rPr/>
              <w:t>​</w:t>
            </w:r>
          </w:p>
        </w:tc>
        <w:tc>
          <w:tcPr>
            <w:tcW w:w="109" w:type="dxa"/>
            <w:tcBorders/>
            <w:shd w:fill="CCEEFF" w:val="clear"/>
            <w:vAlign w:val="center"/>
          </w:tcPr>
          <w:p>
            <w:pPr>
              <w:pStyle w:val="TableContents"/>
              <w:bidi w:val="0"/>
              <w:spacing w:lineRule="auto" w:line="271" w:before="0" w:after="0"/>
              <w:ind w:left="0" w:right="0" w:hanging="0"/>
              <w:jc w:val="left"/>
              <w:rPr/>
            </w:pPr>
            <w:r>
              <w:rPr/>
              <w:t>​</w:t>
            </w:r>
          </w:p>
        </w:tc>
        <w:tc>
          <w:tcPr>
            <w:tcW w:w="200" w:type="dxa"/>
            <w:tcBorders/>
            <w:shd w:fill="CCEEFF" w:val="clear"/>
            <w:vAlign w:val="center"/>
          </w:tcPr>
          <w:p>
            <w:pPr>
              <w:pStyle w:val="TableContents"/>
              <w:bidi w:val="0"/>
              <w:spacing w:lineRule="auto" w:line="271" w:before="0" w:after="0"/>
              <w:ind w:left="0" w:right="0" w:hanging="0"/>
              <w:jc w:val="left"/>
              <w:rPr/>
            </w:pPr>
            <w:r>
              <w:rPr/>
              <w:t>​</w:t>
            </w:r>
          </w:p>
        </w:tc>
        <w:tc>
          <w:tcPr>
            <w:tcW w:w="938" w:type="dxa"/>
            <w:tcBorders/>
            <w:shd w:fill="CCEEFF" w:val="clear"/>
            <w:vAlign w:val="center"/>
          </w:tcPr>
          <w:p>
            <w:pPr>
              <w:pStyle w:val="TableContents"/>
              <w:bidi w:val="0"/>
              <w:spacing w:lineRule="auto" w:line="271" w:before="0" w:after="0"/>
              <w:ind w:left="0" w:right="0" w:hanging="0"/>
              <w:jc w:val="right"/>
              <w:rPr/>
            </w:pPr>
            <w:r>
              <w:rPr/>
              <w:t>​</w:t>
            </w:r>
          </w:p>
        </w:tc>
        <w:tc>
          <w:tcPr>
            <w:tcW w:w="109" w:type="dxa"/>
            <w:tcBorders/>
            <w:shd w:fill="CCEEFF" w:val="clear"/>
            <w:vAlign w:val="center"/>
          </w:tcPr>
          <w:p>
            <w:pPr>
              <w:pStyle w:val="TableContents"/>
              <w:bidi w:val="0"/>
              <w:spacing w:lineRule="auto" w:line="271" w:before="0" w:after="0"/>
              <w:ind w:left="0" w:right="0" w:hanging="0"/>
              <w:jc w:val="right"/>
              <w:rPr/>
            </w:pPr>
            <w:r>
              <w:rPr/>
              <w:t>​</w:t>
            </w:r>
          </w:p>
        </w:tc>
        <w:tc>
          <w:tcPr>
            <w:tcW w:w="200" w:type="dxa"/>
            <w:tcBorders/>
            <w:shd w:fill="CCEEFF" w:val="clear"/>
            <w:vAlign w:val="center"/>
          </w:tcPr>
          <w:p>
            <w:pPr>
              <w:pStyle w:val="TableContents"/>
              <w:bidi w:val="0"/>
              <w:spacing w:lineRule="auto" w:line="271" w:before="0" w:after="0"/>
              <w:ind w:left="0" w:right="0" w:hanging="0"/>
              <w:jc w:val="left"/>
              <w:rPr/>
            </w:pPr>
            <w:r>
              <w:rPr/>
              <w:t>​</w:t>
            </w:r>
          </w:p>
        </w:tc>
        <w:tc>
          <w:tcPr>
            <w:tcW w:w="938" w:type="dxa"/>
            <w:tcBorders/>
            <w:shd w:fill="CCEEFF" w:val="clear"/>
            <w:vAlign w:val="center"/>
          </w:tcPr>
          <w:p>
            <w:pPr>
              <w:pStyle w:val="TableContents"/>
              <w:bidi w:val="0"/>
              <w:spacing w:lineRule="auto" w:line="271" w:before="0" w:after="0"/>
              <w:ind w:left="0" w:right="0" w:hanging="0"/>
              <w:jc w:val="right"/>
              <w:rPr/>
            </w:pPr>
            <w:r>
              <w:rPr/>
              <w:t>​</w:t>
            </w:r>
          </w:p>
        </w:tc>
        <w:tc>
          <w:tcPr>
            <w:tcW w:w="109" w:type="dxa"/>
            <w:tcBorders/>
            <w:shd w:fill="CCEEFF" w:val="clear"/>
            <w:vAlign w:val="center"/>
          </w:tcPr>
          <w:p>
            <w:pPr>
              <w:pStyle w:val="TableContents"/>
              <w:bidi w:val="0"/>
              <w:spacing w:lineRule="auto" w:line="271" w:before="0" w:after="0"/>
              <w:ind w:left="0" w:right="0" w:hanging="0"/>
              <w:jc w:val="left"/>
              <w:rPr/>
            </w:pPr>
            <w:r>
              <w:rPr/>
              <w:t>​</w:t>
            </w:r>
          </w:p>
        </w:tc>
        <w:tc>
          <w:tcPr>
            <w:tcW w:w="200" w:type="dxa"/>
            <w:tcBorders/>
            <w:shd w:fill="CCEEFF" w:val="clear"/>
            <w:vAlign w:val="center"/>
          </w:tcPr>
          <w:p>
            <w:pPr>
              <w:pStyle w:val="TableContents"/>
              <w:bidi w:val="0"/>
              <w:spacing w:lineRule="auto" w:line="271" w:before="0" w:after="0"/>
              <w:ind w:left="0" w:right="0" w:hanging="0"/>
              <w:jc w:val="left"/>
              <w:rPr/>
            </w:pPr>
            <w:r>
              <w:rPr/>
              <w:t>​</w:t>
            </w:r>
          </w:p>
        </w:tc>
        <w:tc>
          <w:tcPr>
            <w:tcW w:w="988" w:type="dxa"/>
            <w:tcBorders/>
            <w:shd w:fill="CCEEFF" w:val="clear"/>
            <w:vAlign w:val="center"/>
          </w:tcPr>
          <w:p>
            <w:pPr>
              <w:pStyle w:val="TableContents"/>
              <w:bidi w:val="0"/>
              <w:spacing w:lineRule="auto" w:line="271" w:before="0" w:after="0"/>
              <w:ind w:left="0" w:right="0" w:hanging="0"/>
              <w:jc w:val="right"/>
              <w:rPr/>
            </w:pPr>
            <w:r>
              <w:rPr/>
              <w:t>​</w:t>
            </w:r>
          </w:p>
        </w:tc>
      </w:tr>
      <w:tr>
        <w:trPr/>
        <w:tc>
          <w:tcPr>
            <w:tcW w:w="5167" w:type="dxa"/>
            <w:tcBorders/>
            <w:vAlign w:val="center"/>
          </w:tcPr>
          <w:p>
            <w:pPr>
              <w:pStyle w:val="TableContents"/>
              <w:bidi w:val="0"/>
              <w:spacing w:lineRule="auto" w:line="271" w:before="0" w:after="0"/>
              <w:ind w:left="0" w:right="0" w:hanging="0"/>
              <w:jc w:val="left"/>
              <w:rPr>
                <w:rFonts w:ascii="Times New Roman;Times;serif" w:hAnsi="Times New Roman;Times;serif"/>
                <w:sz w:val="18"/>
              </w:rPr>
            </w:pPr>
            <w:r>
              <w:rPr>
                <w:rFonts w:ascii="Times New Roman;Times;serif" w:hAnsi="Times New Roman;Times;serif"/>
                <w:sz w:val="18"/>
              </w:rPr>
              <w:t>Net Income (Loss) Attributable to Common Stockholders</w:t>
            </w:r>
          </w:p>
        </w:tc>
        <w:tc>
          <w:tcPr>
            <w:tcW w:w="109" w:type="dxa"/>
            <w:tcBorders/>
            <w:vAlign w:val="center"/>
          </w:tcPr>
          <w:p>
            <w:pPr>
              <w:pStyle w:val="TableContents"/>
              <w:bidi w:val="0"/>
              <w:spacing w:lineRule="auto" w:line="271" w:before="0" w:after="0"/>
              <w:ind w:left="0" w:right="0" w:hanging="0"/>
              <w:jc w:val="left"/>
              <w:rPr/>
            </w:pPr>
            <w:r>
              <w:rPr/>
              <w:t>​</w:t>
            </w:r>
          </w:p>
        </w:tc>
        <w:tc>
          <w:tcPr>
            <w:tcW w:w="200" w:type="dxa"/>
            <w:tcBorders/>
            <w:vAlign w:val="center"/>
          </w:tcPr>
          <w:p>
            <w:pPr>
              <w:pStyle w:val="TableContents"/>
              <w:bidi w:val="0"/>
              <w:spacing w:lineRule="auto" w:line="271" w:before="0" w:after="0"/>
              <w:ind w:left="0" w:right="0" w:hanging="0"/>
              <w:jc w:val="left"/>
              <w:rPr/>
            </w:pPr>
            <w:r>
              <w:rPr/>
              <w:t>​</w:t>
            </w:r>
          </w:p>
        </w:tc>
        <w:tc>
          <w:tcPr>
            <w:tcW w:w="938" w:type="dxa"/>
            <w:tcBorders/>
            <w:vAlign w:val="center"/>
          </w:tcPr>
          <w:p>
            <w:pPr>
              <w:pStyle w:val="TableContents"/>
              <w:bidi w:val="0"/>
              <w:spacing w:lineRule="auto" w:line="271" w:before="0" w:after="0"/>
              <w:ind w:left="0" w:right="0" w:hanging="0"/>
              <w:jc w:val="right"/>
              <w:rPr/>
            </w:pPr>
            <w:r>
              <w:rPr/>
              <w:t>​</w:t>
            </w:r>
          </w:p>
        </w:tc>
        <w:tc>
          <w:tcPr>
            <w:tcW w:w="109" w:type="dxa"/>
            <w:tcBorders/>
            <w:vAlign w:val="center"/>
          </w:tcPr>
          <w:p>
            <w:pPr>
              <w:pStyle w:val="TableContents"/>
              <w:bidi w:val="0"/>
              <w:spacing w:lineRule="auto" w:line="271" w:before="0" w:after="0"/>
              <w:ind w:left="0" w:right="0" w:hanging="0"/>
              <w:jc w:val="left"/>
              <w:rPr/>
            </w:pPr>
            <w:r>
              <w:rPr/>
              <w:t>​</w:t>
            </w:r>
          </w:p>
        </w:tc>
        <w:tc>
          <w:tcPr>
            <w:tcW w:w="200" w:type="dxa"/>
            <w:tcBorders/>
            <w:vAlign w:val="center"/>
          </w:tcPr>
          <w:p>
            <w:pPr>
              <w:pStyle w:val="TableContents"/>
              <w:bidi w:val="0"/>
              <w:spacing w:lineRule="auto" w:line="271" w:before="0" w:after="0"/>
              <w:ind w:left="0" w:right="0" w:hanging="0"/>
              <w:jc w:val="left"/>
              <w:rPr/>
            </w:pPr>
            <w:r>
              <w:rPr/>
              <w:t>​</w:t>
            </w:r>
          </w:p>
        </w:tc>
        <w:tc>
          <w:tcPr>
            <w:tcW w:w="938" w:type="dxa"/>
            <w:tcBorders/>
            <w:vAlign w:val="center"/>
          </w:tcPr>
          <w:p>
            <w:pPr>
              <w:pStyle w:val="TableContents"/>
              <w:bidi w:val="0"/>
              <w:spacing w:lineRule="auto" w:line="271" w:before="0" w:after="0"/>
              <w:ind w:left="0" w:right="0" w:hanging="0"/>
              <w:jc w:val="right"/>
              <w:rPr/>
            </w:pPr>
            <w:r>
              <w:rPr/>
              <w:t>​</w:t>
            </w:r>
          </w:p>
        </w:tc>
        <w:tc>
          <w:tcPr>
            <w:tcW w:w="109" w:type="dxa"/>
            <w:tcBorders/>
            <w:vAlign w:val="center"/>
          </w:tcPr>
          <w:p>
            <w:pPr>
              <w:pStyle w:val="TableContents"/>
              <w:bidi w:val="0"/>
              <w:spacing w:lineRule="auto" w:line="271" w:before="0" w:after="0"/>
              <w:ind w:left="0" w:right="0" w:hanging="0"/>
              <w:jc w:val="right"/>
              <w:rPr/>
            </w:pPr>
            <w:r>
              <w:rPr/>
              <w:t>​</w:t>
            </w:r>
          </w:p>
        </w:tc>
        <w:tc>
          <w:tcPr>
            <w:tcW w:w="200" w:type="dxa"/>
            <w:tcBorders/>
            <w:vAlign w:val="center"/>
          </w:tcPr>
          <w:p>
            <w:pPr>
              <w:pStyle w:val="TableContents"/>
              <w:bidi w:val="0"/>
              <w:spacing w:lineRule="auto" w:line="271" w:before="0" w:after="0"/>
              <w:ind w:left="0" w:right="0" w:hanging="0"/>
              <w:jc w:val="left"/>
              <w:rPr/>
            </w:pPr>
            <w:r>
              <w:rPr/>
              <w:t>​</w:t>
            </w:r>
          </w:p>
        </w:tc>
        <w:tc>
          <w:tcPr>
            <w:tcW w:w="938" w:type="dxa"/>
            <w:tcBorders/>
            <w:vAlign w:val="center"/>
          </w:tcPr>
          <w:p>
            <w:pPr>
              <w:pStyle w:val="TableContents"/>
              <w:bidi w:val="0"/>
              <w:spacing w:lineRule="auto" w:line="271" w:before="0" w:after="0"/>
              <w:ind w:left="0" w:right="0" w:hanging="0"/>
              <w:jc w:val="right"/>
              <w:rPr/>
            </w:pPr>
            <w:r>
              <w:rPr/>
              <w:t>​</w:t>
            </w:r>
          </w:p>
        </w:tc>
        <w:tc>
          <w:tcPr>
            <w:tcW w:w="109" w:type="dxa"/>
            <w:tcBorders/>
            <w:vAlign w:val="center"/>
          </w:tcPr>
          <w:p>
            <w:pPr>
              <w:pStyle w:val="TableContents"/>
              <w:bidi w:val="0"/>
              <w:spacing w:lineRule="auto" w:line="271" w:before="0" w:after="0"/>
              <w:ind w:left="0" w:right="0" w:hanging="0"/>
              <w:jc w:val="left"/>
              <w:rPr/>
            </w:pPr>
            <w:r>
              <w:rPr/>
              <w:t>​</w:t>
            </w:r>
          </w:p>
        </w:tc>
        <w:tc>
          <w:tcPr>
            <w:tcW w:w="200" w:type="dxa"/>
            <w:tcBorders/>
            <w:vAlign w:val="center"/>
          </w:tcPr>
          <w:p>
            <w:pPr>
              <w:pStyle w:val="TableContents"/>
              <w:bidi w:val="0"/>
              <w:spacing w:lineRule="auto" w:line="271" w:before="0" w:after="0"/>
              <w:ind w:left="0" w:right="0" w:hanging="0"/>
              <w:jc w:val="left"/>
              <w:rPr/>
            </w:pPr>
            <w:r>
              <w:rPr/>
              <w:t>​</w:t>
            </w:r>
          </w:p>
        </w:tc>
        <w:tc>
          <w:tcPr>
            <w:tcW w:w="988" w:type="dxa"/>
            <w:tcBorders/>
            <w:vAlign w:val="center"/>
          </w:tcPr>
          <w:p>
            <w:pPr>
              <w:pStyle w:val="TableContents"/>
              <w:bidi w:val="0"/>
              <w:spacing w:lineRule="auto" w:line="271" w:before="0" w:after="0"/>
              <w:ind w:left="0" w:right="0" w:hanging="0"/>
              <w:jc w:val="right"/>
              <w:rPr/>
            </w:pPr>
            <w:r>
              <w:rPr/>
              <w:t>​</w:t>
            </w:r>
          </w:p>
        </w:tc>
      </w:tr>
      <w:tr>
        <w:trPr/>
        <w:tc>
          <w:tcPr>
            <w:tcW w:w="5167" w:type="dxa"/>
            <w:tcBorders/>
            <w:shd w:fill="CCEEFF" w:val="clear"/>
            <w:vAlign w:val="center"/>
          </w:tcPr>
          <w:p>
            <w:pPr>
              <w:pStyle w:val="TableContents"/>
              <w:bidi w:val="0"/>
              <w:spacing w:lineRule="auto" w:line="271" w:before="0" w:after="0"/>
              <w:ind w:left="0" w:right="0" w:hanging="0"/>
              <w:jc w:val="left"/>
              <w:rPr>
                <w:rFonts w:ascii="Times New Roman;Times;serif" w:hAnsi="Times New Roman;Times;serif"/>
                <w:sz w:val="18"/>
              </w:rPr>
            </w:pPr>
            <w:r>
              <w:rPr>
                <w:rFonts w:ascii="Times New Roman;Times;serif" w:hAnsi="Times New Roman;Times;serif"/>
                <w:sz w:val="18"/>
              </w:rPr>
              <w:t>Basic</w:t>
            </w:r>
          </w:p>
        </w:tc>
        <w:tc>
          <w:tcPr>
            <w:tcW w:w="109" w:type="dxa"/>
            <w:tcBorders/>
            <w:shd w:fill="CCEEFF" w:val="clear"/>
            <w:vAlign w:val="center"/>
          </w:tcPr>
          <w:p>
            <w:pPr>
              <w:pStyle w:val="TableContents"/>
              <w:bidi w:val="0"/>
              <w:spacing w:lineRule="auto" w:line="271" w:before="0" w:after="0"/>
              <w:ind w:left="0" w:right="0" w:hanging="0"/>
              <w:jc w:val="left"/>
              <w:rPr/>
            </w:pPr>
            <w:r>
              <w:rPr/>
              <w:t>​</w:t>
            </w:r>
          </w:p>
        </w:tc>
        <w:tc>
          <w:tcPr>
            <w:tcW w:w="200" w:type="dxa"/>
            <w:tcBorders/>
            <w:shd w:fill="CCEEFF" w:val="clear"/>
            <w:vAlign w:val="center"/>
          </w:tcPr>
          <w:p>
            <w:pPr>
              <w:pStyle w:val="TableContents"/>
              <w:bidi w:val="0"/>
              <w:spacing w:lineRule="auto" w:line="271"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38" w:type="dxa"/>
            <w:tcBorders/>
            <w:shd w:fill="CCEEFF" w:val="clear"/>
            <w:vAlign w:val="center"/>
          </w:tcPr>
          <w:p>
            <w:pPr>
              <w:pStyle w:val="TableContents"/>
              <w:bidi w:val="0"/>
              <w:spacing w:lineRule="auto" w:line="271" w:before="0" w:after="0"/>
              <w:ind w:left="0" w:right="0" w:hanging="0"/>
              <w:jc w:val="right"/>
              <w:rPr>
                <w:rFonts w:ascii="Times New Roman;Times;serif" w:hAnsi="Times New Roman;Times;serif"/>
                <w:sz w:val="18"/>
              </w:rPr>
            </w:pPr>
            <w:r>
              <w:rPr>
                <w:rFonts w:ascii="Times New Roman;Times;serif" w:hAnsi="Times New Roman;Times;serif"/>
                <w:sz w:val="18"/>
              </w:rPr>
              <w:t>0.18</w:t>
            </w:r>
          </w:p>
        </w:tc>
        <w:tc>
          <w:tcPr>
            <w:tcW w:w="109" w:type="dxa"/>
            <w:tcBorders/>
            <w:shd w:fill="CCEEFF" w:val="clear"/>
            <w:vAlign w:val="center"/>
          </w:tcPr>
          <w:p>
            <w:pPr>
              <w:pStyle w:val="TableContents"/>
              <w:bidi w:val="0"/>
              <w:spacing w:lineRule="auto" w:line="271" w:before="0" w:after="0"/>
              <w:ind w:left="0" w:right="0" w:hanging="0"/>
              <w:jc w:val="left"/>
              <w:rPr/>
            </w:pPr>
            <w:r>
              <w:rPr/>
              <w:t>​</w:t>
            </w:r>
          </w:p>
        </w:tc>
        <w:tc>
          <w:tcPr>
            <w:tcW w:w="200" w:type="dxa"/>
            <w:tcBorders/>
            <w:shd w:fill="CCEEFF" w:val="clear"/>
            <w:vAlign w:val="center"/>
          </w:tcPr>
          <w:p>
            <w:pPr>
              <w:pStyle w:val="TableContents"/>
              <w:bidi w:val="0"/>
              <w:spacing w:lineRule="auto" w:line="271"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38" w:type="dxa"/>
            <w:tcBorders/>
            <w:shd w:fill="CCEEFF" w:val="clear"/>
            <w:vAlign w:val="center"/>
          </w:tcPr>
          <w:p>
            <w:pPr>
              <w:pStyle w:val="TableContents"/>
              <w:bidi w:val="0"/>
              <w:spacing w:lineRule="auto" w:line="271" w:before="0" w:after="0"/>
              <w:ind w:left="0" w:right="0" w:hanging="0"/>
              <w:jc w:val="right"/>
              <w:rPr>
                <w:rFonts w:ascii="Times New Roman;Times;serif" w:hAnsi="Times New Roman;Times;serif"/>
                <w:sz w:val="18"/>
              </w:rPr>
            </w:pPr>
            <w:r>
              <w:rPr>
                <w:rFonts w:ascii="Times New Roman;Times;serif" w:hAnsi="Times New Roman;Times;serif"/>
                <w:sz w:val="18"/>
              </w:rPr>
              <w:t>(0.12)</w:t>
            </w:r>
          </w:p>
        </w:tc>
        <w:tc>
          <w:tcPr>
            <w:tcW w:w="109" w:type="dxa"/>
            <w:tcBorders/>
            <w:shd w:fill="CCEEFF" w:val="clear"/>
            <w:vAlign w:val="center"/>
          </w:tcPr>
          <w:p>
            <w:pPr>
              <w:pStyle w:val="TableContents"/>
              <w:bidi w:val="0"/>
              <w:spacing w:lineRule="auto" w:line="271" w:before="0" w:after="0"/>
              <w:ind w:left="0" w:right="0" w:hanging="0"/>
              <w:jc w:val="right"/>
              <w:rPr/>
            </w:pPr>
            <w:r>
              <w:rPr/>
              <w:t>​</w:t>
            </w:r>
          </w:p>
        </w:tc>
        <w:tc>
          <w:tcPr>
            <w:tcW w:w="200" w:type="dxa"/>
            <w:tcBorders/>
            <w:shd w:fill="CCEEFF" w:val="clear"/>
            <w:vAlign w:val="center"/>
          </w:tcPr>
          <w:p>
            <w:pPr>
              <w:pStyle w:val="TableContents"/>
              <w:bidi w:val="0"/>
              <w:spacing w:lineRule="auto" w:line="271"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38" w:type="dxa"/>
            <w:tcBorders/>
            <w:shd w:fill="CCEEFF" w:val="clear"/>
            <w:vAlign w:val="center"/>
          </w:tcPr>
          <w:p>
            <w:pPr>
              <w:pStyle w:val="TableContents"/>
              <w:bidi w:val="0"/>
              <w:spacing w:lineRule="auto" w:line="271" w:before="0" w:after="0"/>
              <w:ind w:left="0" w:right="0" w:hanging="0"/>
              <w:jc w:val="right"/>
              <w:rPr>
                <w:rFonts w:ascii="Times New Roman;Times;serif" w:hAnsi="Times New Roman;Times;serif"/>
                <w:sz w:val="18"/>
              </w:rPr>
            </w:pPr>
            <w:r>
              <w:rPr>
                <w:rFonts w:ascii="Times New Roman;Times;serif" w:hAnsi="Times New Roman;Times;serif"/>
                <w:sz w:val="18"/>
              </w:rPr>
              <w:t>0.25</w:t>
            </w:r>
          </w:p>
        </w:tc>
        <w:tc>
          <w:tcPr>
            <w:tcW w:w="109" w:type="dxa"/>
            <w:tcBorders/>
            <w:shd w:fill="CCEEFF" w:val="clear"/>
            <w:vAlign w:val="center"/>
          </w:tcPr>
          <w:p>
            <w:pPr>
              <w:pStyle w:val="TableContents"/>
              <w:bidi w:val="0"/>
              <w:spacing w:lineRule="auto" w:line="271" w:before="0" w:after="0"/>
              <w:ind w:left="0" w:right="0" w:hanging="0"/>
              <w:jc w:val="left"/>
              <w:rPr/>
            </w:pPr>
            <w:r>
              <w:rPr/>
              <w:t>​</w:t>
            </w:r>
          </w:p>
        </w:tc>
        <w:tc>
          <w:tcPr>
            <w:tcW w:w="200" w:type="dxa"/>
            <w:tcBorders/>
            <w:shd w:fill="CCEEFF" w:val="clear"/>
            <w:vAlign w:val="center"/>
          </w:tcPr>
          <w:p>
            <w:pPr>
              <w:pStyle w:val="TableContents"/>
              <w:bidi w:val="0"/>
              <w:spacing w:lineRule="auto" w:line="271"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88" w:type="dxa"/>
            <w:tcBorders/>
            <w:shd w:fill="CCEEFF" w:val="clear"/>
            <w:vAlign w:val="center"/>
          </w:tcPr>
          <w:p>
            <w:pPr>
              <w:pStyle w:val="TableContents"/>
              <w:bidi w:val="0"/>
              <w:spacing w:lineRule="auto" w:line="271" w:before="0" w:after="0"/>
              <w:ind w:left="0" w:right="0" w:hanging="0"/>
              <w:jc w:val="right"/>
              <w:rPr>
                <w:rFonts w:ascii="Times New Roman;Times;serif" w:hAnsi="Times New Roman;Times;serif"/>
                <w:sz w:val="18"/>
              </w:rPr>
            </w:pPr>
            <w:r>
              <w:rPr>
                <w:rFonts w:ascii="Times New Roman;Times;serif" w:hAnsi="Times New Roman;Times;serif"/>
                <w:sz w:val="18"/>
              </w:rPr>
              <w:t>(0.20)</w:t>
            </w:r>
          </w:p>
        </w:tc>
      </w:tr>
      <w:tr>
        <w:trPr/>
        <w:tc>
          <w:tcPr>
            <w:tcW w:w="5167" w:type="dxa"/>
            <w:tcBorders/>
            <w:vAlign w:val="center"/>
          </w:tcPr>
          <w:p>
            <w:pPr>
              <w:pStyle w:val="TableContents"/>
              <w:bidi w:val="0"/>
              <w:spacing w:lineRule="auto" w:line="271" w:before="0" w:after="0"/>
              <w:ind w:left="0" w:right="0" w:hanging="0"/>
              <w:jc w:val="left"/>
              <w:rPr>
                <w:rFonts w:ascii="Times New Roman;Times;serif" w:hAnsi="Times New Roman;Times;serif"/>
                <w:sz w:val="18"/>
              </w:rPr>
            </w:pPr>
            <w:r>
              <w:rPr>
                <w:rFonts w:ascii="Times New Roman;Times;serif" w:hAnsi="Times New Roman;Times;serif"/>
                <w:sz w:val="18"/>
              </w:rPr>
              <w:t>Diluted</w:t>
            </w:r>
          </w:p>
        </w:tc>
        <w:tc>
          <w:tcPr>
            <w:tcW w:w="109" w:type="dxa"/>
            <w:tcBorders/>
            <w:vAlign w:val="center"/>
          </w:tcPr>
          <w:p>
            <w:pPr>
              <w:pStyle w:val="TableContents"/>
              <w:bidi w:val="0"/>
              <w:spacing w:lineRule="auto" w:line="271" w:before="0" w:after="0"/>
              <w:ind w:left="0" w:right="0" w:hanging="0"/>
              <w:jc w:val="left"/>
              <w:rPr/>
            </w:pPr>
            <w:r>
              <w:rPr/>
              <w:t>​</w:t>
            </w:r>
          </w:p>
        </w:tc>
        <w:tc>
          <w:tcPr>
            <w:tcW w:w="200" w:type="dxa"/>
            <w:tcBorders/>
            <w:vAlign w:val="center"/>
          </w:tcPr>
          <w:p>
            <w:pPr>
              <w:pStyle w:val="TableContents"/>
              <w:bidi w:val="0"/>
              <w:spacing w:lineRule="auto" w:line="271"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38" w:type="dxa"/>
            <w:tcBorders/>
            <w:vAlign w:val="center"/>
          </w:tcPr>
          <w:p>
            <w:pPr>
              <w:pStyle w:val="TableContents"/>
              <w:bidi w:val="0"/>
              <w:spacing w:lineRule="auto" w:line="271" w:before="0" w:after="0"/>
              <w:ind w:left="0" w:right="0" w:hanging="0"/>
              <w:jc w:val="right"/>
              <w:rPr>
                <w:rFonts w:ascii="Times New Roman;Times;serif" w:hAnsi="Times New Roman;Times;serif"/>
                <w:sz w:val="18"/>
              </w:rPr>
            </w:pPr>
            <w:r>
              <w:rPr>
                <w:rFonts w:ascii="Times New Roman;Times;serif" w:hAnsi="Times New Roman;Times;serif"/>
                <w:sz w:val="18"/>
              </w:rPr>
              <w:t>0.16</w:t>
            </w:r>
          </w:p>
        </w:tc>
        <w:tc>
          <w:tcPr>
            <w:tcW w:w="109" w:type="dxa"/>
            <w:tcBorders/>
            <w:vAlign w:val="center"/>
          </w:tcPr>
          <w:p>
            <w:pPr>
              <w:pStyle w:val="TableContents"/>
              <w:bidi w:val="0"/>
              <w:spacing w:lineRule="auto" w:line="271" w:before="0" w:after="0"/>
              <w:ind w:left="0" w:right="0" w:hanging="0"/>
              <w:jc w:val="left"/>
              <w:rPr/>
            </w:pPr>
            <w:r>
              <w:rPr/>
              <w:t>​</w:t>
            </w:r>
          </w:p>
        </w:tc>
        <w:tc>
          <w:tcPr>
            <w:tcW w:w="200" w:type="dxa"/>
            <w:tcBorders/>
            <w:vAlign w:val="center"/>
          </w:tcPr>
          <w:p>
            <w:pPr>
              <w:pStyle w:val="TableContents"/>
              <w:bidi w:val="0"/>
              <w:spacing w:lineRule="auto" w:line="271"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38" w:type="dxa"/>
            <w:tcBorders/>
            <w:vAlign w:val="center"/>
          </w:tcPr>
          <w:p>
            <w:pPr>
              <w:pStyle w:val="TableContents"/>
              <w:bidi w:val="0"/>
              <w:spacing w:lineRule="auto" w:line="271" w:before="0" w:after="0"/>
              <w:ind w:left="0" w:right="0" w:hanging="0"/>
              <w:jc w:val="right"/>
              <w:rPr>
                <w:rFonts w:ascii="Times New Roman;Times;serif" w:hAnsi="Times New Roman;Times;serif"/>
                <w:sz w:val="18"/>
              </w:rPr>
            </w:pPr>
            <w:r>
              <w:rPr>
                <w:rFonts w:ascii="Times New Roman;Times;serif" w:hAnsi="Times New Roman;Times;serif"/>
                <w:sz w:val="18"/>
              </w:rPr>
              <w:t>(0.12)</w:t>
            </w:r>
          </w:p>
        </w:tc>
        <w:tc>
          <w:tcPr>
            <w:tcW w:w="109" w:type="dxa"/>
            <w:tcBorders/>
            <w:vAlign w:val="center"/>
          </w:tcPr>
          <w:p>
            <w:pPr>
              <w:pStyle w:val="TableContents"/>
              <w:bidi w:val="0"/>
              <w:spacing w:lineRule="auto" w:line="271" w:before="0" w:after="0"/>
              <w:ind w:left="0" w:right="0" w:hanging="0"/>
              <w:jc w:val="right"/>
              <w:rPr/>
            </w:pPr>
            <w:r>
              <w:rPr/>
              <w:t>​</w:t>
            </w:r>
          </w:p>
        </w:tc>
        <w:tc>
          <w:tcPr>
            <w:tcW w:w="200" w:type="dxa"/>
            <w:tcBorders/>
            <w:vAlign w:val="center"/>
          </w:tcPr>
          <w:p>
            <w:pPr>
              <w:pStyle w:val="TableContents"/>
              <w:bidi w:val="0"/>
              <w:spacing w:lineRule="auto" w:line="271"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38" w:type="dxa"/>
            <w:tcBorders/>
            <w:vAlign w:val="center"/>
          </w:tcPr>
          <w:p>
            <w:pPr>
              <w:pStyle w:val="TableContents"/>
              <w:bidi w:val="0"/>
              <w:spacing w:lineRule="auto" w:line="271" w:before="0" w:after="0"/>
              <w:ind w:left="0" w:right="0" w:hanging="0"/>
              <w:jc w:val="right"/>
              <w:rPr>
                <w:rFonts w:ascii="Times New Roman;Times;serif" w:hAnsi="Times New Roman;Times;serif"/>
                <w:sz w:val="18"/>
              </w:rPr>
            </w:pPr>
            <w:r>
              <w:rPr>
                <w:rFonts w:ascii="Times New Roman;Times;serif" w:hAnsi="Times New Roman;Times;serif"/>
                <w:sz w:val="18"/>
              </w:rPr>
              <w:t>0.23</w:t>
            </w:r>
          </w:p>
        </w:tc>
        <w:tc>
          <w:tcPr>
            <w:tcW w:w="109" w:type="dxa"/>
            <w:tcBorders/>
            <w:vAlign w:val="center"/>
          </w:tcPr>
          <w:p>
            <w:pPr>
              <w:pStyle w:val="TableContents"/>
              <w:bidi w:val="0"/>
              <w:spacing w:lineRule="auto" w:line="271" w:before="0" w:after="0"/>
              <w:ind w:left="0" w:right="0" w:hanging="0"/>
              <w:jc w:val="left"/>
              <w:rPr/>
            </w:pPr>
            <w:r>
              <w:rPr/>
              <w:t>​</w:t>
            </w:r>
          </w:p>
        </w:tc>
        <w:tc>
          <w:tcPr>
            <w:tcW w:w="200" w:type="dxa"/>
            <w:tcBorders/>
            <w:vAlign w:val="center"/>
          </w:tcPr>
          <w:p>
            <w:pPr>
              <w:pStyle w:val="TableContents"/>
              <w:bidi w:val="0"/>
              <w:spacing w:lineRule="auto" w:line="271"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88" w:type="dxa"/>
            <w:tcBorders/>
            <w:vAlign w:val="center"/>
          </w:tcPr>
          <w:p>
            <w:pPr>
              <w:pStyle w:val="TableContents"/>
              <w:bidi w:val="0"/>
              <w:spacing w:lineRule="auto" w:line="271" w:before="0" w:after="0"/>
              <w:ind w:left="0" w:right="0" w:hanging="0"/>
              <w:jc w:val="right"/>
              <w:rPr>
                <w:rFonts w:ascii="Times New Roman;Times;serif" w:hAnsi="Times New Roman;Times;serif"/>
                <w:sz w:val="18"/>
              </w:rPr>
            </w:pPr>
            <w:r>
              <w:rPr>
                <w:rFonts w:ascii="Times New Roman;Times;serif" w:hAnsi="Times New Roman;Times;serif"/>
                <w:sz w:val="18"/>
              </w:rPr>
              <w:t>(0.20)</w:t>
            </w:r>
          </w:p>
        </w:tc>
      </w:tr>
    </w:tbl>
    <w:tbl>
      <w:tblPr>
        <w:tblW w:w="10205" w:type="dxa"/>
        <w:jc w:val="left"/>
        <w:tblInd w:w="0" w:type="dxa"/>
        <w:tblLayout w:type="fixed"/>
        <w:tblCellMar>
          <w:top w:w="0" w:type="dxa"/>
          <w:left w:w="0" w:type="dxa"/>
          <w:bottom w:w="0" w:type="dxa"/>
          <w:right w:w="0" w:type="dxa"/>
        </w:tblCellMar>
      </w:tblPr>
      <w:tblGrid>
        <w:gridCol w:w="266"/>
        <w:gridCol w:w="9939"/>
      </w:tblGrid>
      <w:tr>
        <w:trPr/>
        <w:tc>
          <w:tcPr>
            <w:tcW w:w="266" w:type="dxa"/>
            <w:tcBorders/>
            <w:vAlign w:val="center"/>
          </w:tcPr>
          <w:p>
            <w:pPr>
              <w:pStyle w:val="TableContents"/>
              <w:bidi w:val="0"/>
              <w:spacing w:before="0" w:after="283"/>
              <w:jc w:val="left"/>
              <w:rPr>
                <w:rFonts w:ascii="Times New Roman;Times;serif" w:hAnsi="Times New Roman;Times;serif"/>
                <w:sz w:val="12"/>
              </w:rPr>
            </w:pPr>
            <w:r>
              <w:rPr>
                <w:rFonts w:ascii="Times New Roman;Times;serif" w:hAnsi="Times New Roman;Times;serif"/>
                <w:sz w:val="12"/>
              </w:rPr>
              <w:t>(1)</w:t>
            </w:r>
          </w:p>
        </w:tc>
        <w:tc>
          <w:tcPr>
            <w:tcW w:w="99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Represents OP Units issued to CTO and its subsidiaries in connection with our formation transactions (See Note 19, “Related Party Management Company”).</w:t>
            </w:r>
          </w:p>
        </w:tc>
      </w:tr>
    </w:tbl>
    <w:p>
      <w:pPr>
        <w:pStyle w:val="TextBody"/>
        <w:bidi w:val="0"/>
        <w:spacing w:lineRule="auto" w:line="271" w:before="0" w:after="0"/>
        <w:ind w:left="360" w:right="0" w:hanging="0"/>
        <w:jc w:val="both"/>
        <w:rPr/>
      </w:pPr>
      <w:r>
        <w:rPr/>
        <w:t>​</w:t>
      </w:r>
    </w:p>
    <w:p>
      <w:pPr>
        <w:pStyle w:val="TextBody"/>
        <w:bidi w:val="0"/>
        <w:spacing w:lineRule="auto" w:line="271" w:before="0" w:after="0"/>
        <w:ind w:left="0" w:right="0" w:hanging="0"/>
        <w:jc w:val="both"/>
        <w:rPr/>
      </w:pPr>
      <w:r>
        <w:rPr/>
        <w:t> </w:t>
      </w:r>
    </w:p>
    <w:p>
      <w:pPr>
        <w:pStyle w:val="TextBody"/>
        <w:bidi w:val="0"/>
        <w:spacing w:lineRule="auto" w:line="271" w:before="0" w:after="0"/>
        <w:ind w:left="0" w:right="0" w:hanging="0"/>
        <w:jc w:val="both"/>
        <w:rPr/>
      </w:pPr>
      <w:r>
        <w:rPr/>
        <w:t> </w:t>
      </w:r>
    </w:p>
    <w:p>
      <w:pPr>
        <w:pStyle w:val="TextBody"/>
        <w:bidi w:val="0"/>
        <w:spacing w:lineRule="auto" w:line="271" w:before="0" w:after="0"/>
        <w:ind w:left="0" w:right="0" w:hanging="0"/>
        <w:jc w:val="left"/>
        <w:rPr>
          <w:rFonts w:ascii="Times New Roman;Times;serif" w:hAnsi="Times New Roman;Times;serif"/>
          <w:b/>
          <w:sz w:val="20"/>
        </w:rPr>
      </w:pPr>
      <w:r>
        <w:rPr>
          <w:rFonts w:ascii="Times New Roman;Times;serif" w:hAnsi="Times New Roman;Times;serif"/>
          <w:b/>
          <w:sz w:val="20"/>
        </w:rPr>
        <w:t>NOTE 17. SHARE REPURCHASES</w:t>
      </w:r>
    </w:p>
    <w:p>
      <w:pPr>
        <w:pStyle w:val="TextBody"/>
        <w:bidi w:val="0"/>
        <w:spacing w:lineRule="auto" w:line="271" w:before="0" w:after="0"/>
        <w:ind w:left="0" w:right="0" w:hanging="0"/>
        <w:jc w:val="both"/>
        <w:rPr/>
      </w:pPr>
      <w:r>
        <w:rPr/>
        <w:t>​</w:t>
      </w:r>
    </w:p>
    <w:p>
      <w:pPr>
        <w:pStyle w:val="TextBody"/>
        <w:bidi w:val="0"/>
        <w:spacing w:lineRule="auto" w:line="271" w:before="0" w:after="0"/>
        <w:ind w:left="0" w:right="0" w:firstLine="360"/>
        <w:jc w:val="both"/>
        <w:rPr>
          <w:rFonts w:ascii="Times New Roman;Times;serif" w:hAnsi="Times New Roman;Times;serif"/>
          <w:sz w:val="20"/>
        </w:rPr>
      </w:pPr>
      <w:r>
        <w:rPr>
          <w:rFonts w:ascii="Times New Roman;Times;serif" w:hAnsi="Times New Roman;Times;serif"/>
          <w:sz w:val="20"/>
        </w:rPr>
        <w:t>In May 2023, the Board approved a $5.0 million stock repurchase program (the “2023 $5.0 Million Repurchase Program”). Under the 2023 $5.0 Million Repurchase Program, the Company repurchased 23,889 shares of its common stock on the open market for a total cost of $0.4 million, or an average price per share of $15.22, during the year ended December 31, 2023.</w:t>
      </w:r>
    </w:p>
    <w:p>
      <w:pPr>
        <w:pStyle w:val="TextBody"/>
        <w:bidi w:val="0"/>
        <w:spacing w:lineRule="auto" w:line="271" w:before="0" w:after="0"/>
        <w:ind w:left="0" w:right="0" w:firstLine="360"/>
        <w:jc w:val="both"/>
        <w:rPr/>
      </w:pPr>
      <w:r>
        <w:rPr/>
        <w:t>​</w:t>
      </w:r>
    </w:p>
    <w:p>
      <w:pPr>
        <w:pStyle w:val="TextBody"/>
        <w:bidi w:val="0"/>
        <w:spacing w:lineRule="auto" w:line="271" w:before="0" w:after="0"/>
        <w:ind w:left="0" w:right="0" w:firstLine="360"/>
        <w:jc w:val="both"/>
        <w:rPr>
          <w:rFonts w:ascii="Times New Roman;Times;serif" w:hAnsi="Times New Roman;Times;serif"/>
          <w:sz w:val="20"/>
        </w:rPr>
      </w:pPr>
      <w:r>
        <w:rPr>
          <w:rFonts w:ascii="Times New Roman;Times;serif" w:hAnsi="Times New Roman;Times;serif"/>
          <w:sz w:val="20"/>
        </w:rPr>
        <w:t xml:space="preserve">In July 2023, the Board approved a $15.0 million stock repurchase program (the “2023 $15.0 Million Repurchase Program”). The 2023 $15.0 Million Repurchase Program replaced the 2023 $5.0 Million Repurchase Program. Under the 2023 $15.0 Million Repurchase Program, the Company repurchased 875,122 shares of its common stock on the open market for a total cost of $14.2 million, or an average price per share of $16.26, during the year ended December 31, 2023. </w:t>
      </w:r>
    </w:p>
    <w:p>
      <w:pPr>
        <w:pStyle w:val="TextBody"/>
        <w:bidi w:val="0"/>
        <w:spacing w:lineRule="auto" w:line="271" w:before="0" w:after="0"/>
        <w:ind w:left="0" w:right="0" w:firstLine="360"/>
        <w:jc w:val="both"/>
        <w:rPr/>
      </w:pPr>
      <w:r>
        <w:rPr/>
        <w:t>​</w:t>
      </w:r>
    </w:p>
    <w:p>
      <w:pPr>
        <w:pStyle w:val="TextBody"/>
        <w:bidi w:val="0"/>
        <w:spacing w:lineRule="auto" w:line="271" w:before="0" w:after="0"/>
        <w:ind w:left="0" w:right="0" w:firstLine="360"/>
        <w:jc w:val="both"/>
        <w:rPr>
          <w:rFonts w:ascii="Times New Roman;Times;serif" w:hAnsi="Times New Roman;Times;serif"/>
          <w:sz w:val="20"/>
        </w:rPr>
      </w:pPr>
      <w:r>
        <w:rPr>
          <w:rFonts w:ascii="Times New Roman;Times;serif" w:hAnsi="Times New Roman;Times;serif"/>
          <w:sz w:val="20"/>
        </w:rPr>
        <w:t>In aggregate, the Company repurchased 899,011 shares of its common stock on the open market for a total cost of $14.6 million, or an average price per share of $16.23, during the year ended December 31, 2023.</w:t>
      </w:r>
    </w:p>
    <w:p>
      <w:pPr>
        <w:pStyle w:val="TextBody"/>
        <w:bidi w:val="0"/>
        <w:spacing w:lineRule="auto" w:line="271" w:before="0" w:after="0"/>
        <w:ind w:left="0" w:right="0" w:firstLine="360"/>
        <w:jc w:val="both"/>
        <w:rPr/>
      </w:pPr>
      <w:r>
        <w:rPr/>
        <w:t>​</w:t>
      </w:r>
    </w:p>
    <w:p>
      <w:pPr>
        <w:pStyle w:val="TextBody"/>
        <w:bidi w:val="0"/>
        <w:spacing w:lineRule="auto" w:line="271" w:before="0" w:after="0"/>
        <w:ind w:left="0" w:right="0" w:firstLine="360"/>
        <w:jc w:val="both"/>
        <w:rPr>
          <w:rFonts w:ascii="Times New Roman;Times;serif" w:hAnsi="Times New Roman;Times;serif"/>
          <w:sz w:val="20"/>
        </w:rPr>
      </w:pPr>
      <w:r>
        <w:rPr>
          <w:rFonts w:ascii="Times New Roman;Times;serif" w:hAnsi="Times New Roman;Times;serif"/>
          <w:sz w:val="20"/>
        </w:rPr>
        <w:t xml:space="preserve">Under the 2023 $15.0 Million Repurchase Program, the Company repurchased 45,768 shares of its common stock on the open market for a total cost of $0.8 million, or an average price per share of $16.90, during the three months ended March 31, 2024, which completed the 2023 $15.0 Million Repurchase Program. </w:t>
      </w:r>
    </w:p>
    <w:p>
      <w:pPr>
        <w:pStyle w:val="TextBody"/>
        <w:bidi w:val="0"/>
        <w:spacing w:lineRule="auto" w:line="271" w:before="0" w:after="0"/>
        <w:ind w:left="0" w:right="0" w:hanging="0"/>
        <w:jc w:val="both"/>
        <w:rPr/>
      </w:pPr>
      <w:r>
        <w:rPr/>
        <w:t>​</w:t>
      </w:r>
    </w:p>
    <w:p>
      <w:pPr>
        <w:pStyle w:val="TextBody"/>
        <w:bidi w:val="0"/>
        <w:spacing w:lineRule="auto" w:line="271" w:before="0" w:after="0"/>
        <w:ind w:left="0" w:right="0" w:firstLine="360"/>
        <w:jc w:val="both"/>
        <w:rPr>
          <w:rFonts w:ascii="Times New Roman;Times;serif" w:hAnsi="Times New Roman;Times;serif"/>
          <w:sz w:val="20"/>
        </w:rPr>
      </w:pPr>
      <w:r>
        <w:rPr>
          <w:rFonts w:ascii="Times New Roman;Times;serif" w:hAnsi="Times New Roman;Times;serif"/>
          <w:sz w:val="20"/>
        </w:rPr>
        <w:t xml:space="preserve">In February 2025, the Board approved a $10.0 million stock repurchase program (the “2025 $10.0 Million Repurchase Program”). </w:t>
      </w:r>
      <w:r>
        <w:rPr>
          <w:rFonts w:ascii="Times New Roman;Times;serif" w:hAnsi="Times New Roman;Times;serif"/>
          <w:sz w:val="20"/>
          <w:shd w:fill="FFFFFF" w:val="clear"/>
        </w:rPr>
        <w:t xml:space="preserve">The Company was not active under the </w:t>
      </w:r>
      <w:r>
        <w:rPr>
          <w:rFonts w:ascii="Times New Roman;Times;serif" w:hAnsi="Times New Roman;Times;serif"/>
          <w:sz w:val="20"/>
        </w:rPr>
        <w:t>2025 $10.0 Million Repurchase Program</w:t>
      </w:r>
      <w:r>
        <w:rPr>
          <w:rFonts w:ascii="Times New Roman;Times;serif" w:hAnsi="Times New Roman;Times;serif"/>
          <w:sz w:val="20"/>
          <w:shd w:fill="FFFFFF" w:val="clear"/>
        </w:rPr>
        <w:t xml:space="preserve"> during the six months ended June 30, 2026. Under the 2025 $10.0 Million Repurchase Program, the Company repurchased 546,390 shares of its common stock on the open market for a total cost of $8.8 million, or an average price per share of $16.07, during the six months ended June 30, 2025.</w:t>
      </w:r>
    </w:p>
    <w:p>
      <w:pPr>
        <w:pStyle w:val="TextBody"/>
        <w:bidi w:val="0"/>
        <w:spacing w:lineRule="auto" w:line="271" w:before="0" w:after="0"/>
        <w:ind w:left="0" w:right="0" w:hanging="0"/>
        <w:jc w:val="left"/>
        <w:rPr/>
      </w:pPr>
      <w:r>
        <w:rPr/>
        <w:t>​</w:t>
      </w:r>
    </w:p>
    <w:p>
      <w:pPr>
        <w:pStyle w:val="TextBody"/>
        <w:bidi w:val="0"/>
        <w:spacing w:lineRule="auto" w:line="271" w:before="0" w:after="240"/>
        <w:ind w:left="0" w:right="0" w:hanging="0"/>
        <w:jc w:val="left"/>
        <w:rPr>
          <w:rFonts w:ascii="Times New Roman;Times;serif" w:hAnsi="Times New Roman;Times;serif"/>
          <w:b/>
          <w:sz w:val="20"/>
        </w:rPr>
      </w:pPr>
      <w:r>
        <w:rPr>
          <w:rFonts w:ascii="Times New Roman;Times;serif" w:hAnsi="Times New Roman;Times;serif"/>
          <w:b/>
          <w:sz w:val="20"/>
        </w:rPr>
        <w:t>NOTE 18. STOCK-BASED COMPENSATION</w:t>
      </w:r>
    </w:p>
    <w:p>
      <w:pPr>
        <w:pStyle w:val="TextBody"/>
        <w:bidi w:val="0"/>
        <w:spacing w:lineRule="auto" w:line="271" w:before="0" w:after="0"/>
        <w:ind w:left="0" w:right="0" w:firstLine="360"/>
        <w:jc w:val="both"/>
        <w:rPr>
          <w:rFonts w:ascii="Times New Roman;Times;serif" w:hAnsi="Times New Roman;Times;serif"/>
          <w:sz w:val="20"/>
        </w:rPr>
      </w:pPr>
      <w:r>
        <w:rPr>
          <w:rFonts w:ascii="Times New Roman;Times;serif" w:hAnsi="Times New Roman;Times;serif"/>
          <w:sz w:val="20"/>
        </w:rPr>
        <w:t>Under the Company’s non-employee director compensation policy, each non-employee member of the Board receives a portion of their annual retainer fee in shares of Company common stock, and a portion in cash; and, with respect to the cash portion, each director may elect to receive such portion in shares of Company common stock rather than cash. The number of shares issued to the directors is calculated quarterly by dividing (i) the amount of the quarterly retainer fee payment due to such director by (ii) the 20-day trailing average closing price of the Company’s common stock as of the last business day of the quarter for which such payment applied, rounded down to the nearest whole number of shares. During the six months ended June 30, 2026, the expense recognized for the value of the Company’s common stock received by non-employee directors totaled $0.2 million, or 9,842 shares, of which 5,060 were issued on April 1, 2026 and 4,782 shares were issued on July 1, 2026. During the six months ended June 30, 2025, the expense recognized for the value of the Company’s common stock received by non-employee directors totaled $0.2 million, or 12,082 shares, of which 5,806 were issued on April 1, 2025 and 6,276 shares were issued on July 1, 2025.</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68" w:before="0" w:after="0"/>
        <w:ind w:left="0" w:right="0" w:hanging="0"/>
        <w:jc w:val="left"/>
        <w:rPr>
          <w:rFonts w:ascii="Times New Roman;Times;serif" w:hAnsi="Times New Roman;Times;serif"/>
          <w:b/>
          <w:sz w:val="20"/>
        </w:rPr>
      </w:pPr>
      <w:r>
        <w:rPr>
          <w:rFonts w:ascii="Times New Roman;Times;serif" w:hAnsi="Times New Roman;Times;serif"/>
          <w:b/>
          <w:sz w:val="20"/>
        </w:rPr>
        <w:t>NOTE 19. RELATED PARTY MANAGEMENT COMPANY</w:t>
      </w:r>
    </w:p>
    <w:p>
      <w:pPr>
        <w:pStyle w:val="TextBody"/>
        <w:bidi w:val="0"/>
        <w:spacing w:lineRule="auto" w:line="268" w:before="0" w:after="240"/>
        <w:ind w:left="0" w:right="0" w:hanging="0"/>
        <w:jc w:val="left"/>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We are externally managed by the Manager, a wholly owned subsidiary of CTO. Subsequent to the IPO, through June 30, 2026, CTO has, directly and indirectly through a wholly owned subsidiary, purchased an aggregate of 431,912 shares of PINE common stock in the open market including (i) 109,081 shares purchased during the year ended December 31, 2025 for $1.6 million, or an average price per share of $14.24, (ii) 29,807 shares purchased during the year ended December 31, 2024 for $0.4 million, or an average price per share of $14.97, (iii) 129,271 shares purchased during the year ended December 31, 2023 for $2.1 million, or an average price per share of $16.21, (iv) 155,665 shares purchased during the year ended December 31, 2022 for $2.7 million, or an average price per share of $17.57 and (v) 8,088 shares purchased during the year ended December 31, 2021 for $0.1 million, or an average price per share of $17.65.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As of June 30, 2026, CTO owns, directly and indirectly through wholly owned subsidiaries, in the aggregate, 1,223,854 OP Units and 1,247,702 shares of PINE common stock, inclusive of (i) 394,737 shares of common stock totaling $7.5 million issued in connection with a private placement that closed concurrently with the IPO, (ii) 421,053 shares of common stock totaling $8.0 million issued in connection with the IPO, and (iii) 431,912 shares of common stock totaling $7.0 million purchased by CTO, directly and indirectly through a wholly owned subsidiary, subsequent to the IPO. The aggregate 1,223,854 OP Units and 1,247,702 shares of PINE common stock held by CTO represent an investment totaling $51.3 million, or 13.1% of PINE’s combined total of 18,819,022 shares of outstanding common stock and OP Units, as of June 30, 2026. </w:t>
      </w:r>
    </w:p>
    <w:p>
      <w:pPr>
        <w:pStyle w:val="TextBody"/>
        <w:bidi w:val="0"/>
        <w:spacing w:lineRule="auto" w:line="273" w:before="0" w:after="0"/>
        <w:ind w:left="0" w:right="0" w:hanging="0"/>
        <w:jc w:val="both"/>
        <w:rPr>
          <w:rFonts w:ascii="Times New Roman;Times;serif" w:hAnsi="Times New Roman;Times;serif"/>
          <w:i/>
          <w:sz w:val="20"/>
        </w:rPr>
      </w:pPr>
      <w:r>
        <w:rPr>
          <w:rFonts w:ascii="Times New Roman;Times;serif" w:hAnsi="Times New Roman;Times;serif"/>
          <w:i/>
          <w:sz w:val="20"/>
        </w:rPr>
        <w:t xml:space="preserve">Management Agreement </w:t>
      </w:r>
    </w:p>
    <w:p>
      <w:pPr>
        <w:pStyle w:val="TextBody"/>
        <w:bidi w:val="0"/>
        <w:spacing w:lineRule="auto" w:line="273" w:before="0" w:after="0"/>
        <w:ind w:left="0" w:right="0" w:hanging="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November 26, 2019, the Operating Partnership and PINE entered into a management agreement with the Manager (the “Management Agreement”). Pursuant to the terms of the Management Agreement, our Manager manages, operates, and administers our day-to-day operations, business and affairs, subject to the direction and supervision of the Board and in accordance with the investment guidelines approved and monitored by the Board. We pay our Manager a base management fee equal to 0.375% per quarter of our “total equity” (as defined in the Management Agreement and based on a 1.5% annual rate), calculated and payable in cash, quarterly in arrears. Our Manager has waived a portion of the base management fee attributable to the inclusion of the net cash proceeds from the issuance of the Series A Preferred Stock in our “total equity” (the “Incremental Equity Base”), such that the base management fee rate on the Incremental Equity Base is equal to 0.75% per annum (0.1875% per quarter), instead of 1.50% per annum (0.375% per quarter) as provided in the Management Agreement.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Our Manager has the ability to earn an annual incentive fee based on our total stockholder return exceeding an 8% cumulative annual hurdle rate (the “Outperformance Amount”) subject to a high-water mark price. We would pay our Manager an incentive fee with respect to each annual measurement period in the amount of the greater of (i) $0.00 and (ii) the product of (a) 15% multiplied by (b) the Outperformance Amount multiplied by (c) the weighted average shares. No incentive fee was due for the year ended December 31, 2025.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July 18, 2024, the Operating Partnership and PINE entered into an amendment (the “Amendment”) to the Management Agreement with the Manager. The Amendment extended the expiration date of the initial term of the Management Agreement from November 26, 2024 to January 31, 2025, and on that date the term of the Management Agreement automatically renewed for a one-year term. The current term of the Management Agreement expires on January 31, 2027, and the Management Agreement will automatically renew for an unlimited number of successive one-year periods thereafter, unless the Management Agreement is not renewed or is terminated in accordance with its terms.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bookmarkStart w:id="1567" w:name="Tc_Gxu8Ejy2Cky1MLlTDzvIAQ_5_5"/>
      <w:bookmarkStart w:id="1568" w:name="Tc_t2bB0bzeB0moC1Xg3IrGEQ_5_2"/>
      <w:bookmarkStart w:id="1569" w:name="Tc_MPlIcIaqNECMZ0y0N5Vrgw_5_0"/>
      <w:bookmarkStart w:id="1570" w:name="Tc_c6rM6_E2VEmLUeWCPdTOJg_4_0"/>
      <w:bookmarkStart w:id="1571" w:name="Tc_FViD1T3k-U6sBBWf46LrIQ_3_5"/>
      <w:bookmarkStart w:id="1572" w:name="Tc_7OeFvNLTQk-f9PllUZ1Trg_3_2"/>
      <w:bookmarkStart w:id="1573" w:name="Tc_OJQ3R9XzWUaWxYjCHVE6Qg_3_0"/>
      <w:bookmarkStart w:id="1574" w:name="Tc_yMA5Ui_wpkuUGLm6pf5Gww_2_5"/>
      <w:bookmarkStart w:id="1575" w:name="Tc_yZLtajW6E0umucz3COsTWw_2_2"/>
      <w:bookmarkStart w:id="1576" w:name="Tc_dXMb8aXRpEuOcWdVQr1ofA_2_0"/>
      <w:bookmarkStart w:id="1577" w:name="Tc_YysfFT5kpUqdWuDMHqxBMQ_1_2"/>
      <w:bookmarkStart w:id="1578" w:name="_3beaee23_8fc3_462b_860c_5e95bab89bba"/>
      <w:bookmarkEnd w:id="1567"/>
      <w:bookmarkEnd w:id="1568"/>
      <w:bookmarkEnd w:id="1569"/>
      <w:bookmarkEnd w:id="1570"/>
      <w:bookmarkEnd w:id="1571"/>
      <w:bookmarkEnd w:id="1572"/>
      <w:bookmarkEnd w:id="1573"/>
      <w:bookmarkEnd w:id="1574"/>
      <w:bookmarkEnd w:id="1575"/>
      <w:bookmarkEnd w:id="1576"/>
      <w:bookmarkEnd w:id="1577"/>
      <w:bookmarkEnd w:id="1578"/>
      <w:r>
        <w:rPr>
          <w:rFonts w:ascii="Times New Roman;Times;serif" w:hAnsi="Times New Roman;Times;serif"/>
          <w:sz w:val="20"/>
        </w:rPr>
        <w:t xml:space="preserve">Our independent directors review our Manager’s performance and the management fees annually, and the Management Agreement may be terminated annually upon the affirmative vote of </w:t>
      </w:r>
      <w:r>
        <w:rPr>
          <w:rFonts w:ascii="Times New Roman;Times;serif" w:hAnsi="Times New Roman;Times;serif"/>
          <w:b w:val="false"/>
          <w:i w:val="false"/>
          <w:caps w:val="false"/>
          <w:smallCaps w:val="false"/>
          <w:sz w:val="20"/>
        </w:rPr>
        <w:t>two</w:t>
      </w:r>
      <w:r>
        <w:rPr>
          <w:rFonts w:ascii="Times New Roman;Times;serif" w:hAnsi="Times New Roman;Times;serif"/>
          <w:sz w:val="20"/>
        </w:rPr>
        <w:t xml:space="preserve">-thirds of our independent directors or upon a determination by the holders of a majority of the outstanding shares of our common stock, based upon (i) unsatisfactory performance by the Manager that is materially detrimental to us or (ii) a determination that the management fees payable to our Manager are not fair, subject to our Manager’s right to prevent such termination due to unfair fees by accepting a reduction of management fees agreed to by </w:t>
      </w:r>
      <w:r>
        <w:rPr>
          <w:rFonts w:ascii="Times New Roman;Times;serif" w:hAnsi="Times New Roman;Times;serif"/>
          <w:b w:val="false"/>
          <w:i w:val="false"/>
          <w:caps w:val="false"/>
          <w:smallCaps w:val="false"/>
          <w:sz w:val="20"/>
        </w:rPr>
        <w:t>two</w:t>
      </w:r>
      <w:r>
        <w:rPr>
          <w:rFonts w:ascii="Times New Roman;Times;serif" w:hAnsi="Times New Roman;Times;serif"/>
          <w:sz w:val="20"/>
        </w:rPr>
        <w:t>-thirds of our independent directors. We may also terminate the Management Agreement for cause at any time, without the payment of any termination fee, with 30 days’ prior written notice from the Board.</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We pay directly or reimburse our Manager for certain expenses, if incurred by our Manager. We do not reimburse any compensation expenses incurred by our Manager or its affiliates. Expense reimbursements to our Manager are made in cash on a quarterly basis following the end of each quarter. In addition, we pay all of our operating expenses, except those specifically required to be borne by our Manager pursuant to the Management Agreement.</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 incurred management fee expenses totaling $1.4 million and $2.7 million during the three and six months ended June 30, 2026, respectively. The Company also paid dividends on the common stock and OP Units owned by affiliates of the Manager in the amount of $0.7 million and $1.5 million for the three and six months ended June 30, 2026, respectively.</w:t>
      </w:r>
      <w:r>
        <w:rPr>
          <w:rFonts w:ascii="Times New Roman;Times;serif" w:hAnsi="Times New Roman;Times;serif"/>
          <w:sz w:val="20"/>
          <w:shd w:fill="FFFFFF" w:val="clear"/>
        </w:rPr>
        <w:t xml:space="preserve"> </w:t>
      </w:r>
      <w:r>
        <w:rPr>
          <w:rFonts w:ascii="Times New Roman;Times;serif" w:hAnsi="Times New Roman;Times;serif"/>
          <w:sz w:val="20"/>
        </w:rPr>
        <w:t>The Company incurred management fee expenses totaling $1.1 million and $2.2 million during the three and six months ended June 30, 2025, respectively. The Company also paid dividends on the common stock and OP Units owned by affiliates of the Manager in the amount of $0.7 million and $1.3 million for the three and six months ended June 30, 2025, respectively.</w:t>
      </w:r>
    </w:p>
    <w:p>
      <w:pPr>
        <w:pStyle w:val="TextBody"/>
        <w:bidi w:val="0"/>
        <w:spacing w:lineRule="auto" w:line="273" w:before="0" w:after="0"/>
        <w:ind w:left="0" w:right="0" w:firstLine="360"/>
        <w:jc w:val="both"/>
        <w:rPr/>
      </w:pPr>
      <w:r>
        <w:rPr/>
        <w:t>​</w:t>
      </w:r>
    </w:p>
    <w:p>
      <w:pPr>
        <w:pStyle w:val="TextBody"/>
        <w:bidi w:val="0"/>
        <w:spacing w:lineRule="auto" w:line="268" w:before="0" w:after="0"/>
        <w:ind w:left="0" w:right="0" w:firstLine="360"/>
        <w:jc w:val="both"/>
        <w:rPr>
          <w:rFonts w:ascii="Times New Roman;Times;serif" w:hAnsi="Times New Roman;Times;serif"/>
          <w:sz w:val="20"/>
        </w:rPr>
      </w:pPr>
      <w:r>
        <w:rPr>
          <w:rFonts w:ascii="Times New Roman;Times;serif" w:hAnsi="Times New Roman;Times;serif"/>
          <w:sz w:val="20"/>
        </w:rPr>
        <w:t>The following table represents amounts due to CTO (in thousands):</w:t>
      </w:r>
    </w:p>
    <w:p>
      <w:pPr>
        <w:pStyle w:val="TextBody"/>
        <w:bidi w:val="0"/>
        <w:spacing w:lineRule="auto" w:line="268" w:before="0" w:after="0"/>
        <w:ind w:left="0" w:right="0" w:firstLine="360"/>
        <w:jc w:val="both"/>
        <w:rPr/>
      </w:pPr>
      <w:r>
        <w:rPr/>
        <w:t>​</w:t>
      </w:r>
    </w:p>
    <w:tbl>
      <w:tblPr>
        <w:tblW w:w="6243" w:type="dxa"/>
        <w:jc w:val="left"/>
        <w:tblInd w:w="0" w:type="dxa"/>
        <w:tblLayout w:type="fixed"/>
        <w:tblCellMar>
          <w:top w:w="0" w:type="dxa"/>
          <w:left w:w="0" w:type="dxa"/>
          <w:bottom w:w="0" w:type="dxa"/>
          <w:right w:w="0" w:type="dxa"/>
        </w:tblCellMar>
      </w:tblPr>
      <w:tblGrid>
        <w:gridCol w:w="2506"/>
        <w:gridCol w:w="346"/>
        <w:gridCol w:w="342"/>
        <w:gridCol w:w="933"/>
        <w:gridCol w:w="346"/>
        <w:gridCol w:w="414"/>
        <w:gridCol w:w="1356"/>
      </w:tblGrid>
      <w:tr>
        <w:trPr/>
        <w:tc>
          <w:tcPr>
            <w:tcW w:w="25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42" w:type="dxa"/>
            <w:tcBorders/>
            <w:vAlign w:val="center"/>
          </w:tcPr>
          <w:p>
            <w:pPr>
              <w:pStyle w:val="TableContents"/>
              <w:bidi w:val="0"/>
              <w:spacing w:before="0" w:after="0"/>
              <w:ind w:left="0" w:right="0" w:hanging="0"/>
              <w:jc w:val="left"/>
              <w:rPr/>
            </w:pPr>
            <w:r>
              <w:rPr/>
              <w:t>​</w:t>
            </w:r>
          </w:p>
        </w:tc>
        <w:tc>
          <w:tcPr>
            <w:tcW w:w="9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592455" cy="175260"/>
                      <wp:effectExtent l="0" t="0" r="0" b="0"/>
                      <wp:wrapNone/>
                      <wp:docPr id="349" name="Frame349"/>
                      <a:graphic xmlns:a="http://schemas.openxmlformats.org/drawingml/2006/main">
                        <a:graphicData uri="http://schemas.microsoft.com/office/word/2010/wordprocessingShape">
                          <wps:wsp>
                            <wps:cNvSpPr txBox="1"/>
                            <wps:spPr>
                              <a:xfrm>
                                <a:off x="0" y="0"/>
                                <a:ext cx="5924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0"/>
              <w:ind w:left="0" w:right="0" w:hanging="0"/>
              <w:jc w:val="left"/>
              <w:rPr/>
            </w:pPr>
            <w:r>
              <w:rPr/>
              <w:t>​</w:t>
            </w:r>
          </w:p>
        </w:tc>
        <w:tc>
          <w:tcPr>
            <w:tcW w:w="414" w:type="dxa"/>
            <w:tcBorders/>
            <w:vAlign w:val="center"/>
          </w:tcPr>
          <w:p>
            <w:pPr>
              <w:pStyle w:val="TableContents"/>
              <w:bidi w:val="0"/>
              <w:spacing w:before="0" w:after="0"/>
              <w:ind w:left="0" w:right="0" w:hanging="0"/>
              <w:jc w:val="left"/>
              <w:rPr/>
            </w:pPr>
            <w:r>
              <w:rPr/>
              <w:t>​</w:t>
            </w:r>
          </w:p>
        </w:tc>
        <w:tc>
          <w:tcPr>
            <w:tcW w:w="13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861060" cy="175260"/>
                      <wp:effectExtent l="0" t="0" r="0" b="0"/>
                      <wp:wrapNone/>
                      <wp:docPr id="350" name="Frame350"/>
                      <a:graphic xmlns:a="http://schemas.openxmlformats.org/drawingml/2006/main">
                        <a:graphicData uri="http://schemas.microsoft.com/office/word/2010/wordprocessingShape">
                          <wps:wsp>
                            <wps:cNvSpPr txBox="1"/>
                            <wps:spPr>
                              <a:xfrm>
                                <a:off x="0" y="0"/>
                                <a:ext cx="861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391"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of</w:t>
            </w:r>
          </w:p>
        </w:tc>
      </w:tr>
      <w:tr>
        <w:trPr/>
        <w:tc>
          <w:tcPr>
            <w:tcW w:w="250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Description</w:t>
            </w:r>
          </w:p>
        </w:tc>
        <w:tc>
          <w:tcPr>
            <w:tcW w:w="346" w:type="dxa"/>
            <w:tcBorders/>
            <w:vAlign w:val="center"/>
          </w:tcPr>
          <w:p>
            <w:pPr>
              <w:pStyle w:val="TableContents"/>
              <w:bidi w:val="0"/>
              <w:spacing w:before="0" w:after="0"/>
              <w:ind w:left="0" w:right="0" w:hanging="0"/>
              <w:jc w:val="left"/>
              <w:rPr/>
            </w:pPr>
            <w:r>
              <w:rPr/>
              <w:t>  ​ ​ ​</w:t>
            </w:r>
          </w:p>
        </w:tc>
        <w:tc>
          <w:tcPr>
            <w:tcW w:w="12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2026</w:t>
            </w:r>
          </w:p>
        </w:tc>
        <w:tc>
          <w:tcPr>
            <w:tcW w:w="346" w:type="dxa"/>
            <w:tcBorders/>
            <w:vAlign w:val="center"/>
          </w:tcPr>
          <w:p>
            <w:pPr>
              <w:pStyle w:val="TableContents"/>
              <w:bidi w:val="0"/>
              <w:spacing w:before="0" w:after="0"/>
              <w:ind w:left="0" w:right="0" w:hanging="0"/>
              <w:jc w:val="right"/>
              <w:rPr/>
            </w:pPr>
            <w:r>
              <w:rPr/>
              <w:t>  ​ ​ ​</w:t>
            </w:r>
          </w:p>
        </w:tc>
        <w:tc>
          <w:tcPr>
            <w:tcW w:w="17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2025</w:t>
            </w:r>
          </w:p>
        </w:tc>
      </w:tr>
      <w:tr>
        <w:trPr/>
        <w:tc>
          <w:tcPr>
            <w:tcW w:w="25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Management Fee due to CTO</w:t>
            </w:r>
          </w:p>
        </w:tc>
        <w:tc>
          <w:tcPr>
            <w:tcW w:w="346" w:type="dxa"/>
            <w:tcBorders/>
            <w:shd w:fill="CCEEFF" w:val="clear"/>
            <w:vAlign w:val="center"/>
          </w:tcPr>
          <w:p>
            <w:pPr>
              <w:pStyle w:val="TableContents"/>
              <w:bidi w:val="0"/>
              <w:spacing w:before="0" w:after="0"/>
              <w:ind w:left="0" w:right="0" w:hanging="0"/>
              <w:jc w:val="left"/>
              <w:rPr/>
            </w:pPr>
            <w:r>
              <w:rPr/>
              <w:t>​</w:t>
            </w:r>
          </w:p>
        </w:tc>
        <w:tc>
          <w:tcPr>
            <w:tcW w:w="3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1,389</w:t>
            </w:r>
          </w:p>
        </w:tc>
        <w:tc>
          <w:tcPr>
            <w:tcW w:w="346" w:type="dxa"/>
            <w:tcBorders/>
            <w:shd w:fill="CCEEFF" w:val="clear"/>
            <w:vAlign w:val="center"/>
          </w:tcPr>
          <w:p>
            <w:pPr>
              <w:pStyle w:val="TableContents"/>
              <w:bidi w:val="0"/>
              <w:spacing w:before="0" w:after="0"/>
              <w:ind w:left="0" w:right="0" w:hanging="0"/>
              <w:jc w:val="right"/>
              <w:rPr/>
            </w:pPr>
            <w:r>
              <w:rPr/>
              <w:t>​</w:t>
            </w:r>
          </w:p>
        </w:tc>
        <w:tc>
          <w:tcPr>
            <w:tcW w:w="41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1,142</w:t>
            </w:r>
          </w:p>
        </w:tc>
      </w:tr>
      <w:tr>
        <w:trPr/>
        <w:tc>
          <w:tcPr>
            <w:tcW w:w="25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Other </w:t>
            </w:r>
          </w:p>
        </w:tc>
        <w:tc>
          <w:tcPr>
            <w:tcW w:w="346" w:type="dxa"/>
            <w:tcBorders/>
            <w:vAlign w:val="center"/>
          </w:tcPr>
          <w:p>
            <w:pPr>
              <w:pStyle w:val="TableContents"/>
              <w:bidi w:val="0"/>
              <w:spacing w:before="0" w:after="0"/>
              <w:ind w:left="0" w:right="0" w:hanging="0"/>
              <w:jc w:val="left"/>
              <w:rPr/>
            </w:pPr>
            <w:r>
              <w:rPr/>
              <w:t>​</w:t>
            </w:r>
          </w:p>
        </w:tc>
        <w:tc>
          <w:tcPr>
            <w:tcW w:w="34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346" w:type="dxa"/>
            <w:tcBorders/>
            <w:vAlign w:val="center"/>
          </w:tcPr>
          <w:p>
            <w:pPr>
              <w:pStyle w:val="TableContents"/>
              <w:bidi w:val="0"/>
              <w:spacing w:before="0" w:after="0"/>
              <w:ind w:left="0" w:right="0" w:hanging="0"/>
              <w:jc w:val="right"/>
              <w:rPr/>
            </w:pPr>
            <w:r>
              <w:rPr/>
              <w:t>​</w:t>
            </w:r>
          </w:p>
        </w:tc>
        <w:tc>
          <w:tcPr>
            <w:tcW w:w="41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3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208</w:t>
            </w:r>
          </w:p>
        </w:tc>
      </w:tr>
      <w:tr>
        <w:trPr/>
        <w:tc>
          <w:tcPr>
            <w:tcW w:w="250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Total </w:t>
            </w:r>
            <w:r>
              <w:rPr>
                <w:rFonts w:ascii="Times New Roman;Times;serif" w:hAnsi="Times New Roman;Times;serif"/>
                <w:sz w:val="15"/>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34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1,400</w:t>
            </w:r>
          </w:p>
        </w:tc>
        <w:tc>
          <w:tcPr>
            <w:tcW w:w="346" w:type="dxa"/>
            <w:tcBorders/>
            <w:shd w:fill="CCEEFF" w:val="clear"/>
            <w:vAlign w:val="center"/>
          </w:tcPr>
          <w:p>
            <w:pPr>
              <w:pStyle w:val="TableContents"/>
              <w:bidi w:val="0"/>
              <w:spacing w:before="0" w:after="0"/>
              <w:ind w:left="0" w:right="0" w:hanging="0"/>
              <w:jc w:val="right"/>
              <w:rPr/>
            </w:pPr>
            <w:r>
              <w:rPr/>
              <w:t>​</w:t>
            </w:r>
          </w:p>
        </w:tc>
        <w:tc>
          <w:tcPr>
            <w:tcW w:w="41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56"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1,350</w:t>
            </w:r>
          </w:p>
        </w:tc>
      </w:tr>
    </w:tbl>
    <w:tbl>
      <w:tblPr>
        <w:tblW w:w="7787" w:type="dxa"/>
        <w:jc w:val="left"/>
        <w:tblInd w:w="0" w:type="dxa"/>
        <w:tblLayout w:type="fixed"/>
        <w:tblCellMar>
          <w:top w:w="0" w:type="dxa"/>
          <w:left w:w="0" w:type="dxa"/>
          <w:bottom w:w="0" w:type="dxa"/>
          <w:right w:w="0" w:type="dxa"/>
        </w:tblCellMar>
      </w:tblPr>
      <w:tblGrid>
        <w:gridCol w:w="271"/>
        <w:gridCol w:w="7516"/>
      </w:tblGrid>
      <w:tr>
        <w:trPr/>
        <w:tc>
          <w:tcPr>
            <w:tcW w:w="271" w:type="dxa"/>
            <w:tcBorders/>
            <w:vAlign w:val="center"/>
          </w:tcPr>
          <w:p>
            <w:pPr>
              <w:pStyle w:val="TableContents"/>
              <w:bidi w:val="0"/>
              <w:spacing w:before="0" w:after="283"/>
              <w:jc w:val="left"/>
              <w:rPr>
                <w:rFonts w:ascii="Times New Roman;Times;serif" w:hAnsi="Times New Roman;Times;serif"/>
                <w:sz w:val="12"/>
              </w:rPr>
            </w:pPr>
            <w:r>
              <w:rPr>
                <w:rFonts w:ascii="Times New Roman;Times;serif" w:hAnsi="Times New Roman;Times;serif"/>
                <w:sz w:val="12"/>
              </w:rPr>
              <w:t>(1)</w:t>
            </w:r>
          </w:p>
        </w:tc>
        <w:tc>
          <w:tcPr>
            <w:tcW w:w="75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Included in accrued expenses, see Note 11, “Accounts Payable, Accrued Expenses, and Other Liabilities”. </w:t>
            </w:r>
          </w:p>
        </w:tc>
      </w:tr>
    </w:tbl>
    <w:p>
      <w:pPr>
        <w:pStyle w:val="TextBody"/>
        <w:bidi w:val="0"/>
        <w:spacing w:lineRule="auto" w:line="268" w:before="0" w:after="0"/>
        <w:ind w:left="0" w:right="0" w:hanging="0"/>
        <w:jc w:val="both"/>
        <w:rPr/>
      </w:pPr>
      <w:r>
        <w:rPr/>
        <w:t>​</w:t>
      </w:r>
    </w:p>
    <w:p>
      <w:pPr>
        <w:pStyle w:val="TextBody"/>
        <w:bidi w:val="0"/>
        <w:spacing w:lineRule="auto" w:line="268" w:before="0" w:after="0"/>
        <w:ind w:left="0" w:right="0" w:hanging="0"/>
        <w:jc w:val="both"/>
        <w:rPr>
          <w:rFonts w:ascii="Times New Roman;Times;serif" w:hAnsi="Times New Roman;Times;serif"/>
          <w:i/>
          <w:sz w:val="20"/>
        </w:rPr>
      </w:pPr>
      <w:r>
        <w:rPr>
          <w:rFonts w:ascii="Times New Roman;Times;serif" w:hAnsi="Times New Roman;Times;serif"/>
          <w:i/>
          <w:sz w:val="20"/>
        </w:rPr>
        <w:t>ROFO Agreement</w:t>
      </w:r>
    </w:p>
    <w:p>
      <w:pPr>
        <w:pStyle w:val="TextBody"/>
        <w:bidi w:val="0"/>
        <w:spacing w:lineRule="auto" w:line="268" w:before="0" w:after="0"/>
        <w:ind w:left="0" w:right="0" w:hanging="0"/>
        <w:jc w:val="both"/>
        <w:rPr/>
      </w:pPr>
      <w:r>
        <w:rPr/>
        <w:t>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On November 26, 2019, PINE also entered into an Exclusivity and Right of First Offer Agreement with CTO (the “ROFO Agreement”). During the term of the ROFO Agreement, CTO will not, and will cause each of its affiliates (which for purposes of the ROFO Agreement will not include our company and our subsidiaries) not to, acquire, directly or indirectly, a single-tenant, net leased property, unless CTO has notified us of the opportunity and we have affirmatively rejected the opportunity to acquire the applicable property or properties. </w:t>
      </w:r>
    </w:p>
    <w:p>
      <w:pPr>
        <w:pStyle w:val="TextBody"/>
        <w:bidi w:val="0"/>
        <w:spacing w:before="0" w:after="0"/>
        <w:ind w:left="0" w:right="0" w:hanging="0"/>
        <w:jc w:val="left"/>
        <w:rPr/>
      </w:pPr>
      <w:r>
        <w:rPr/>
        <w:t>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terms of the ROFO Agreement do not restrict CTO or any of its affiliates from providing financing for a third party’s acquisition of single-tenant, net leased properties or from developing and owning any single-tenant, net leased property.</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Pursuant to the ROFO Agreement, neither CTO nor any of its affiliates (which for purposes of the ROFO Agreement does not include our company and our subsidiaries) may sell to any third party any single-tenant, net leased property that was owned by CTO or any of its affiliates as of the closing date of the IPO or that is developed and owned by CTO or any of its affiliates after the closing date of the IPO, without first offering us the right to purchase such property.</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The term of the ROFO Agreement will continue for so long as the Management Agreement with our Manager is in effect.</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On April 6, 2021, the Company entered into a purchase and sale agreement with a certain subsidiary of CTO for the purchase of one net lease property for $11.5 million. The acquisition was completed on April 23, 2021.</w:t>
      </w:r>
    </w:p>
    <w:p>
      <w:pPr>
        <w:pStyle w:val="TextBody"/>
        <w:bidi w:val="0"/>
        <w:spacing w:before="0" w:after="0"/>
        <w:ind w:left="0" w:right="0" w:firstLine="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On April 2, 2021, the Company entered into a purchase and sale agreement with certain subsidiaries of CTO for the purchase of six net lease properties (the “CMBS Portfolio”). The terms of the purchase and sale agreement, as amended on April 20, 2021, provided a total purchase price of $44.5 million for the CMBS Portfolio. The acquisition of the CMBS Portfolio was completed on June 30, 2021.</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On January 5, 2022, the Company entered into a purchase and sale agreement with a certain subsidiary of CTO for the purchase of one net lease property for $6.9 million. The acquisition was completed on January 7, 2022.</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entry into these purchase and sale agreements, and subsequent completion of the related acquisitions, are a result of the Company exercising its right to purchase the aforementioned properties under the ROFO Agreement.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 xml:space="preserve">Conflicts of Interest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Conflicts of interest may exist or could arise in the future with CTO and its affiliates, including our Manager, the individuals who serve as our executive officers and executive officers of CTO, any individual who serves as a director of our company and as a director of CTO and any limited partner of the Operating Partnership. Conflicts may include, without limitation: conflicts arising from the enforcement of agreements between us and CTO or our Manager; conflicts in the amount of time that executive officers and employees of CTO, who are provided to us through our Manager, will spend on our affairs versus CTO’s affairs; and conflicts in future transactions that we may pursue with CTO and its affiliates. We do not generally expect to enter into joint ventures with CTO, but if we do so, the terms and conditions of our joint venture investment will be subject to the approval of a majority of disinterested directors of the Board.</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 addition, we are subject to conflicts of interest arising out of our relationships with our Manager. Pursuant to the Management Agreement, our Manager is obligated to supply us with our senior management team. However, our Manager is not obligated to dedicate any specific CTO personnel exclusively to us, nor are the CTO personnel provided to us by our Manager obligated to dedicate any specific portion of their time to the management of our business. Additionally, our Manager is a wholly owned subsidiary of CTO. All of our executive officers are executive officers and employees of CTO and one of our officers (John P. Albright) is also a member of CTO’s board of directors. As a result, our Manager and the CTO personnel it provides to us may have conflicts between their duties to us and their duties to, and interests in, CTO.</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We may acquire, sell, or finance net leased properties that would potentially fit the investment criteria for our Manager or its affiliates. Similarly, our Manager or its affiliates may acquire, sell, or finance net leased properties that would potentially fit our investment criteria. Although such acquisitions or dispositions could present conflicts of interest, we nonetheless may pursue and consummate such transactions. Additionally, we may engage in transactions directly with our Manager or its affiliates, including the purchase and sale of all or a portion of a portfolio of assets. If we acquire a net leased property from CTO or one of its affiliates or sell a net leased property to CTO or one of its affiliates, the purchase price we pay to CTO or one of its affiliates or the purchase price paid to us by CTO or one of its affiliates may be higher or lower, respectively, than the purchase price that would have been paid to or by us if the transaction were the result of arm’s length negotiations with an unaffiliated third party.</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 deciding whether to issue additional debt or equity securities, we will rely, in part, on recommendations made by our Manager. While such decisions are subject to the approval of the Board, our Manager is entitled to be paid a base management fee that is based on our “total equity” (as defined in the Management Agreement). As a result, our Manager may have an incentive to recommend that we issue additional equity securities at dilutive prices.</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All of our executive officers are executive officers and employees of CTO. These individuals and other CTO personnel provided to us through our Manager devote as much time to us as our Manager deems appropriate. However, our executive officers and other CTO personnel provided to us through our Manager may have conflicts in allocating their time and services between us, on the one hand, and CTO and its affiliates, on the other. During a period of prolonged economic weakness or another economic downturn affecting the real estate industry or at other times when we need focused support and assistance from our Manager and the CTO executive officers and other personnel provided to us through our Manager, we may not receive the necessary support and assistance we require or that we would otherwise receive if we were self-managed.</w:t>
      </w:r>
    </w:p>
    <w:p>
      <w:pPr>
        <w:pStyle w:val="TextBody"/>
        <w:bidi w:val="0"/>
        <w:spacing w:before="0" w:after="0"/>
        <w:ind w:left="0" w:right="0" w:firstLine="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4"/>
        <w:ind w:left="0" w:right="0" w:firstLine="360"/>
        <w:jc w:val="both"/>
        <w:rPr>
          <w:rFonts w:ascii="Times New Roman;Times;serif" w:hAnsi="Times New Roman;Times;serif"/>
          <w:sz w:val="20"/>
        </w:rPr>
      </w:pPr>
      <w:r>
        <w:rPr>
          <w:rFonts w:ascii="Times New Roman;Times;serif" w:hAnsi="Times New Roman;Times;serif"/>
          <w:sz w:val="20"/>
        </w:rPr>
        <w:t>Additionally, the ROFO Agreement does contain exceptions to CTO’s exclusivity for opportunities that include only an incidental interest in single-tenant, net leased properties. Accordingly, the ROFO Agreement will not prevent CTO from pursuing certain acquisition opportunities that otherwise satisfy our then-current investment criteria.</w:t>
      </w:r>
    </w:p>
    <w:p>
      <w:pPr>
        <w:pStyle w:val="TextBody"/>
        <w:bidi w:val="0"/>
        <w:spacing w:before="0" w:after="0"/>
        <w:ind w:left="0" w:right="0" w:hanging="0"/>
        <w:jc w:val="left"/>
        <w:rPr/>
      </w:pPr>
      <w:r>
        <w:rPr/>
        <w:t>​</w:t>
      </w:r>
    </w:p>
    <w:p>
      <w:pPr>
        <w:pStyle w:val="TextBody"/>
        <w:bidi w:val="0"/>
        <w:spacing w:before="4" w:after="4"/>
        <w:ind w:left="0" w:right="0" w:firstLine="360"/>
        <w:jc w:val="both"/>
        <w:rPr/>
      </w:pPr>
      <w:r>
        <w:rPr/>
        <w:t> </w:t>
      </w:r>
      <w:r>
        <w:rPr>
          <w:rFonts w:ascii="Times New Roman;Times;serif" w:hAnsi="Times New Roman;Times;serif"/>
          <w:sz w:val="20"/>
        </w:rPr>
        <w:t>Our directors and executive officers have duties to our company under applicable Maryland law in connection with their management of our company. At the same time, PINE GP has fiduciary duties, as the general partner, to the Operating Partnership and to the limited partners under Delaware law in connection with the management of the Operating Partnership. These duties as a general partner to the Operating Partnership and its partners may come into conflict with the duties of our directors and executive officers to us. Unless otherwise provided for in the relevant partnership agreement, Delaware law generally requires a general partner of a Delaware limited partnership to adhere to fiduciary duty standards under which it owes its limited partners the highest duties of loyalty and care and which generally prohibits such general partner from taking any action or engaging in any transaction as to which it has a conflict of interest. The partnership agreement provides that in the event of a conflict between the interests of our stockholders on the one hand and the limited partners of the Operating Partnership on the other hand, PINE GP will endeavor in good faith to resolve the conflict in a manner not adverse to either our stockholders or the limited partners; provided, however, that so long as we own a controlling interest in the Operating Partnership, any such conflict that we, in our sole and absolute discretion, determine cannot be resolved in a manner not adverse to either our stockholders or the limited partners of the Operating Partnership shall be resolved in favor of our stockholders, and we shall not be liable for monetary damages for losses sustained, liabilities incurred or benefits not derived by the limited partners in connection with such decisions.</w:t>
      </w:r>
    </w:p>
    <w:p>
      <w:pPr>
        <w:pStyle w:val="TextBody"/>
        <w:bidi w:val="0"/>
        <w:spacing w:before="4" w:after="4"/>
        <w:ind w:left="0" w:right="0" w:firstLine="360"/>
        <w:jc w:val="both"/>
        <w:rPr/>
      </w:pPr>
      <w:r>
        <w:rPr/>
        <w:t>​</w:t>
      </w:r>
    </w:p>
    <w:p>
      <w:pPr>
        <w:pStyle w:val="TextBody"/>
        <w:bidi w:val="0"/>
        <w:spacing w:before="4" w:after="4"/>
        <w:ind w:left="0" w:right="0" w:hanging="0"/>
        <w:jc w:val="both"/>
        <w:rPr>
          <w:rFonts w:ascii="Times New Roman;Times;serif" w:hAnsi="Times New Roman;Times;serif"/>
          <w:i/>
          <w:sz w:val="20"/>
        </w:rPr>
      </w:pPr>
      <w:r>
        <w:rPr>
          <w:rFonts w:ascii="Times New Roman;Times;serif" w:hAnsi="Times New Roman;Times;serif"/>
          <w:i/>
          <w:sz w:val="20"/>
        </w:rPr>
        <w:t>Revenue Sharing Agreement</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On December 4, 2023, CTO entered into an asset management agreement to manage a portfolio of real estate assets. The Company entered into a revenue sharing agreement with CTO whereby the Company receives a share of the asset management fees, disposition management fees, leasing commissions, and other fees related to CTO’s management and administration of the portfolio (the “Revenue Sharing Agreement”). The Company’s share of the fees under the Revenue Sharing Agreement is based on fees earned by CTO associated with the single tenant properties within the portfolio. </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 recognized less than $0.1 million and $0.1 million of revenue pursuant to the Revenue Sharing Agreement during the three and six months ended June 30, 2026, respectively, which is included in other revenue on the Company’s consolidated statements of operations. The Company recognized $0.1 million and $0.2 million of revenue pursuant to the Revenue Sharing Agreement during the three and six months ended June 30, 2025, respectively, which is included in other revenue on the Company’s consolidated statements of operations.</w:t>
      </w:r>
    </w:p>
    <w:p>
      <w:pPr>
        <w:pStyle w:val="TextBody"/>
        <w:bidi w:val="0"/>
        <w:spacing w:before="0" w:after="0"/>
        <w:ind w:left="0" w:right="0" w:hanging="0"/>
        <w:jc w:val="left"/>
        <w:rPr/>
      </w:pPr>
      <w:r>
        <w:rPr/>
        <w:t>​</w:t>
      </w:r>
    </w:p>
    <w:p>
      <w:pPr>
        <w:pStyle w:val="TextBody"/>
        <w:bidi w:val="0"/>
        <w:spacing w:lineRule="auto" w:line="268" w:before="0" w:after="0"/>
        <w:ind w:left="0" w:right="0" w:hanging="0"/>
        <w:jc w:val="left"/>
        <w:rPr>
          <w:rFonts w:ascii="Times New Roman;Times;serif" w:hAnsi="Times New Roman;Times;serif"/>
          <w:b/>
          <w:sz w:val="20"/>
        </w:rPr>
      </w:pPr>
      <w:r>
        <w:rPr>
          <w:rFonts w:ascii="Times New Roman;Times;serif" w:hAnsi="Times New Roman;Times;serif"/>
          <w:b/>
          <w:sz w:val="20"/>
        </w:rPr>
        <w:t>NOTE 20. COMMITMENTS AND CONTINGENCIES</w:t>
      </w:r>
    </w:p>
    <w:p>
      <w:pPr>
        <w:pStyle w:val="TextBody"/>
        <w:bidi w:val="0"/>
        <w:spacing w:lineRule="auto" w:line="268" w:before="4" w:after="0"/>
        <w:ind w:left="0" w:right="0" w:hanging="0"/>
        <w:jc w:val="both"/>
        <w:rPr/>
      </w:pPr>
      <w:r>
        <w:rPr/>
        <w:t>​</w:t>
      </w:r>
    </w:p>
    <w:p>
      <w:pPr>
        <w:pStyle w:val="TextBody"/>
        <w:bidi w:val="0"/>
        <w:spacing w:lineRule="auto" w:line="268" w:before="4" w:after="0"/>
        <w:ind w:left="0" w:right="0" w:hanging="0"/>
        <w:jc w:val="both"/>
        <w:rPr>
          <w:rFonts w:ascii="Times New Roman;Times;serif" w:hAnsi="Times New Roman;Times;serif"/>
          <w:i/>
          <w:sz w:val="20"/>
        </w:rPr>
      </w:pPr>
      <w:r>
        <w:rPr>
          <w:rFonts w:ascii="Times New Roman;Times;serif" w:hAnsi="Times New Roman;Times;serif"/>
          <w:i/>
          <w:sz w:val="20"/>
        </w:rPr>
        <w:t>LEGAL PROCEEDINGS</w:t>
      </w:r>
    </w:p>
    <w:p>
      <w:pPr>
        <w:pStyle w:val="TextBody"/>
        <w:bidi w:val="0"/>
        <w:spacing w:lineRule="auto" w:line="268" w:before="4" w:after="4"/>
        <w:ind w:left="0" w:right="0" w:hanging="0"/>
        <w:jc w:val="both"/>
        <w:rPr/>
      </w:pPr>
      <w:r>
        <w:rPr/>
        <w:t>​</w:t>
      </w:r>
    </w:p>
    <w:p>
      <w:pPr>
        <w:pStyle w:val="TextBody"/>
        <w:bidi w:val="0"/>
        <w:spacing w:before="0" w:after="240"/>
        <w:ind w:left="0" w:right="0" w:firstLine="432"/>
        <w:jc w:val="both"/>
        <w:rPr>
          <w:rFonts w:ascii="Times New Roman;Times;serif" w:hAnsi="Times New Roman;Times;serif"/>
          <w:sz w:val="20"/>
        </w:rPr>
      </w:pPr>
      <w:r>
        <w:rPr>
          <w:rFonts w:ascii="Times New Roman;Times;serif" w:hAnsi="Times New Roman;Times;serif"/>
          <w:sz w:val="20"/>
        </w:rPr>
        <w:t>From time to time, the Company may be a party to certain legal proceedings, incidental to the normal course of business. The Company is not currently a party to any pending or threatened legal proceedings that we believe could have a material adverse effect on the Company’s business or financial condition.</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CONTRACTUAL COMMITMENTS – EXPENDITURES</w:t>
      </w:r>
    </w:p>
    <w:p>
      <w:pPr>
        <w:pStyle w:val="TextBody"/>
        <w:bidi w:val="0"/>
        <w:spacing w:before="0" w:after="240"/>
        <w:ind w:left="0" w:right="0" w:hanging="0"/>
        <w:jc w:val="left"/>
        <w:rPr/>
      </w:pPr>
      <w:r>
        <w:rPr/>
        <w:t>​</w:t>
      </w:r>
    </w:p>
    <w:p>
      <w:pPr>
        <w:pStyle w:val="TextBody"/>
        <w:bidi w:val="0"/>
        <w:spacing w:before="0" w:after="0"/>
        <w:ind w:left="0" w:right="0" w:firstLine="432"/>
        <w:jc w:val="both"/>
        <w:rPr>
          <w:rFonts w:ascii="Times New Roman;Times;serif" w:hAnsi="Times New Roman;Times;serif"/>
          <w:sz w:val="20"/>
        </w:rPr>
      </w:pPr>
      <w:r>
        <w:rPr>
          <w:rFonts w:ascii="Times New Roman;Times;serif" w:hAnsi="Times New Roman;Times;serif"/>
          <w:sz w:val="20"/>
        </w:rPr>
        <w:t>The Company has unfunded loan commitments under the Company’s nine construction/redevelopment loans as described in Note 4, “Commercial Loans and Investments”. The unfunded portion of the construction/redevelopment loans totaled $85.4 million as of June 30, 2026.</w:t>
      </w:r>
    </w:p>
    <w:p>
      <w:pPr>
        <w:pStyle w:val="TextBody"/>
        <w:bidi w:val="0"/>
        <w:spacing w:before="0" w:after="240"/>
        <w:ind w:left="0" w:right="0" w:firstLine="432"/>
        <w:jc w:val="both"/>
        <w:rPr/>
      </w:pPr>
      <w:r>
        <w:rPr/>
        <w:t>​</w:t>
      </w:r>
    </w:p>
    <w:p>
      <w:pPr>
        <w:pStyle w:val="TextBody"/>
        <w:bidi w:val="0"/>
        <w:spacing w:before="0" w:after="0"/>
        <w:ind w:left="0" w:right="0" w:firstLine="432"/>
        <w:jc w:val="both"/>
        <w:rPr>
          <w:rFonts w:ascii="Times New Roman;Times;serif" w:hAnsi="Times New Roman;Times;serif"/>
          <w:sz w:val="20"/>
        </w:rPr>
      </w:pPr>
      <w:r>
        <w:rPr>
          <w:rFonts w:ascii="Times New Roman;Times;serif" w:hAnsi="Times New Roman;Times;serif"/>
          <w:sz w:val="20"/>
        </w:rPr>
        <w:t>The Company has committed to fund certain capital improvements related to several properties, which include tenant improvements, landlord work, leasing commissions, and other capital improvements. As of June 30, 2026, the commitments totaled $2.0 million, of which $0.6 million has been paid, leaving a remaining commitment of $1.4 million. The improvements are generally expected to be completed within 12 months of June 30, 2026. </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579" w:name="Tc_XZQVKtYRcUytm8FsmI5j-Q_23_7"/>
      <w:bookmarkStart w:id="1580" w:name="Tc_RTX2clCTr0yyabNLJsr3JQ_23_0"/>
      <w:bookmarkStart w:id="1581" w:name="Tc_3jYY52TS60qIe5fJcw2Cxw_22_0"/>
      <w:bookmarkStart w:id="1582" w:name="Tc_Dwm0u1QikEyIYn2FY78mcw_21_0"/>
      <w:bookmarkStart w:id="1583" w:name="Tc_FqanollbL0qjtO1JzN2VOg_20_0"/>
      <w:bookmarkStart w:id="1584" w:name="Tc_K934izvwHE-LeNS8c8KW3A_19_0"/>
      <w:bookmarkStart w:id="1585" w:name="Tc_Qu8vNup5WEW995Td0J0_6g_18_0"/>
      <w:bookmarkStart w:id="1586" w:name="Tc_gQiJ8dIO1UmQMVrFzl1kLA_16_0"/>
      <w:bookmarkStart w:id="1587" w:name="Tc_eSc22L6geEe4Zpc9bmo6Gg_15_5"/>
      <w:bookmarkStart w:id="1588" w:name="Tc_Es1WWBK3vk6RR6BBu68ilg_15_0"/>
      <w:bookmarkStart w:id="1589" w:name="Tc__cs-gWMLiU-ez6HDVH_SJg_14_0"/>
      <w:bookmarkStart w:id="1590" w:name="Tc_IllvfLmvE0iXTKF1kSYKJg_13_0"/>
      <w:bookmarkStart w:id="1591" w:name="Tc_ac3DaoacykGNgdGECX0Pig_12_5"/>
      <w:bookmarkStart w:id="1592" w:name="Tc_2bUWlEwCeUC7rZM820iWvA_12_0"/>
      <w:bookmarkStart w:id="1593" w:name="Tc_bYPDcyAjVkeySk5a2YW60w_11_0"/>
      <w:bookmarkStart w:id="1594" w:name="Tc_vSslujYMLkO6ETf-ZnkgOw_9_7"/>
      <w:bookmarkStart w:id="1595" w:name="Tc_6Z1QQeDW2Eu3wwc5vCjXNA_9_0"/>
      <w:bookmarkStart w:id="1596" w:name="Tc_2K67J8CXo0CNR9AIkfpr8w_8_0"/>
      <w:bookmarkStart w:id="1597" w:name="Tc_Bpf6wyiqNUG3zP8lHe_RSQ_7_0"/>
      <w:bookmarkStart w:id="1598" w:name="Tc_GCFnny-Itkymlq355bdXug_5_0"/>
      <w:bookmarkStart w:id="1599" w:name="Tc_OQd8gCWJxUKXcVksjctj0Q_4_2"/>
      <w:bookmarkStart w:id="1600" w:name="Tc_V6PnSyq60UumBUkel1xOdQ_4_0"/>
      <w:bookmarkStart w:id="1601" w:name="Tc_OzFN_J3eJkyXrjTsek9OSw_3_7"/>
      <w:bookmarkStart w:id="1602" w:name="Tc_CrEdUYz7-k-jOLSL0hziMw_3_5"/>
      <w:bookmarkStart w:id="1603" w:name="Tc_kt7_RVwA806pjjTGWhfzOQ_3_4"/>
      <w:bookmarkStart w:id="1604" w:name="Tc_YXHyFYwwFka3N1X56G5-yA_3_1"/>
      <w:bookmarkStart w:id="1605" w:name="Tc_4JNehLQJik22TYAa4u6qrQ_3_0"/>
      <w:bookmarkStart w:id="1606" w:name="Tc_HhjSrNBOtEqXZXGq99Lmbw_2_0"/>
      <w:bookmarkStart w:id="1607" w:name="Tc__bfV8ybVuE61Cl5Tg7HR3Q_1_7"/>
      <w:bookmarkStart w:id="1608" w:name="Tc_6U51GWehAkmKJT5_tHCxtg_1_4"/>
      <w:bookmarkStart w:id="1609" w:name="Tc_85rLiQvfwEW2HCb2A1ZQcw_1_1"/>
      <w:bookmarkStart w:id="1610" w:name="_1a794193_2875_40d7_ab39_b77d7ccfe6f3"/>
      <w:bookmarkEnd w:id="1579"/>
      <w:bookmarkEnd w:id="1580"/>
      <w:bookmarkEnd w:id="1581"/>
      <w:bookmarkEnd w:id="1582"/>
      <w:bookmarkEnd w:id="1583"/>
      <w:bookmarkEnd w:id="1584"/>
      <w:bookmarkEnd w:id="1585"/>
      <w:bookmarkEnd w:id="1586"/>
      <w:bookmarkEnd w:id="1587"/>
      <w:bookmarkEnd w:id="1588"/>
      <w:bookmarkEnd w:id="1589"/>
      <w:bookmarkEnd w:id="1590"/>
      <w:bookmarkEnd w:id="1591"/>
      <w:bookmarkEnd w:id="1592"/>
      <w:bookmarkEnd w:id="1593"/>
      <w:bookmarkEnd w:id="1594"/>
      <w:bookmarkEnd w:id="1595"/>
      <w:bookmarkEnd w:id="1596"/>
      <w:bookmarkEnd w:id="1597"/>
      <w:bookmarkEnd w:id="1598"/>
      <w:bookmarkEnd w:id="1599"/>
      <w:bookmarkEnd w:id="1600"/>
      <w:bookmarkEnd w:id="1601"/>
      <w:bookmarkEnd w:id="1602"/>
      <w:bookmarkEnd w:id="1603"/>
      <w:bookmarkEnd w:id="1604"/>
      <w:bookmarkEnd w:id="1605"/>
      <w:bookmarkEnd w:id="1606"/>
      <w:bookmarkEnd w:id="1607"/>
      <w:bookmarkEnd w:id="1608"/>
      <w:bookmarkEnd w:id="1609"/>
      <w:bookmarkEnd w:id="1610"/>
      <w:r>
        <w:rPr>
          <w:rFonts w:ascii="Times New Roman;Times;serif" w:hAnsi="Times New Roman;Times;serif"/>
          <w:b/>
          <w:sz w:val="20"/>
        </w:rPr>
        <w:t xml:space="preserve">NOTE 21. BUSINESS SEGMENT DATA </w:t>
      </w:r>
    </w:p>
    <w:p>
      <w:pPr>
        <w:pStyle w:val="TextBody"/>
        <w:bidi w:val="0"/>
        <w:spacing w:before="0" w:after="200"/>
        <w:ind w:left="0" w:right="0" w:firstLine="360"/>
        <w:jc w:val="both"/>
        <w:rPr>
          <w:rFonts w:ascii="Times New Roman;Times;serif" w:hAnsi="Times New Roman;Times;serif"/>
          <w:b/>
          <w:sz w:val="20"/>
        </w:rPr>
      </w:pPr>
      <w:r>
        <w:rPr>
          <w:rFonts w:ascii="Times New Roman;Times;serif" w:hAnsi="Times New Roman;Times;serif"/>
          <w:b w:val="false"/>
          <w:sz w:val="20"/>
        </w:rPr>
        <w:t>The Company operates in two</w:t>
      </w:r>
      <w:r>
        <w:rPr>
          <w:rFonts w:ascii="Times New Roman;Times;serif" w:hAnsi="Times New Roman;Times;serif"/>
          <w:b/>
          <w:sz w:val="20"/>
        </w:rPr>
        <w:t xml:space="preserve"> </w:t>
      </w:r>
      <w:r>
        <w:rPr>
          <w:rFonts w:ascii="Times New Roman;Times;serif" w:hAnsi="Times New Roman;Times;serif"/>
          <w:b w:val="false"/>
          <w:sz w:val="20"/>
        </w:rPr>
        <w:t>primary business segments: income properties and commercial loans and investments.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income property operations consist of lease income from income producing properties and our business plan is focused on investing in additional income-producing properties. Our income property operations accounted for 65% and 71% of our identifiable assets as of June 30, 2026 and December 31, 2025, respectively, and 66% and 82% of our consolidated revenues for the six months ended June 30, 2026 and 2025, respectively. Our commercial loans and investment operations accounted for 34% and 25% of our identifiable assets as of June 30, 2026 and December 31, 2025, respectively, and 34% and 17% of our consolidated revenues for the six months ended June 30, 2026 and 2025, respectively. As of June 30, 2026, our portfolio of commercial loans and investments consisted of 18 commercial loan investments, of which one is a sales-type lease and four are related to properties acquired through sale-leaseback transactions whereby the tenants have future repurchase rights.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Company’s CODM evaluates segment performance based on total revenues less direct costs of revenues when making decisions about allocating capital to the segments. The Company’s reportable segments are strategic business units that offer different products. They are managed separately because each segment requires different management techniques, knowledge, and skill. </w:t>
      </w:r>
    </w:p>
    <w:p>
      <w:pPr>
        <w:pStyle w:val="TextBody"/>
        <w:bidi w:val="0"/>
        <w:spacing w:before="0" w:after="0"/>
        <w:ind w:left="0" w:right="0" w:hanging="0"/>
        <w:jc w:val="left"/>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Information about the Company’s operations in different segments for the three months ended June 30, 2026, is as follows (in thousands):</w:t>
      </w:r>
    </w:p>
    <w:tbl>
      <w:tblPr>
        <w:tblW w:w="10205" w:type="dxa"/>
        <w:jc w:val="left"/>
        <w:tblInd w:w="0" w:type="dxa"/>
        <w:tblLayout w:type="fixed"/>
        <w:tblCellMar>
          <w:top w:w="0" w:type="dxa"/>
          <w:left w:w="0" w:type="dxa"/>
          <w:bottom w:w="0" w:type="dxa"/>
          <w:right w:w="0" w:type="dxa"/>
        </w:tblCellMar>
      </w:tblPr>
      <w:tblGrid>
        <w:gridCol w:w="4445"/>
        <w:gridCol w:w="381"/>
        <w:gridCol w:w="1227"/>
        <w:gridCol w:w="109"/>
        <w:gridCol w:w="803"/>
        <w:gridCol w:w="2183"/>
        <w:gridCol w:w="109"/>
        <w:gridCol w:w="211"/>
        <w:gridCol w:w="737"/>
      </w:tblGrid>
      <w:tr>
        <w:trPr/>
        <w:tc>
          <w:tcPr>
            <w:tcW w:w="4445" w:type="dxa"/>
            <w:tcBorders/>
            <w:vAlign w:val="center"/>
          </w:tcPr>
          <w:p>
            <w:pPr>
              <w:pStyle w:val="TableContents"/>
              <w:bidi w:val="0"/>
              <w:spacing w:before="0" w:after="0"/>
              <w:ind w:left="0" w:right="0" w:hanging="0"/>
              <w:jc w:val="left"/>
              <w:rPr/>
            </w:pPr>
            <w:r>
              <w:rPr/>
              <w:t>​</w:t>
            </w:r>
          </w:p>
        </w:tc>
        <w:tc>
          <w:tcPr>
            <w:tcW w:w="3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241935" cy="175260"/>
                      <wp:effectExtent l="0" t="0" r="0" b="0"/>
                      <wp:wrapNone/>
                      <wp:docPr id="351" name="Frame351"/>
                      <a:graphic xmlns:a="http://schemas.openxmlformats.org/drawingml/2006/main">
                        <a:graphicData uri="http://schemas.microsoft.com/office/word/2010/wordprocessingShape">
                          <wps:wsp>
                            <wps:cNvSpPr txBox="1"/>
                            <wps:spPr>
                              <a:xfrm>
                                <a:off x="0" y="0"/>
                                <a:ext cx="241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779145" cy="175260"/>
                      <wp:effectExtent l="0" t="0" r="0" b="0"/>
                      <wp:wrapNone/>
                      <wp:docPr id="352" name="Frame352"/>
                      <a:graphic xmlns:a="http://schemas.openxmlformats.org/drawingml/2006/main">
                        <a:graphicData uri="http://schemas.microsoft.com/office/word/2010/wordprocessingShape">
                          <wps:wsp>
                            <wps:cNvSpPr txBox="1"/>
                            <wps:spPr>
                              <a:xfrm>
                                <a:off x="0" y="0"/>
                                <a:ext cx="7791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69215" cy="175260"/>
                      <wp:effectExtent l="0" t="0" r="0" b="0"/>
                      <wp:wrapNone/>
                      <wp:docPr id="353" name="Frame35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509905" cy="175260"/>
                      <wp:effectExtent l="0" t="0" r="0" b="0"/>
                      <wp:wrapNone/>
                      <wp:docPr id="354" name="Frame354"/>
                      <a:graphic xmlns:a="http://schemas.openxmlformats.org/drawingml/2006/main">
                        <a:graphicData uri="http://schemas.microsoft.com/office/word/2010/wordprocessingShape">
                          <wps:wsp>
                            <wps:cNvSpPr txBox="1"/>
                            <wps:spPr>
                              <a:xfrm>
                                <a:off x="0" y="0"/>
                                <a:ext cx="5099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1386205" cy="175260"/>
                      <wp:effectExtent l="0" t="0" r="0" b="0"/>
                      <wp:wrapNone/>
                      <wp:docPr id="355" name="Frame355"/>
                      <a:graphic xmlns:a="http://schemas.openxmlformats.org/drawingml/2006/main">
                        <a:graphicData uri="http://schemas.microsoft.com/office/word/2010/wordprocessingShape">
                          <wps:wsp>
                            <wps:cNvSpPr txBox="1"/>
                            <wps:spPr>
                              <a:xfrm>
                                <a:off x="0" y="0"/>
                                <a:ext cx="13862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69215" cy="175260"/>
                      <wp:effectExtent l="0" t="0" r="0" b="0"/>
                      <wp:wrapNone/>
                      <wp:docPr id="356" name="Frame35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133985" cy="175260"/>
                      <wp:effectExtent l="0" t="0" r="0" b="0"/>
                      <wp:wrapNone/>
                      <wp:docPr id="357" name="Frame35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467995" cy="175260"/>
                      <wp:effectExtent l="0" t="0" r="0" b="0"/>
                      <wp:wrapNone/>
                      <wp:docPr id="358" name="Frame358"/>
                      <a:graphic xmlns:a="http://schemas.openxmlformats.org/drawingml/2006/main">
                        <a:graphicData uri="http://schemas.microsoft.com/office/word/2010/wordprocessingShape">
                          <wps:wsp>
                            <wps:cNvSpPr txBox="1"/>
                            <wps:spPr>
                              <a:xfrm>
                                <a:off x="0" y="0"/>
                                <a:ext cx="4679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445" w:type="dxa"/>
            <w:tcBorders/>
            <w:vAlign w:val="center"/>
          </w:tcPr>
          <w:p>
            <w:pPr>
              <w:pStyle w:val="TableContents"/>
              <w:bidi w:val="0"/>
              <w:spacing w:before="0" w:after="0"/>
              <w:ind w:left="0" w:right="0" w:hanging="0"/>
              <w:jc w:val="left"/>
              <w:rPr/>
            </w:pPr>
            <w:r>
              <w:rPr/>
              <w:t>​</w:t>
            </w:r>
          </w:p>
        </w:tc>
        <w:tc>
          <w:tcPr>
            <w:tcW w:w="160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Income Properties</w:t>
            </w:r>
          </w:p>
        </w:tc>
        <w:tc>
          <w:tcPr>
            <w:tcW w:w="109" w:type="dxa"/>
            <w:tcBorders/>
            <w:vAlign w:val="center"/>
          </w:tcPr>
          <w:p>
            <w:pPr>
              <w:pStyle w:val="TableContents"/>
              <w:bidi w:val="0"/>
              <w:spacing w:before="0" w:after="0"/>
              <w:ind w:left="0" w:right="0" w:hanging="0"/>
              <w:jc w:val="center"/>
              <w:rPr/>
            </w:pPr>
            <w:r>
              <w:rPr/>
              <w:t>​</w:t>
            </w:r>
          </w:p>
        </w:tc>
        <w:tc>
          <w:tcPr>
            <w:tcW w:w="29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Commercial Loans and Investments</w:t>
            </w:r>
          </w:p>
        </w:tc>
        <w:tc>
          <w:tcPr>
            <w:tcW w:w="109" w:type="dxa"/>
            <w:tcBorders/>
            <w:vAlign w:val="center"/>
          </w:tcPr>
          <w:p>
            <w:pPr>
              <w:pStyle w:val="TableContents"/>
              <w:bidi w:val="0"/>
              <w:spacing w:before="0" w:after="0"/>
              <w:ind w:left="0" w:right="0" w:hanging="0"/>
              <w:jc w:val="center"/>
              <w:rPr/>
            </w:pPr>
            <w:r>
              <w:rPr/>
              <w:t>​</w:t>
            </w:r>
          </w:p>
        </w:tc>
        <w:tc>
          <w:tcPr>
            <w:tcW w:w="94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Total</w:t>
            </w:r>
          </w:p>
        </w:tc>
      </w:tr>
      <w:tr>
        <w:trPr/>
        <w:tc>
          <w:tcPr>
            <w:tcW w:w="44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Revenues:</w:t>
            </w:r>
          </w:p>
        </w:tc>
        <w:tc>
          <w:tcPr>
            <w:tcW w:w="381" w:type="dxa"/>
            <w:tcBorders/>
            <w:shd w:fill="CCEEFF" w:val="clear"/>
            <w:vAlign w:val="center"/>
          </w:tcPr>
          <w:p>
            <w:pPr>
              <w:pStyle w:val="TableContents"/>
              <w:bidi w:val="0"/>
              <w:spacing w:before="0" w:after="0"/>
              <w:ind w:left="0" w:right="0" w:hanging="0"/>
              <w:jc w:val="center"/>
              <w:rPr/>
            </w:pPr>
            <w:r>
              <w:rPr/>
              <w:t>​</w:t>
            </w:r>
          </w:p>
        </w:tc>
        <w:tc>
          <w:tcPr>
            <w:tcW w:w="1227"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803" w:type="dxa"/>
            <w:tcBorders/>
            <w:shd w:fill="CCEEFF" w:val="clear"/>
            <w:vAlign w:val="center"/>
          </w:tcPr>
          <w:p>
            <w:pPr>
              <w:pStyle w:val="TableContents"/>
              <w:bidi w:val="0"/>
              <w:spacing w:before="0" w:after="0"/>
              <w:ind w:left="0" w:right="0" w:hanging="0"/>
              <w:jc w:val="center"/>
              <w:rPr/>
            </w:pPr>
            <w:r>
              <w:rPr/>
              <w:t>​</w:t>
            </w:r>
          </w:p>
        </w:tc>
        <w:tc>
          <w:tcPr>
            <w:tcW w:w="2183"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737" w:type="dxa"/>
            <w:tcBorders/>
            <w:shd w:fill="CCEEFF" w:val="clear"/>
            <w:vAlign w:val="center"/>
          </w:tcPr>
          <w:p>
            <w:pPr>
              <w:pStyle w:val="TableContents"/>
              <w:bidi w:val="0"/>
              <w:spacing w:before="0" w:after="0"/>
              <w:ind w:left="0" w:right="0" w:hanging="0"/>
              <w:jc w:val="center"/>
              <w:rPr/>
            </w:pPr>
            <w:r>
              <w:rPr/>
              <w:t>​</w:t>
            </w:r>
          </w:p>
        </w:tc>
      </w:tr>
      <w:tr>
        <w:trPr/>
        <w:tc>
          <w:tcPr>
            <w:tcW w:w="44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 Income</w:t>
            </w:r>
          </w:p>
        </w:tc>
        <w:tc>
          <w:tcPr>
            <w:tcW w:w="3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122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12,637</w:t>
            </w:r>
          </w:p>
        </w:tc>
        <w:tc>
          <w:tcPr>
            <w:tcW w:w="109" w:type="dxa"/>
            <w:tcBorders/>
            <w:vAlign w:val="center"/>
          </w:tcPr>
          <w:p>
            <w:pPr>
              <w:pStyle w:val="TableContents"/>
              <w:bidi w:val="0"/>
              <w:spacing w:before="0" w:after="0"/>
              <w:ind w:left="0" w:right="0" w:hanging="0"/>
              <w:jc w:val="right"/>
              <w:rPr/>
            </w:pPr>
            <w:r>
              <w:rPr/>
              <w:t>​</w:t>
            </w:r>
          </w:p>
        </w:tc>
        <w:tc>
          <w:tcPr>
            <w:tcW w:w="80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2183"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7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12,637</w:t>
            </w:r>
          </w:p>
        </w:tc>
      </w:tr>
      <w:tr>
        <w:trPr/>
        <w:tc>
          <w:tcPr>
            <w:tcW w:w="44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 from Commercial Loans and Investments</w:t>
            </w:r>
          </w:p>
        </w:tc>
        <w:tc>
          <w:tcPr>
            <w:tcW w:w="381"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122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80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18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7,331</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3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7,331</w:t>
            </w:r>
          </w:p>
        </w:tc>
      </w:tr>
      <w:tr>
        <w:trPr/>
        <w:tc>
          <w:tcPr>
            <w:tcW w:w="44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Revenues for Reportable Segments</w:t>
            </w:r>
          </w:p>
        </w:tc>
        <w:tc>
          <w:tcPr>
            <w:tcW w:w="381" w:type="dxa"/>
            <w:tcBorders/>
            <w:vAlign w:val="center"/>
          </w:tcPr>
          <w:p>
            <w:pPr>
              <w:pStyle w:val="TableContents"/>
              <w:bidi w:val="0"/>
              <w:spacing w:before="0" w:after="0"/>
              <w:ind w:left="0" w:right="0" w:hanging="0"/>
              <w:jc w:val="center"/>
              <w:rPr/>
            </w:pPr>
            <w:r>
              <w:rPr/>
              <w:t>​</w:t>
            </w:r>
          </w:p>
        </w:tc>
        <w:tc>
          <w:tcPr>
            <w:tcW w:w="122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12,637</w:t>
            </w:r>
          </w:p>
        </w:tc>
        <w:tc>
          <w:tcPr>
            <w:tcW w:w="109" w:type="dxa"/>
            <w:tcBorders/>
            <w:vAlign w:val="center"/>
          </w:tcPr>
          <w:p>
            <w:pPr>
              <w:pStyle w:val="TableContents"/>
              <w:bidi w:val="0"/>
              <w:spacing w:before="0" w:after="0"/>
              <w:ind w:left="0" w:right="0" w:hanging="0"/>
              <w:jc w:val="right"/>
              <w:rPr/>
            </w:pPr>
            <w:r>
              <w:rPr/>
              <w:t>​</w:t>
            </w:r>
          </w:p>
        </w:tc>
        <w:tc>
          <w:tcPr>
            <w:tcW w:w="803" w:type="dxa"/>
            <w:tcBorders/>
            <w:vAlign w:val="center"/>
          </w:tcPr>
          <w:p>
            <w:pPr>
              <w:pStyle w:val="TableContents"/>
              <w:bidi w:val="0"/>
              <w:spacing w:before="0" w:after="0"/>
              <w:ind w:left="0" w:right="0" w:hanging="0"/>
              <w:jc w:val="right"/>
              <w:rPr/>
            </w:pPr>
            <w:r>
              <w:rPr/>
              <w:t>​</w:t>
            </w:r>
          </w:p>
        </w:tc>
        <w:tc>
          <w:tcPr>
            <w:tcW w:w="218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7,331</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7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19,968</w:t>
            </w:r>
          </w:p>
        </w:tc>
      </w:tr>
      <w:tr>
        <w:trPr/>
        <w:tc>
          <w:tcPr>
            <w:tcW w:w="4445" w:type="dxa"/>
            <w:tcBorders/>
            <w:shd w:fill="CCEEFF" w:val="clear"/>
            <w:vAlign w:val="center"/>
          </w:tcPr>
          <w:p>
            <w:pPr>
              <w:pStyle w:val="TableContents"/>
              <w:bidi w:val="0"/>
              <w:spacing w:before="0" w:after="0"/>
              <w:ind w:left="0" w:right="0" w:hanging="0"/>
              <w:jc w:val="left"/>
              <w:rPr/>
            </w:pPr>
            <w:r>
              <w:rPr/>
              <w:t>​</w:t>
            </w:r>
          </w:p>
        </w:tc>
        <w:tc>
          <w:tcPr>
            <w:tcW w:w="381" w:type="dxa"/>
            <w:tcBorders/>
            <w:shd w:fill="CCEEFF" w:val="clear"/>
            <w:vAlign w:val="center"/>
          </w:tcPr>
          <w:p>
            <w:pPr>
              <w:pStyle w:val="TableContents"/>
              <w:bidi w:val="0"/>
              <w:spacing w:before="0" w:after="0"/>
              <w:ind w:left="0" w:right="0" w:hanging="0"/>
              <w:jc w:val="center"/>
              <w:rPr/>
            </w:pPr>
            <w:r>
              <w:rPr/>
              <w:t>​</w:t>
            </w:r>
          </w:p>
        </w:tc>
        <w:tc>
          <w:tcPr>
            <w:tcW w:w="1227"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803" w:type="dxa"/>
            <w:tcBorders/>
            <w:shd w:fill="CCEEFF" w:val="clear"/>
            <w:vAlign w:val="center"/>
          </w:tcPr>
          <w:p>
            <w:pPr>
              <w:pStyle w:val="TableContents"/>
              <w:bidi w:val="0"/>
              <w:spacing w:before="0" w:after="0"/>
              <w:ind w:left="0" w:right="0" w:hanging="0"/>
              <w:jc w:val="right"/>
              <w:rPr/>
            </w:pPr>
            <w:r>
              <w:rPr/>
              <w:t>​</w:t>
            </w:r>
          </w:p>
        </w:tc>
        <w:tc>
          <w:tcPr>
            <w:tcW w:w="2183"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37" w:type="dxa"/>
            <w:tcBorders/>
            <w:shd w:fill="CCEEFF" w:val="clear"/>
            <w:vAlign w:val="center"/>
          </w:tcPr>
          <w:p>
            <w:pPr>
              <w:pStyle w:val="TableContents"/>
              <w:bidi w:val="0"/>
              <w:spacing w:before="0" w:after="0"/>
              <w:ind w:left="0" w:right="0" w:hanging="0"/>
              <w:jc w:val="right"/>
              <w:rPr/>
            </w:pPr>
            <w:r>
              <w:rPr/>
              <w:t>​</w:t>
            </w:r>
          </w:p>
        </w:tc>
      </w:tr>
      <w:tr>
        <w:trPr/>
        <w:tc>
          <w:tcPr>
            <w:tcW w:w="4445"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Reconciliation to Consolidated Revenues</w:t>
            </w:r>
          </w:p>
        </w:tc>
        <w:tc>
          <w:tcPr>
            <w:tcW w:w="381" w:type="dxa"/>
            <w:tcBorders/>
            <w:vAlign w:val="center"/>
          </w:tcPr>
          <w:p>
            <w:pPr>
              <w:pStyle w:val="TableContents"/>
              <w:bidi w:val="0"/>
              <w:spacing w:before="0" w:after="0"/>
              <w:ind w:left="0" w:right="0" w:hanging="0"/>
              <w:jc w:val="center"/>
              <w:rPr/>
            </w:pPr>
            <w:r>
              <w:rPr/>
              <w:t>​</w:t>
            </w:r>
          </w:p>
        </w:tc>
        <w:tc>
          <w:tcPr>
            <w:tcW w:w="1227"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803" w:type="dxa"/>
            <w:tcBorders/>
            <w:vAlign w:val="center"/>
          </w:tcPr>
          <w:p>
            <w:pPr>
              <w:pStyle w:val="TableContents"/>
              <w:bidi w:val="0"/>
              <w:spacing w:before="0" w:after="0"/>
              <w:ind w:left="0" w:right="0" w:hanging="0"/>
              <w:jc w:val="right"/>
              <w:rPr/>
            </w:pPr>
            <w:r>
              <w:rPr/>
              <w:t>​</w:t>
            </w:r>
          </w:p>
        </w:tc>
        <w:tc>
          <w:tcPr>
            <w:tcW w:w="2183"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737" w:type="dxa"/>
            <w:tcBorders/>
            <w:vAlign w:val="center"/>
          </w:tcPr>
          <w:p>
            <w:pPr>
              <w:pStyle w:val="TableContents"/>
              <w:bidi w:val="0"/>
              <w:spacing w:before="0" w:after="0"/>
              <w:ind w:left="0" w:right="0" w:hanging="0"/>
              <w:jc w:val="right"/>
              <w:rPr/>
            </w:pPr>
            <w:r>
              <w:rPr/>
              <w:t>​</w:t>
            </w:r>
          </w:p>
        </w:tc>
      </w:tr>
      <w:tr>
        <w:trPr/>
        <w:tc>
          <w:tcPr>
            <w:tcW w:w="44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Revenues</w:t>
            </w:r>
          </w:p>
        </w:tc>
        <w:tc>
          <w:tcPr>
            <w:tcW w:w="381" w:type="dxa"/>
            <w:tcBorders/>
            <w:shd w:fill="CCEEFF" w:val="clear"/>
            <w:vAlign w:val="center"/>
          </w:tcPr>
          <w:p>
            <w:pPr>
              <w:pStyle w:val="TableContents"/>
              <w:bidi w:val="0"/>
              <w:spacing w:before="0" w:after="0"/>
              <w:ind w:left="0" w:right="0" w:hanging="0"/>
              <w:jc w:val="center"/>
              <w:rPr/>
            </w:pPr>
            <w:r>
              <w:rPr/>
              <w:t>​</w:t>
            </w:r>
          </w:p>
        </w:tc>
        <w:tc>
          <w:tcPr>
            <w:tcW w:w="1227"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803" w:type="dxa"/>
            <w:tcBorders/>
            <w:shd w:fill="CCEEFF" w:val="clear"/>
            <w:vAlign w:val="center"/>
          </w:tcPr>
          <w:p>
            <w:pPr>
              <w:pStyle w:val="TableContents"/>
              <w:bidi w:val="0"/>
              <w:spacing w:before="0" w:after="0"/>
              <w:ind w:left="0" w:right="0" w:hanging="0"/>
              <w:jc w:val="right"/>
              <w:rPr/>
            </w:pPr>
            <w:r>
              <w:rPr/>
              <w:t>​</w:t>
            </w:r>
          </w:p>
        </w:tc>
        <w:tc>
          <w:tcPr>
            <w:tcW w:w="2183"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3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r>
      <w:tr>
        <w:trPr/>
        <w:tc>
          <w:tcPr>
            <w:tcW w:w="44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Consolidated Revenues</w:t>
            </w:r>
          </w:p>
        </w:tc>
        <w:tc>
          <w:tcPr>
            <w:tcW w:w="381" w:type="dxa"/>
            <w:tcBorders/>
            <w:vAlign w:val="center"/>
          </w:tcPr>
          <w:p>
            <w:pPr>
              <w:pStyle w:val="TableContents"/>
              <w:bidi w:val="0"/>
              <w:spacing w:before="0" w:after="0"/>
              <w:ind w:left="0" w:right="0" w:hanging="0"/>
              <w:jc w:val="center"/>
              <w:rPr/>
            </w:pPr>
            <w:r>
              <w:rPr/>
              <w:t>​</w:t>
            </w:r>
          </w:p>
        </w:tc>
        <w:tc>
          <w:tcPr>
            <w:tcW w:w="1227"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803" w:type="dxa"/>
            <w:tcBorders/>
            <w:vAlign w:val="center"/>
          </w:tcPr>
          <w:p>
            <w:pPr>
              <w:pStyle w:val="TableContents"/>
              <w:bidi w:val="0"/>
              <w:spacing w:before="0" w:after="0"/>
              <w:ind w:left="0" w:right="0" w:hanging="0"/>
              <w:jc w:val="right"/>
              <w:rPr/>
            </w:pPr>
            <w:r>
              <w:rPr/>
              <w:t>​</w:t>
            </w:r>
          </w:p>
        </w:tc>
        <w:tc>
          <w:tcPr>
            <w:tcW w:w="2183"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73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20,002</w:t>
            </w:r>
          </w:p>
        </w:tc>
      </w:tr>
      <w:tr>
        <w:trPr/>
        <w:tc>
          <w:tcPr>
            <w:tcW w:w="4445" w:type="dxa"/>
            <w:tcBorders/>
            <w:shd w:fill="CCEEFF" w:val="clear"/>
            <w:vAlign w:val="center"/>
          </w:tcPr>
          <w:p>
            <w:pPr>
              <w:pStyle w:val="TableContents"/>
              <w:bidi w:val="0"/>
              <w:spacing w:before="0" w:after="0"/>
              <w:ind w:left="0" w:right="0" w:hanging="0"/>
              <w:jc w:val="left"/>
              <w:rPr/>
            </w:pPr>
            <w:r>
              <w:rPr/>
              <w:t>​</w:t>
            </w:r>
          </w:p>
        </w:tc>
        <w:tc>
          <w:tcPr>
            <w:tcW w:w="381" w:type="dxa"/>
            <w:tcBorders/>
            <w:shd w:fill="CCEEFF" w:val="clear"/>
            <w:vAlign w:val="center"/>
          </w:tcPr>
          <w:p>
            <w:pPr>
              <w:pStyle w:val="TableContents"/>
              <w:bidi w:val="0"/>
              <w:spacing w:before="0" w:after="0"/>
              <w:ind w:left="0" w:right="0" w:hanging="0"/>
              <w:jc w:val="center"/>
              <w:rPr/>
            </w:pPr>
            <w:r>
              <w:rPr/>
              <w:t>​</w:t>
            </w:r>
          </w:p>
        </w:tc>
        <w:tc>
          <w:tcPr>
            <w:tcW w:w="1227"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803" w:type="dxa"/>
            <w:tcBorders/>
            <w:shd w:fill="CCEEFF" w:val="clear"/>
            <w:vAlign w:val="center"/>
          </w:tcPr>
          <w:p>
            <w:pPr>
              <w:pStyle w:val="TableContents"/>
              <w:bidi w:val="0"/>
              <w:spacing w:before="0" w:after="0"/>
              <w:ind w:left="0" w:right="0" w:hanging="0"/>
              <w:jc w:val="right"/>
              <w:rPr/>
            </w:pPr>
            <w:r>
              <w:rPr/>
              <w:t>​</w:t>
            </w:r>
          </w:p>
        </w:tc>
        <w:tc>
          <w:tcPr>
            <w:tcW w:w="2183"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37" w:type="dxa"/>
            <w:tcBorders/>
            <w:shd w:fill="CCEEFF" w:val="clear"/>
            <w:vAlign w:val="center"/>
          </w:tcPr>
          <w:p>
            <w:pPr>
              <w:pStyle w:val="TableContents"/>
              <w:bidi w:val="0"/>
              <w:spacing w:before="0" w:after="0"/>
              <w:ind w:left="0" w:right="0" w:hanging="0"/>
              <w:jc w:val="right"/>
              <w:rPr/>
            </w:pPr>
            <w:r>
              <w:rPr/>
              <w:t>​</w:t>
            </w:r>
          </w:p>
        </w:tc>
      </w:tr>
      <w:tr>
        <w:trPr/>
        <w:tc>
          <w:tcPr>
            <w:tcW w:w="44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381" w:type="dxa"/>
            <w:tcBorders/>
            <w:vAlign w:val="center"/>
          </w:tcPr>
          <w:p>
            <w:pPr>
              <w:pStyle w:val="TableContents"/>
              <w:bidi w:val="0"/>
              <w:spacing w:before="0" w:after="0"/>
              <w:ind w:left="0" w:right="0" w:hanging="0"/>
              <w:jc w:val="center"/>
              <w:rPr/>
            </w:pPr>
            <w:r>
              <w:rPr/>
              <w:t>​</w:t>
            </w:r>
          </w:p>
        </w:tc>
        <w:tc>
          <w:tcPr>
            <w:tcW w:w="1227"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803" w:type="dxa"/>
            <w:tcBorders/>
            <w:vAlign w:val="center"/>
          </w:tcPr>
          <w:p>
            <w:pPr>
              <w:pStyle w:val="TableContents"/>
              <w:bidi w:val="0"/>
              <w:spacing w:before="0" w:after="0"/>
              <w:ind w:left="0" w:right="0" w:hanging="0"/>
              <w:jc w:val="center"/>
              <w:rPr/>
            </w:pPr>
            <w:r>
              <w:rPr/>
              <w:t>​</w:t>
            </w:r>
          </w:p>
        </w:tc>
        <w:tc>
          <w:tcPr>
            <w:tcW w:w="2183"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737" w:type="dxa"/>
            <w:tcBorders/>
            <w:vAlign w:val="center"/>
          </w:tcPr>
          <w:p>
            <w:pPr>
              <w:pStyle w:val="TableContents"/>
              <w:bidi w:val="0"/>
              <w:spacing w:before="0" w:after="0"/>
              <w:ind w:left="0" w:right="0" w:hanging="0"/>
              <w:jc w:val="right"/>
              <w:rPr/>
            </w:pPr>
            <w:r>
              <w:rPr/>
              <w:t>​</w:t>
            </w:r>
          </w:p>
        </w:tc>
      </w:tr>
      <w:tr>
        <w:trPr/>
        <w:tc>
          <w:tcPr>
            <w:tcW w:w="44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Real Estate Expenses</w:t>
            </w:r>
          </w:p>
        </w:tc>
        <w:tc>
          <w:tcPr>
            <w:tcW w:w="381"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122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2,085</w:t>
            </w:r>
          </w:p>
        </w:tc>
        <w:tc>
          <w:tcPr>
            <w:tcW w:w="109" w:type="dxa"/>
            <w:tcBorders/>
            <w:shd w:fill="CCEEFF" w:val="clear"/>
            <w:vAlign w:val="center"/>
          </w:tcPr>
          <w:p>
            <w:pPr>
              <w:pStyle w:val="TableContents"/>
              <w:bidi w:val="0"/>
              <w:spacing w:before="0" w:after="0"/>
              <w:ind w:left="0" w:right="0" w:hanging="0"/>
              <w:jc w:val="left"/>
              <w:rPr/>
            </w:pPr>
            <w:r>
              <w:rPr/>
              <w:t>​</w:t>
            </w:r>
          </w:p>
        </w:tc>
        <w:tc>
          <w:tcPr>
            <w:tcW w:w="803"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218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73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2,085</w:t>
            </w:r>
          </w:p>
        </w:tc>
      </w:tr>
      <w:tr>
        <w:trPr/>
        <w:tc>
          <w:tcPr>
            <w:tcW w:w="44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Revenues Less Direct Costs of Revenues</w:t>
            </w:r>
          </w:p>
        </w:tc>
        <w:tc>
          <w:tcPr>
            <w:tcW w:w="381" w:type="dxa"/>
            <w:tcBorders/>
            <w:vAlign w:val="center"/>
          </w:tcPr>
          <w:p>
            <w:pPr>
              <w:pStyle w:val="TableContents"/>
              <w:bidi w:val="0"/>
              <w:spacing w:before="0" w:after="0"/>
              <w:ind w:left="0" w:right="0" w:hanging="0"/>
              <w:jc w:val="center"/>
              <w:rPr/>
            </w:pPr>
            <w:r>
              <w:rPr/>
              <w:t>​</w:t>
            </w:r>
          </w:p>
        </w:tc>
        <w:tc>
          <w:tcPr>
            <w:tcW w:w="122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10,552</w:t>
            </w:r>
          </w:p>
        </w:tc>
        <w:tc>
          <w:tcPr>
            <w:tcW w:w="109" w:type="dxa"/>
            <w:tcBorders/>
            <w:vAlign w:val="center"/>
          </w:tcPr>
          <w:p>
            <w:pPr>
              <w:pStyle w:val="TableContents"/>
              <w:bidi w:val="0"/>
              <w:spacing w:before="0" w:after="0"/>
              <w:ind w:left="0" w:right="0" w:hanging="0"/>
              <w:jc w:val="left"/>
              <w:rPr/>
            </w:pPr>
            <w:r>
              <w:rPr/>
              <w:t>​</w:t>
            </w:r>
          </w:p>
        </w:tc>
        <w:tc>
          <w:tcPr>
            <w:tcW w:w="803" w:type="dxa"/>
            <w:tcBorders/>
            <w:vAlign w:val="center"/>
          </w:tcPr>
          <w:p>
            <w:pPr>
              <w:pStyle w:val="TableContents"/>
              <w:bidi w:val="0"/>
              <w:spacing w:before="0" w:after="0"/>
              <w:ind w:left="0" w:right="0" w:hanging="0"/>
              <w:jc w:val="center"/>
              <w:rPr/>
            </w:pPr>
            <w:r>
              <w:rPr/>
              <w:t>​</w:t>
            </w:r>
          </w:p>
        </w:tc>
        <w:tc>
          <w:tcPr>
            <w:tcW w:w="218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7,331</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7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17,883</w:t>
            </w:r>
          </w:p>
        </w:tc>
      </w:tr>
      <w:tr>
        <w:trPr/>
        <w:tc>
          <w:tcPr>
            <w:tcW w:w="44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 for Impairment</w:t>
            </w:r>
          </w:p>
        </w:tc>
        <w:tc>
          <w:tcPr>
            <w:tcW w:w="381" w:type="dxa"/>
            <w:tcBorders/>
            <w:shd w:fill="CCEEFF" w:val="clear"/>
            <w:vAlign w:val="center"/>
          </w:tcPr>
          <w:p>
            <w:pPr>
              <w:pStyle w:val="TableContents"/>
              <w:bidi w:val="0"/>
              <w:spacing w:before="0" w:after="0"/>
              <w:ind w:left="0" w:right="0" w:hanging="0"/>
              <w:jc w:val="center"/>
              <w:rPr/>
            </w:pPr>
            <w:r>
              <w:rPr/>
              <w:t>​</w:t>
            </w:r>
          </w:p>
        </w:tc>
        <w:tc>
          <w:tcPr>
            <w:tcW w:w="122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w:t>
            </w:r>
          </w:p>
        </w:tc>
        <w:tc>
          <w:tcPr>
            <w:tcW w:w="109" w:type="dxa"/>
            <w:tcBorders/>
            <w:shd w:fill="CCEEFF" w:val="clear"/>
            <w:vAlign w:val="center"/>
          </w:tcPr>
          <w:p>
            <w:pPr>
              <w:pStyle w:val="TableContents"/>
              <w:bidi w:val="0"/>
              <w:spacing w:before="0" w:after="0"/>
              <w:ind w:left="0" w:right="0" w:hanging="0"/>
              <w:jc w:val="left"/>
              <w:rPr/>
            </w:pPr>
            <w:r>
              <w:rPr/>
              <w:t>​</w:t>
            </w:r>
          </w:p>
        </w:tc>
        <w:tc>
          <w:tcPr>
            <w:tcW w:w="803" w:type="dxa"/>
            <w:tcBorders/>
            <w:shd w:fill="CCEEFF" w:val="clear"/>
            <w:vAlign w:val="center"/>
          </w:tcPr>
          <w:p>
            <w:pPr>
              <w:pStyle w:val="TableContents"/>
              <w:bidi w:val="0"/>
              <w:spacing w:before="0" w:after="0"/>
              <w:ind w:left="0" w:right="0" w:hanging="0"/>
              <w:jc w:val="center"/>
              <w:rPr/>
            </w:pPr>
            <w:r>
              <w:rPr/>
              <w:t>​</w:t>
            </w:r>
          </w:p>
        </w:tc>
        <w:tc>
          <w:tcPr>
            <w:tcW w:w="218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216</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7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377</w:t>
            </w:r>
          </w:p>
        </w:tc>
      </w:tr>
      <w:tr>
        <w:trPr/>
        <w:tc>
          <w:tcPr>
            <w:tcW w:w="44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8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22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6,805</w:t>
            </w:r>
          </w:p>
        </w:tc>
        <w:tc>
          <w:tcPr>
            <w:tcW w:w="109" w:type="dxa"/>
            <w:tcBorders/>
            <w:vAlign w:val="center"/>
          </w:tcPr>
          <w:p>
            <w:pPr>
              <w:pStyle w:val="TableContents"/>
              <w:bidi w:val="0"/>
              <w:spacing w:before="0" w:after="0"/>
              <w:ind w:left="0" w:right="0" w:hanging="0"/>
              <w:jc w:val="left"/>
              <w:rPr/>
            </w:pPr>
            <w:r>
              <w:rPr/>
              <w:t>​</w:t>
            </w:r>
          </w:p>
        </w:tc>
        <w:tc>
          <w:tcPr>
            <w:tcW w:w="803"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218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73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6,805</w:t>
            </w:r>
          </w:p>
        </w:tc>
      </w:tr>
      <w:tr>
        <w:trPr/>
        <w:tc>
          <w:tcPr>
            <w:tcW w:w="44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From Operations for Reportable Segments</w:t>
            </w:r>
          </w:p>
        </w:tc>
        <w:tc>
          <w:tcPr>
            <w:tcW w:w="381" w:type="dxa"/>
            <w:tcBorders/>
            <w:shd w:fill="CCEEFF" w:val="clear"/>
            <w:vAlign w:val="center"/>
          </w:tcPr>
          <w:p>
            <w:pPr>
              <w:pStyle w:val="TableContents"/>
              <w:bidi w:val="0"/>
              <w:spacing w:before="0" w:after="0"/>
              <w:ind w:left="0" w:right="0" w:hanging="0"/>
              <w:jc w:val="center"/>
              <w:rPr/>
            </w:pPr>
            <w:r>
              <w:rPr/>
              <w:t>​</w:t>
            </w:r>
          </w:p>
        </w:tc>
        <w:tc>
          <w:tcPr>
            <w:tcW w:w="122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3,586</w:t>
            </w:r>
          </w:p>
        </w:tc>
        <w:tc>
          <w:tcPr>
            <w:tcW w:w="109" w:type="dxa"/>
            <w:tcBorders/>
            <w:shd w:fill="CCEEFF" w:val="clear"/>
            <w:vAlign w:val="center"/>
          </w:tcPr>
          <w:p>
            <w:pPr>
              <w:pStyle w:val="TableContents"/>
              <w:bidi w:val="0"/>
              <w:spacing w:before="0" w:after="0"/>
              <w:ind w:left="0" w:right="0" w:hanging="0"/>
              <w:jc w:val="left"/>
              <w:rPr/>
            </w:pPr>
            <w:r>
              <w:rPr/>
              <w:t>​</w:t>
            </w:r>
          </w:p>
        </w:tc>
        <w:tc>
          <w:tcPr>
            <w:tcW w:w="803" w:type="dxa"/>
            <w:tcBorders/>
            <w:shd w:fill="CCEEFF" w:val="clear"/>
            <w:vAlign w:val="center"/>
          </w:tcPr>
          <w:p>
            <w:pPr>
              <w:pStyle w:val="TableContents"/>
              <w:bidi w:val="0"/>
              <w:spacing w:before="0" w:after="0"/>
              <w:ind w:left="0" w:right="0" w:hanging="0"/>
              <w:jc w:val="center"/>
              <w:rPr/>
            </w:pPr>
            <w:r>
              <w:rPr/>
              <w:t>​</w:t>
            </w:r>
          </w:p>
        </w:tc>
        <w:tc>
          <w:tcPr>
            <w:tcW w:w="218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7,115</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7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10,701</w:t>
            </w:r>
          </w:p>
        </w:tc>
      </w:tr>
      <w:tr>
        <w:trPr/>
        <w:tc>
          <w:tcPr>
            <w:tcW w:w="4445" w:type="dxa"/>
            <w:tcBorders/>
            <w:vAlign w:val="center"/>
          </w:tcPr>
          <w:p>
            <w:pPr>
              <w:pStyle w:val="TableContents"/>
              <w:bidi w:val="0"/>
              <w:spacing w:before="0" w:after="0"/>
              <w:ind w:left="0" w:right="0" w:hanging="0"/>
              <w:jc w:val="left"/>
              <w:rPr/>
            </w:pPr>
            <w:r>
              <w:rPr/>
              <w:t>​</w:t>
            </w:r>
          </w:p>
        </w:tc>
        <w:tc>
          <w:tcPr>
            <w:tcW w:w="381" w:type="dxa"/>
            <w:tcBorders/>
            <w:vAlign w:val="center"/>
          </w:tcPr>
          <w:p>
            <w:pPr>
              <w:pStyle w:val="TableContents"/>
              <w:bidi w:val="0"/>
              <w:spacing w:before="0" w:after="0"/>
              <w:ind w:left="0" w:right="0" w:hanging="0"/>
              <w:jc w:val="center"/>
              <w:rPr/>
            </w:pPr>
            <w:r>
              <w:rPr/>
              <w:t>​</w:t>
            </w:r>
          </w:p>
        </w:tc>
        <w:tc>
          <w:tcPr>
            <w:tcW w:w="1227"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803" w:type="dxa"/>
            <w:tcBorders/>
            <w:vAlign w:val="center"/>
          </w:tcPr>
          <w:p>
            <w:pPr>
              <w:pStyle w:val="TableContents"/>
              <w:bidi w:val="0"/>
              <w:spacing w:before="0" w:after="0"/>
              <w:ind w:left="0" w:right="0" w:hanging="0"/>
              <w:jc w:val="center"/>
              <w:rPr/>
            </w:pPr>
            <w:r>
              <w:rPr/>
              <w:t>​</w:t>
            </w:r>
          </w:p>
        </w:tc>
        <w:tc>
          <w:tcPr>
            <w:tcW w:w="2183"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737" w:type="dxa"/>
            <w:tcBorders/>
            <w:vAlign w:val="center"/>
          </w:tcPr>
          <w:p>
            <w:pPr>
              <w:pStyle w:val="TableContents"/>
              <w:bidi w:val="0"/>
              <w:spacing w:before="0" w:after="0"/>
              <w:ind w:left="0" w:right="0" w:hanging="0"/>
              <w:jc w:val="right"/>
              <w:rPr/>
            </w:pPr>
            <w:r>
              <w:rPr/>
              <w:t>​</w:t>
            </w:r>
          </w:p>
        </w:tc>
      </w:tr>
      <w:tr>
        <w:trPr/>
        <w:tc>
          <w:tcPr>
            <w:tcW w:w="4445" w:type="dxa"/>
            <w:tcBorders/>
            <w:shd w:fill="CCEEFF" w:val="clear"/>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Reconciliation to Consolidated Net Income</w:t>
            </w:r>
          </w:p>
        </w:tc>
        <w:tc>
          <w:tcPr>
            <w:tcW w:w="381" w:type="dxa"/>
            <w:tcBorders/>
            <w:shd w:fill="CCEEFF" w:val="clear"/>
            <w:vAlign w:val="center"/>
          </w:tcPr>
          <w:p>
            <w:pPr>
              <w:pStyle w:val="TableContents"/>
              <w:bidi w:val="0"/>
              <w:spacing w:before="0" w:after="0"/>
              <w:ind w:left="0" w:right="0" w:hanging="0"/>
              <w:jc w:val="center"/>
              <w:rPr/>
            </w:pPr>
            <w:r>
              <w:rPr/>
              <w:t>​</w:t>
            </w:r>
          </w:p>
        </w:tc>
        <w:tc>
          <w:tcPr>
            <w:tcW w:w="1227"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803" w:type="dxa"/>
            <w:tcBorders/>
            <w:shd w:fill="CCEEFF" w:val="clear"/>
            <w:vAlign w:val="center"/>
          </w:tcPr>
          <w:p>
            <w:pPr>
              <w:pStyle w:val="TableContents"/>
              <w:bidi w:val="0"/>
              <w:spacing w:before="0" w:after="0"/>
              <w:ind w:left="0" w:right="0" w:hanging="0"/>
              <w:jc w:val="center"/>
              <w:rPr/>
            </w:pPr>
            <w:r>
              <w:rPr/>
              <w:t>​</w:t>
            </w:r>
          </w:p>
        </w:tc>
        <w:tc>
          <w:tcPr>
            <w:tcW w:w="2183"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737" w:type="dxa"/>
            <w:tcBorders/>
            <w:shd w:fill="CCEEFF" w:val="clear"/>
            <w:vAlign w:val="center"/>
          </w:tcPr>
          <w:p>
            <w:pPr>
              <w:pStyle w:val="TableContents"/>
              <w:bidi w:val="0"/>
              <w:spacing w:before="0" w:after="0"/>
              <w:ind w:left="0" w:right="0" w:hanging="0"/>
              <w:jc w:val="right"/>
              <w:rPr/>
            </w:pPr>
            <w:r>
              <w:rPr/>
              <w:t>​</w:t>
            </w:r>
          </w:p>
        </w:tc>
      </w:tr>
      <w:tr>
        <w:trPr/>
        <w:tc>
          <w:tcPr>
            <w:tcW w:w="44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Revenues</w:t>
            </w:r>
          </w:p>
        </w:tc>
        <w:tc>
          <w:tcPr>
            <w:tcW w:w="381" w:type="dxa"/>
            <w:tcBorders/>
            <w:vAlign w:val="center"/>
          </w:tcPr>
          <w:p>
            <w:pPr>
              <w:pStyle w:val="TableContents"/>
              <w:bidi w:val="0"/>
              <w:spacing w:before="0" w:after="0"/>
              <w:ind w:left="0" w:right="0" w:hanging="0"/>
              <w:jc w:val="center"/>
              <w:rPr/>
            </w:pPr>
            <w:r>
              <w:rPr/>
              <w:t>​</w:t>
            </w:r>
          </w:p>
        </w:tc>
        <w:tc>
          <w:tcPr>
            <w:tcW w:w="1227"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803" w:type="dxa"/>
            <w:tcBorders/>
            <w:vAlign w:val="center"/>
          </w:tcPr>
          <w:p>
            <w:pPr>
              <w:pStyle w:val="TableContents"/>
              <w:bidi w:val="0"/>
              <w:spacing w:before="0" w:after="0"/>
              <w:ind w:left="0" w:right="0" w:hanging="0"/>
              <w:jc w:val="center"/>
              <w:rPr/>
            </w:pPr>
            <w:r>
              <w:rPr/>
              <w:t>​</w:t>
            </w:r>
          </w:p>
        </w:tc>
        <w:tc>
          <w:tcPr>
            <w:tcW w:w="2183"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7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r>
      <w:tr>
        <w:trPr/>
        <w:tc>
          <w:tcPr>
            <w:tcW w:w="44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 Expenses</w:t>
            </w:r>
          </w:p>
        </w:tc>
        <w:tc>
          <w:tcPr>
            <w:tcW w:w="381" w:type="dxa"/>
            <w:tcBorders/>
            <w:shd w:fill="CCEEFF" w:val="clear"/>
            <w:vAlign w:val="center"/>
          </w:tcPr>
          <w:p>
            <w:pPr>
              <w:pStyle w:val="TableContents"/>
              <w:bidi w:val="0"/>
              <w:spacing w:before="0" w:after="0"/>
              <w:ind w:left="0" w:right="0" w:hanging="0"/>
              <w:jc w:val="center"/>
              <w:rPr/>
            </w:pPr>
            <w:r>
              <w:rPr/>
              <w:t>​</w:t>
            </w:r>
          </w:p>
        </w:tc>
        <w:tc>
          <w:tcPr>
            <w:tcW w:w="1227"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803" w:type="dxa"/>
            <w:tcBorders/>
            <w:shd w:fill="CCEEFF" w:val="clear"/>
            <w:vAlign w:val="center"/>
          </w:tcPr>
          <w:p>
            <w:pPr>
              <w:pStyle w:val="TableContents"/>
              <w:bidi w:val="0"/>
              <w:spacing w:before="0" w:after="0"/>
              <w:ind w:left="0" w:right="0" w:hanging="0"/>
              <w:jc w:val="right"/>
              <w:rPr/>
            </w:pPr>
            <w:r>
              <w:rPr/>
              <w:t>​</w:t>
            </w:r>
          </w:p>
        </w:tc>
        <w:tc>
          <w:tcPr>
            <w:tcW w:w="2183"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(2,028)</w:t>
            </w:r>
          </w:p>
        </w:tc>
      </w:tr>
      <w:tr>
        <w:trPr/>
        <w:tc>
          <w:tcPr>
            <w:tcW w:w="44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 and Other Income</w:t>
            </w:r>
          </w:p>
        </w:tc>
        <w:tc>
          <w:tcPr>
            <w:tcW w:w="381" w:type="dxa"/>
            <w:tcBorders/>
            <w:vAlign w:val="center"/>
          </w:tcPr>
          <w:p>
            <w:pPr>
              <w:pStyle w:val="TableContents"/>
              <w:bidi w:val="0"/>
              <w:spacing w:before="0" w:after="0"/>
              <w:ind w:left="0" w:right="0" w:hanging="0"/>
              <w:jc w:val="left"/>
              <w:rPr/>
            </w:pPr>
            <w:r>
              <w:rPr/>
              <w:t>​</w:t>
            </w:r>
          </w:p>
        </w:tc>
        <w:tc>
          <w:tcPr>
            <w:tcW w:w="1227"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803" w:type="dxa"/>
            <w:tcBorders/>
            <w:vAlign w:val="center"/>
          </w:tcPr>
          <w:p>
            <w:pPr>
              <w:pStyle w:val="TableContents"/>
              <w:bidi w:val="0"/>
              <w:spacing w:before="0" w:after="0"/>
              <w:ind w:left="0" w:right="0" w:hanging="0"/>
              <w:jc w:val="right"/>
              <w:rPr/>
            </w:pPr>
            <w:r>
              <w:rPr/>
              <w:t>​</w:t>
            </w:r>
          </w:p>
        </w:tc>
        <w:tc>
          <w:tcPr>
            <w:tcW w:w="2183"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7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364</w:t>
            </w:r>
          </w:p>
        </w:tc>
      </w:tr>
      <w:tr>
        <w:trPr/>
        <w:tc>
          <w:tcPr>
            <w:tcW w:w="44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81" w:type="dxa"/>
            <w:tcBorders/>
            <w:shd w:fill="CCEEFF" w:val="clear"/>
            <w:vAlign w:val="center"/>
          </w:tcPr>
          <w:p>
            <w:pPr>
              <w:pStyle w:val="TableContents"/>
              <w:bidi w:val="0"/>
              <w:spacing w:before="0" w:after="0"/>
              <w:ind w:left="0" w:right="0" w:hanging="0"/>
              <w:jc w:val="left"/>
              <w:rPr/>
            </w:pPr>
            <w:r>
              <w:rPr/>
              <w:t>​</w:t>
            </w:r>
          </w:p>
        </w:tc>
        <w:tc>
          <w:tcPr>
            <w:tcW w:w="1227"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803" w:type="dxa"/>
            <w:tcBorders/>
            <w:shd w:fill="CCEEFF" w:val="clear"/>
            <w:vAlign w:val="center"/>
          </w:tcPr>
          <w:p>
            <w:pPr>
              <w:pStyle w:val="TableContents"/>
              <w:bidi w:val="0"/>
              <w:spacing w:before="0" w:after="0"/>
              <w:ind w:left="0" w:right="0" w:hanging="0"/>
              <w:jc w:val="right"/>
              <w:rPr/>
            </w:pPr>
            <w:r>
              <w:rPr/>
              <w:t>​</w:t>
            </w:r>
          </w:p>
        </w:tc>
        <w:tc>
          <w:tcPr>
            <w:tcW w:w="2183"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3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(4,579)</w:t>
            </w:r>
          </w:p>
        </w:tc>
      </w:tr>
      <w:tr>
        <w:trPr/>
        <w:tc>
          <w:tcPr>
            <w:tcW w:w="44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Consolidated Net Income</w:t>
            </w:r>
          </w:p>
        </w:tc>
        <w:tc>
          <w:tcPr>
            <w:tcW w:w="381" w:type="dxa"/>
            <w:tcBorders/>
            <w:vAlign w:val="center"/>
          </w:tcPr>
          <w:p>
            <w:pPr>
              <w:pStyle w:val="TableContents"/>
              <w:bidi w:val="0"/>
              <w:spacing w:before="0" w:after="0"/>
              <w:ind w:left="0" w:right="0" w:hanging="0"/>
              <w:jc w:val="left"/>
              <w:rPr/>
            </w:pPr>
            <w:r>
              <w:rPr/>
              <w:t>​</w:t>
            </w:r>
          </w:p>
        </w:tc>
        <w:tc>
          <w:tcPr>
            <w:tcW w:w="1227"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803" w:type="dxa"/>
            <w:tcBorders/>
            <w:vAlign w:val="center"/>
          </w:tcPr>
          <w:p>
            <w:pPr>
              <w:pStyle w:val="TableContents"/>
              <w:bidi w:val="0"/>
              <w:spacing w:before="0" w:after="0"/>
              <w:ind w:left="0" w:right="0" w:hanging="0"/>
              <w:jc w:val="right"/>
              <w:rPr/>
            </w:pPr>
            <w:r>
              <w:rPr/>
              <w:t>​</w:t>
            </w:r>
          </w:p>
        </w:tc>
        <w:tc>
          <w:tcPr>
            <w:tcW w:w="2183"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737"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4,492</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bookmarkStart w:id="1611" w:name="Tc_Yv6tseYUjkqCVP42sEhf3A_25_7"/>
      <w:bookmarkStart w:id="1612" w:name="Tc_fCh9nn9V1kSej7jUCcMgCA_25_0"/>
      <w:bookmarkStart w:id="1613" w:name="Tc_0Hf85tDFOUGia0N2ijddKw_24_0"/>
      <w:bookmarkStart w:id="1614" w:name="Tc_1WTy5KcXdUOuxDuhiGAOYA_23_0"/>
      <w:bookmarkStart w:id="1615" w:name="Tc_qvEm-N61mUOAFqqC5nFXlQ_22_0"/>
      <w:bookmarkStart w:id="1616" w:name="Tc_CDjVZwnh3E6gwUWWagnC8A_21_0"/>
      <w:bookmarkStart w:id="1617" w:name="Tc_skxou0cOOE25sfgotWVRdQ_20_0"/>
      <w:bookmarkStart w:id="1618" w:name="Tc_s_hVwZ5WVE2YXo4YlcK37Q_18_0"/>
      <w:bookmarkStart w:id="1619" w:name="Tc_7iHAQdEGu0uGCii382L85w_17_5"/>
      <w:bookmarkStart w:id="1620" w:name="Tc_tnMK146mWEGbY7yTExsY9w_17_0"/>
      <w:bookmarkStart w:id="1621" w:name="Tc_ZjHbWWn-x0SDZTXo6Hya2A_16_0"/>
      <w:bookmarkStart w:id="1622" w:name="Tc_2w2Z7odRTUaFh_57QZji8g_15_5"/>
      <w:bookmarkStart w:id="1623" w:name="Tc_PDoFLLrSmUanPJlE9Xtfcg_15_0"/>
      <w:bookmarkStart w:id="1624" w:name="Tc_MY-943WMw0mH9OIGKTKtoA_14_0"/>
      <w:bookmarkStart w:id="1625" w:name="Tc_crhh08jvfEqNqngS7NxXAg_13_0"/>
      <w:bookmarkStart w:id="1626" w:name="Tc_oK-IqFMv_0O9bxJ0P8wr9g_12_5"/>
      <w:bookmarkStart w:id="1627" w:name="Tc_NGHs_ub4mEC4QH6YV3LYuQ_12_0"/>
      <w:bookmarkStart w:id="1628" w:name="Tc_y00Dy-OPy0S-CFGEZcbVoA_11_0"/>
      <w:bookmarkStart w:id="1629" w:name="Tc_HbkcvUNYW0-T1wwg_fEZdw_9_7"/>
      <w:bookmarkStart w:id="1630" w:name="Tc_Gc5VI4uhCEGjsnqMubP-pw_9_0"/>
      <w:bookmarkStart w:id="1631" w:name="Tc_3stB0YP57UeP6KhGa-PGfg_8_0"/>
      <w:bookmarkStart w:id="1632" w:name="Tc_KTcGKFi700i9xSQq0CASMQ_7_0"/>
      <w:bookmarkStart w:id="1633" w:name="Tc_5iP-tAr4mEODfxFPfzB7IQ_5_0"/>
      <w:bookmarkStart w:id="1634" w:name="Tc_baz2F0VjyUqCytlmLCDn_g_4_2"/>
      <w:bookmarkStart w:id="1635" w:name="Tc_NxjArkARJ0O08HUTGUMFwA_4_0"/>
      <w:bookmarkStart w:id="1636" w:name="Tc_k-FiiTlE_k-beMXxldcUZg_3_7"/>
      <w:bookmarkStart w:id="1637" w:name="Tc_PvDlG3H4mEyu774M4SMYIw_3_5"/>
      <w:bookmarkStart w:id="1638" w:name="Tc_912IqFzSA0ePFr1WJf47lw_3_4"/>
      <w:bookmarkStart w:id="1639" w:name="Tc_rRinDOfxc0KsoD-meXVjCA_3_1"/>
      <w:bookmarkStart w:id="1640" w:name="Tc_RdzRtXP-MEmoWwgEgA6o3Q_3_0"/>
      <w:bookmarkStart w:id="1641" w:name="Tc_AyT8UlcMZEGwn3lOpTJKwA_2_0"/>
      <w:bookmarkStart w:id="1642" w:name="Tc_3y5Gd1uIFkyMpYvSy7zPLw_1_7"/>
      <w:bookmarkStart w:id="1643" w:name="Tc_Y7jZh9Q3FU64VKgEJIeesw_1_4"/>
      <w:bookmarkStart w:id="1644" w:name="Tc_PTvVkRdIR0uILcv5KPzt8g_1_1"/>
      <w:bookmarkStart w:id="1645" w:name="_d720f99d_398f_44aa_9ccb_3c20cec98db7"/>
      <w:bookmarkEnd w:id="1611"/>
      <w:bookmarkEnd w:id="1612"/>
      <w:bookmarkEnd w:id="1613"/>
      <w:bookmarkEnd w:id="1614"/>
      <w:bookmarkEnd w:id="1615"/>
      <w:bookmarkEnd w:id="1616"/>
      <w:bookmarkEnd w:id="1617"/>
      <w:bookmarkEnd w:id="1618"/>
      <w:bookmarkEnd w:id="1619"/>
      <w:bookmarkEnd w:id="1620"/>
      <w:bookmarkEnd w:id="1621"/>
      <w:bookmarkEnd w:id="1622"/>
      <w:bookmarkEnd w:id="1623"/>
      <w:bookmarkEnd w:id="1624"/>
      <w:bookmarkEnd w:id="1625"/>
      <w:bookmarkEnd w:id="1626"/>
      <w:bookmarkEnd w:id="1627"/>
      <w:bookmarkEnd w:id="1628"/>
      <w:bookmarkEnd w:id="1629"/>
      <w:bookmarkEnd w:id="1630"/>
      <w:bookmarkEnd w:id="1631"/>
      <w:bookmarkEnd w:id="1632"/>
      <w:bookmarkEnd w:id="1633"/>
      <w:bookmarkEnd w:id="1634"/>
      <w:bookmarkEnd w:id="1635"/>
      <w:bookmarkEnd w:id="1636"/>
      <w:bookmarkEnd w:id="1637"/>
      <w:bookmarkEnd w:id="1638"/>
      <w:bookmarkEnd w:id="1639"/>
      <w:bookmarkEnd w:id="1640"/>
      <w:bookmarkEnd w:id="1641"/>
      <w:bookmarkEnd w:id="1642"/>
      <w:bookmarkEnd w:id="1643"/>
      <w:bookmarkEnd w:id="1644"/>
      <w:bookmarkEnd w:id="1645"/>
      <w:r>
        <w:rPr>
          <w:rFonts w:ascii="Times New Roman;Times;serif" w:hAnsi="Times New Roman;Times;serif"/>
          <w:sz w:val="20"/>
        </w:rPr>
        <w:t>Information about the Company’s operations in different segments for the three months ended June 30, 2025 is as follows (in thousands):</w:t>
      </w:r>
    </w:p>
    <w:tbl>
      <w:tblPr>
        <w:tblW w:w="10205" w:type="dxa"/>
        <w:jc w:val="left"/>
        <w:tblInd w:w="0" w:type="dxa"/>
        <w:tblLayout w:type="fixed"/>
        <w:tblCellMar>
          <w:top w:w="0" w:type="dxa"/>
          <w:left w:w="0" w:type="dxa"/>
          <w:bottom w:w="0" w:type="dxa"/>
          <w:right w:w="0" w:type="dxa"/>
        </w:tblCellMar>
      </w:tblPr>
      <w:tblGrid>
        <w:gridCol w:w="4724"/>
        <w:gridCol w:w="365"/>
        <w:gridCol w:w="1173"/>
        <w:gridCol w:w="109"/>
        <w:gridCol w:w="747"/>
        <w:gridCol w:w="2031"/>
        <w:gridCol w:w="109"/>
        <w:gridCol w:w="211"/>
        <w:gridCol w:w="736"/>
      </w:tblGrid>
      <w:tr>
        <w:trPr/>
        <w:tc>
          <w:tcPr>
            <w:tcW w:w="4724" w:type="dxa"/>
            <w:tcBorders/>
            <w:vAlign w:val="center"/>
          </w:tcPr>
          <w:p>
            <w:pPr>
              <w:pStyle w:val="TableContents"/>
              <w:bidi w:val="0"/>
              <w:spacing w:before="0" w:after="0"/>
              <w:ind w:left="0" w:right="0" w:hanging="0"/>
              <w:jc w:val="left"/>
              <w:rPr/>
            </w:pPr>
            <w:r>
              <w:rPr/>
              <w:t>​</w:t>
            </w:r>
          </w:p>
        </w:tc>
        <w:tc>
          <w:tcPr>
            <w:tcW w:w="3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231775" cy="175260"/>
                      <wp:effectExtent l="0" t="0" r="0" b="0"/>
                      <wp:wrapNone/>
                      <wp:docPr id="359" name="Frame359"/>
                      <a:graphic xmlns:a="http://schemas.openxmlformats.org/drawingml/2006/main">
                        <a:graphicData uri="http://schemas.microsoft.com/office/word/2010/wordprocessingShape">
                          <wps:wsp>
                            <wps:cNvSpPr txBox="1"/>
                            <wps:spPr>
                              <a:xfrm>
                                <a:off x="0" y="0"/>
                                <a:ext cx="2317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744855" cy="175260"/>
                      <wp:effectExtent l="0" t="0" r="0" b="0"/>
                      <wp:wrapNone/>
                      <wp:docPr id="360" name="Frame360"/>
                      <a:graphic xmlns:a="http://schemas.openxmlformats.org/drawingml/2006/main">
                        <a:graphicData uri="http://schemas.microsoft.com/office/word/2010/wordprocessingShape">
                          <wps:wsp>
                            <wps:cNvSpPr txBox="1"/>
                            <wps:spPr>
                              <a:xfrm>
                                <a:off x="0" y="0"/>
                                <a:ext cx="7448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69215" cy="175260"/>
                      <wp:effectExtent l="0" t="0" r="0" b="0"/>
                      <wp:wrapNone/>
                      <wp:docPr id="361" name="Frame36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474345" cy="175260"/>
                      <wp:effectExtent l="0" t="0" r="0" b="0"/>
                      <wp:wrapNone/>
                      <wp:docPr id="362" name="Frame362"/>
                      <a:graphic xmlns:a="http://schemas.openxmlformats.org/drawingml/2006/main">
                        <a:graphicData uri="http://schemas.microsoft.com/office/word/2010/wordprocessingShape">
                          <wps:wsp>
                            <wps:cNvSpPr txBox="1"/>
                            <wps:spPr>
                              <a:xfrm>
                                <a:off x="0" y="0"/>
                                <a:ext cx="4743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1289685" cy="175260"/>
                      <wp:effectExtent l="0" t="0" r="0" b="0"/>
                      <wp:wrapNone/>
                      <wp:docPr id="363" name="Frame363"/>
                      <a:graphic xmlns:a="http://schemas.openxmlformats.org/drawingml/2006/main">
                        <a:graphicData uri="http://schemas.microsoft.com/office/word/2010/wordprocessingShape">
                          <wps:wsp>
                            <wps:cNvSpPr txBox="1"/>
                            <wps:spPr>
                              <a:xfrm>
                                <a:off x="0" y="0"/>
                                <a:ext cx="1289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69215" cy="175260"/>
                      <wp:effectExtent l="0" t="0" r="0" b="0"/>
                      <wp:wrapNone/>
                      <wp:docPr id="364" name="Frame36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133985" cy="175260"/>
                      <wp:effectExtent l="0" t="0" r="0" b="0"/>
                      <wp:wrapNone/>
                      <wp:docPr id="365" name="Frame36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467360" cy="175260"/>
                      <wp:effectExtent l="0" t="0" r="0" b="0"/>
                      <wp:wrapNone/>
                      <wp:docPr id="366" name="Frame366"/>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724" w:type="dxa"/>
            <w:tcBorders/>
            <w:vAlign w:val="center"/>
          </w:tcPr>
          <w:p>
            <w:pPr>
              <w:pStyle w:val="TableContents"/>
              <w:bidi w:val="0"/>
              <w:spacing w:before="0" w:after="0"/>
              <w:ind w:left="0" w:right="0" w:hanging="0"/>
              <w:jc w:val="left"/>
              <w:rPr/>
            </w:pPr>
            <w:r>
              <w:rPr/>
              <w:t>​</w:t>
            </w:r>
          </w:p>
        </w:tc>
        <w:tc>
          <w:tcPr>
            <w:tcW w:w="153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Income Properties</w:t>
            </w:r>
          </w:p>
        </w:tc>
        <w:tc>
          <w:tcPr>
            <w:tcW w:w="109" w:type="dxa"/>
            <w:tcBorders/>
            <w:vAlign w:val="center"/>
          </w:tcPr>
          <w:p>
            <w:pPr>
              <w:pStyle w:val="TableContents"/>
              <w:bidi w:val="0"/>
              <w:spacing w:before="0" w:after="0"/>
              <w:ind w:left="0" w:right="0" w:hanging="0"/>
              <w:jc w:val="center"/>
              <w:rPr/>
            </w:pPr>
            <w:r>
              <w:rPr/>
              <w:t>​</w:t>
            </w:r>
          </w:p>
        </w:tc>
        <w:tc>
          <w:tcPr>
            <w:tcW w:w="277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Commercial Loans and Investments</w:t>
            </w:r>
          </w:p>
        </w:tc>
        <w:tc>
          <w:tcPr>
            <w:tcW w:w="109" w:type="dxa"/>
            <w:tcBorders/>
            <w:vAlign w:val="center"/>
          </w:tcPr>
          <w:p>
            <w:pPr>
              <w:pStyle w:val="TableContents"/>
              <w:bidi w:val="0"/>
              <w:spacing w:before="0" w:after="0"/>
              <w:ind w:left="0" w:right="0" w:hanging="0"/>
              <w:jc w:val="center"/>
              <w:rPr/>
            </w:pPr>
            <w:r>
              <w:rPr/>
              <w:t>​</w:t>
            </w:r>
          </w:p>
        </w:tc>
        <w:tc>
          <w:tcPr>
            <w:tcW w:w="9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Total</w:t>
            </w:r>
          </w:p>
        </w:tc>
      </w:tr>
      <w:tr>
        <w:trPr/>
        <w:tc>
          <w:tcPr>
            <w:tcW w:w="47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Revenues:</w:t>
            </w:r>
          </w:p>
        </w:tc>
        <w:tc>
          <w:tcPr>
            <w:tcW w:w="365" w:type="dxa"/>
            <w:tcBorders/>
            <w:shd w:fill="CCEEFF" w:val="clear"/>
            <w:vAlign w:val="center"/>
          </w:tcPr>
          <w:p>
            <w:pPr>
              <w:pStyle w:val="TableContents"/>
              <w:bidi w:val="0"/>
              <w:spacing w:before="0" w:after="0"/>
              <w:ind w:left="0" w:right="0" w:hanging="0"/>
              <w:jc w:val="center"/>
              <w:rPr/>
            </w:pPr>
            <w:r>
              <w:rPr/>
              <w:t>​</w:t>
            </w:r>
          </w:p>
        </w:tc>
        <w:tc>
          <w:tcPr>
            <w:tcW w:w="1173"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747" w:type="dxa"/>
            <w:tcBorders/>
            <w:shd w:fill="CCEEFF" w:val="clear"/>
            <w:vAlign w:val="center"/>
          </w:tcPr>
          <w:p>
            <w:pPr>
              <w:pStyle w:val="TableContents"/>
              <w:bidi w:val="0"/>
              <w:spacing w:before="0" w:after="0"/>
              <w:ind w:left="0" w:right="0" w:hanging="0"/>
              <w:jc w:val="center"/>
              <w:rPr/>
            </w:pPr>
            <w:r>
              <w:rPr/>
              <w:t>​</w:t>
            </w:r>
          </w:p>
        </w:tc>
        <w:tc>
          <w:tcPr>
            <w:tcW w:w="2031"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736" w:type="dxa"/>
            <w:tcBorders/>
            <w:shd w:fill="CCEEFF" w:val="clear"/>
            <w:vAlign w:val="center"/>
          </w:tcPr>
          <w:p>
            <w:pPr>
              <w:pStyle w:val="TableContents"/>
              <w:bidi w:val="0"/>
              <w:spacing w:before="0" w:after="0"/>
              <w:ind w:left="0" w:right="0" w:hanging="0"/>
              <w:jc w:val="center"/>
              <w:rPr/>
            </w:pPr>
            <w:r>
              <w:rPr/>
              <w:t>​</w:t>
            </w:r>
          </w:p>
        </w:tc>
      </w:tr>
      <w:tr>
        <w:trPr/>
        <w:tc>
          <w:tcPr>
            <w:tcW w:w="47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 Income</w:t>
            </w:r>
          </w:p>
        </w:tc>
        <w:tc>
          <w:tcPr>
            <w:tcW w:w="36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117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12,022</w:t>
            </w:r>
          </w:p>
        </w:tc>
        <w:tc>
          <w:tcPr>
            <w:tcW w:w="109" w:type="dxa"/>
            <w:tcBorders/>
            <w:vAlign w:val="center"/>
          </w:tcPr>
          <w:p>
            <w:pPr>
              <w:pStyle w:val="TableContents"/>
              <w:bidi w:val="0"/>
              <w:spacing w:before="0" w:after="0"/>
              <w:ind w:left="0" w:right="0" w:hanging="0"/>
              <w:jc w:val="right"/>
              <w:rPr/>
            </w:pPr>
            <w:r>
              <w:rPr/>
              <w:t>​</w:t>
            </w:r>
          </w:p>
        </w:tc>
        <w:tc>
          <w:tcPr>
            <w:tcW w:w="74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203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12,022</w:t>
            </w:r>
          </w:p>
        </w:tc>
      </w:tr>
      <w:tr>
        <w:trPr/>
        <w:tc>
          <w:tcPr>
            <w:tcW w:w="47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 from Commercial Loans and Investments</w:t>
            </w:r>
          </w:p>
        </w:tc>
        <w:tc>
          <w:tcPr>
            <w:tcW w:w="36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17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74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0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2,737</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2,737</w:t>
            </w:r>
          </w:p>
        </w:tc>
      </w:tr>
      <w:tr>
        <w:trPr/>
        <w:tc>
          <w:tcPr>
            <w:tcW w:w="47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Revenues for Reportable Segments</w:t>
            </w:r>
          </w:p>
        </w:tc>
        <w:tc>
          <w:tcPr>
            <w:tcW w:w="365" w:type="dxa"/>
            <w:tcBorders/>
            <w:vAlign w:val="center"/>
          </w:tcPr>
          <w:p>
            <w:pPr>
              <w:pStyle w:val="TableContents"/>
              <w:bidi w:val="0"/>
              <w:spacing w:before="0" w:after="0"/>
              <w:ind w:left="0" w:right="0" w:hanging="0"/>
              <w:jc w:val="right"/>
              <w:rPr/>
            </w:pPr>
            <w:r>
              <w:rPr/>
              <w:t>​</w:t>
            </w:r>
          </w:p>
        </w:tc>
        <w:tc>
          <w:tcPr>
            <w:tcW w:w="117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12,022</w:t>
            </w:r>
          </w:p>
        </w:tc>
        <w:tc>
          <w:tcPr>
            <w:tcW w:w="109" w:type="dxa"/>
            <w:tcBorders/>
            <w:vAlign w:val="center"/>
          </w:tcPr>
          <w:p>
            <w:pPr>
              <w:pStyle w:val="TableContents"/>
              <w:bidi w:val="0"/>
              <w:spacing w:before="0" w:after="0"/>
              <w:ind w:left="0" w:right="0" w:hanging="0"/>
              <w:jc w:val="right"/>
              <w:rPr/>
            </w:pPr>
            <w:r>
              <w:rPr/>
              <w:t>​</w:t>
            </w:r>
          </w:p>
        </w:tc>
        <w:tc>
          <w:tcPr>
            <w:tcW w:w="747" w:type="dxa"/>
            <w:tcBorders/>
            <w:vAlign w:val="center"/>
          </w:tcPr>
          <w:p>
            <w:pPr>
              <w:pStyle w:val="TableContents"/>
              <w:bidi w:val="0"/>
              <w:spacing w:before="0" w:after="0"/>
              <w:ind w:left="0" w:right="0" w:hanging="0"/>
              <w:jc w:val="right"/>
              <w:rPr/>
            </w:pPr>
            <w:r>
              <w:rPr/>
              <w:t>​</w:t>
            </w:r>
          </w:p>
        </w:tc>
        <w:tc>
          <w:tcPr>
            <w:tcW w:w="20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2,737</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14,759</w:t>
            </w:r>
          </w:p>
        </w:tc>
      </w:tr>
      <w:tr>
        <w:trPr/>
        <w:tc>
          <w:tcPr>
            <w:tcW w:w="4724" w:type="dxa"/>
            <w:tcBorders/>
            <w:shd w:fill="CCEEFF" w:val="clear"/>
            <w:vAlign w:val="center"/>
          </w:tcPr>
          <w:p>
            <w:pPr>
              <w:pStyle w:val="TableContents"/>
              <w:bidi w:val="0"/>
              <w:spacing w:before="0" w:after="0"/>
              <w:ind w:left="0" w:right="0" w:hanging="0"/>
              <w:jc w:val="left"/>
              <w:rPr/>
            </w:pPr>
            <w:r>
              <w:rPr/>
              <w:t>​</w:t>
            </w:r>
          </w:p>
        </w:tc>
        <w:tc>
          <w:tcPr>
            <w:tcW w:w="365" w:type="dxa"/>
            <w:tcBorders/>
            <w:shd w:fill="CCEEFF" w:val="clear"/>
            <w:vAlign w:val="center"/>
          </w:tcPr>
          <w:p>
            <w:pPr>
              <w:pStyle w:val="TableContents"/>
              <w:bidi w:val="0"/>
              <w:spacing w:before="0" w:after="0"/>
              <w:ind w:left="0" w:right="0" w:hanging="0"/>
              <w:jc w:val="right"/>
              <w:rPr/>
            </w:pPr>
            <w:r>
              <w:rPr/>
              <w:t>​</w:t>
            </w:r>
          </w:p>
        </w:tc>
        <w:tc>
          <w:tcPr>
            <w:tcW w:w="1173"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747" w:type="dxa"/>
            <w:tcBorders/>
            <w:shd w:fill="CCEEFF" w:val="clear"/>
            <w:vAlign w:val="center"/>
          </w:tcPr>
          <w:p>
            <w:pPr>
              <w:pStyle w:val="TableContents"/>
              <w:bidi w:val="0"/>
              <w:spacing w:before="0" w:after="0"/>
              <w:ind w:left="0" w:right="0" w:hanging="0"/>
              <w:jc w:val="right"/>
              <w:rPr/>
            </w:pPr>
            <w:r>
              <w:rPr/>
              <w:t>​</w:t>
            </w:r>
          </w:p>
        </w:tc>
        <w:tc>
          <w:tcPr>
            <w:tcW w:w="203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36" w:type="dxa"/>
            <w:tcBorders/>
            <w:shd w:fill="CCEEFF" w:val="clear"/>
            <w:vAlign w:val="center"/>
          </w:tcPr>
          <w:p>
            <w:pPr>
              <w:pStyle w:val="TableContents"/>
              <w:bidi w:val="0"/>
              <w:spacing w:before="0" w:after="0"/>
              <w:ind w:left="0" w:right="0" w:hanging="0"/>
              <w:jc w:val="right"/>
              <w:rPr/>
            </w:pPr>
            <w:r>
              <w:rPr/>
              <w:t>​</w:t>
            </w:r>
          </w:p>
        </w:tc>
      </w:tr>
      <w:tr>
        <w:trPr/>
        <w:tc>
          <w:tcPr>
            <w:tcW w:w="4724"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Reconciliation to Consolidated Revenues</w:t>
            </w:r>
          </w:p>
        </w:tc>
        <w:tc>
          <w:tcPr>
            <w:tcW w:w="365" w:type="dxa"/>
            <w:tcBorders/>
            <w:vAlign w:val="center"/>
          </w:tcPr>
          <w:p>
            <w:pPr>
              <w:pStyle w:val="TableContents"/>
              <w:bidi w:val="0"/>
              <w:spacing w:before="0" w:after="0"/>
              <w:ind w:left="0" w:right="0" w:hanging="0"/>
              <w:jc w:val="right"/>
              <w:rPr/>
            </w:pPr>
            <w:r>
              <w:rPr/>
              <w:t>​</w:t>
            </w:r>
          </w:p>
        </w:tc>
        <w:tc>
          <w:tcPr>
            <w:tcW w:w="1173"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747" w:type="dxa"/>
            <w:tcBorders/>
            <w:vAlign w:val="center"/>
          </w:tcPr>
          <w:p>
            <w:pPr>
              <w:pStyle w:val="TableContents"/>
              <w:bidi w:val="0"/>
              <w:spacing w:before="0" w:after="0"/>
              <w:ind w:left="0" w:right="0" w:hanging="0"/>
              <w:jc w:val="right"/>
              <w:rPr/>
            </w:pPr>
            <w:r>
              <w:rPr/>
              <w:t>​</w:t>
            </w:r>
          </w:p>
        </w:tc>
        <w:tc>
          <w:tcPr>
            <w:tcW w:w="203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736" w:type="dxa"/>
            <w:tcBorders/>
            <w:vAlign w:val="center"/>
          </w:tcPr>
          <w:p>
            <w:pPr>
              <w:pStyle w:val="TableContents"/>
              <w:bidi w:val="0"/>
              <w:spacing w:before="0" w:after="0"/>
              <w:ind w:left="0" w:right="0" w:hanging="0"/>
              <w:jc w:val="right"/>
              <w:rPr/>
            </w:pPr>
            <w:r>
              <w:rPr/>
              <w:t>​</w:t>
            </w:r>
          </w:p>
        </w:tc>
      </w:tr>
      <w:tr>
        <w:trPr/>
        <w:tc>
          <w:tcPr>
            <w:tcW w:w="47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Revenues</w:t>
            </w:r>
          </w:p>
        </w:tc>
        <w:tc>
          <w:tcPr>
            <w:tcW w:w="365" w:type="dxa"/>
            <w:tcBorders/>
            <w:shd w:fill="CCEEFF" w:val="clear"/>
            <w:vAlign w:val="center"/>
          </w:tcPr>
          <w:p>
            <w:pPr>
              <w:pStyle w:val="TableContents"/>
              <w:bidi w:val="0"/>
              <w:spacing w:before="0" w:after="0"/>
              <w:ind w:left="0" w:right="0" w:hanging="0"/>
              <w:jc w:val="right"/>
              <w:rPr/>
            </w:pPr>
            <w:r>
              <w:rPr/>
              <w:t>​</w:t>
            </w:r>
          </w:p>
        </w:tc>
        <w:tc>
          <w:tcPr>
            <w:tcW w:w="1173"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747" w:type="dxa"/>
            <w:tcBorders/>
            <w:shd w:fill="CCEEFF" w:val="clear"/>
            <w:vAlign w:val="center"/>
          </w:tcPr>
          <w:p>
            <w:pPr>
              <w:pStyle w:val="TableContents"/>
              <w:bidi w:val="0"/>
              <w:spacing w:before="0" w:after="0"/>
              <w:ind w:left="0" w:right="0" w:hanging="0"/>
              <w:jc w:val="right"/>
              <w:rPr/>
            </w:pPr>
            <w:r>
              <w:rPr/>
              <w:t>​</w:t>
            </w:r>
          </w:p>
        </w:tc>
        <w:tc>
          <w:tcPr>
            <w:tcW w:w="203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w:t>
            </w:r>
          </w:p>
        </w:tc>
      </w:tr>
      <w:tr>
        <w:trPr/>
        <w:tc>
          <w:tcPr>
            <w:tcW w:w="47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Consolidated Revenues</w:t>
            </w:r>
          </w:p>
        </w:tc>
        <w:tc>
          <w:tcPr>
            <w:tcW w:w="365" w:type="dxa"/>
            <w:tcBorders/>
            <w:vAlign w:val="center"/>
          </w:tcPr>
          <w:p>
            <w:pPr>
              <w:pStyle w:val="TableContents"/>
              <w:bidi w:val="0"/>
              <w:spacing w:before="0" w:after="0"/>
              <w:ind w:left="0" w:right="0" w:hanging="0"/>
              <w:jc w:val="right"/>
              <w:rPr/>
            </w:pPr>
            <w:r>
              <w:rPr/>
              <w:t>​</w:t>
            </w:r>
          </w:p>
        </w:tc>
        <w:tc>
          <w:tcPr>
            <w:tcW w:w="1173"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747" w:type="dxa"/>
            <w:tcBorders/>
            <w:vAlign w:val="center"/>
          </w:tcPr>
          <w:p>
            <w:pPr>
              <w:pStyle w:val="TableContents"/>
              <w:bidi w:val="0"/>
              <w:spacing w:before="0" w:after="0"/>
              <w:ind w:left="0" w:right="0" w:hanging="0"/>
              <w:jc w:val="right"/>
              <w:rPr/>
            </w:pPr>
            <w:r>
              <w:rPr/>
              <w:t>​</w:t>
            </w:r>
          </w:p>
        </w:tc>
        <w:tc>
          <w:tcPr>
            <w:tcW w:w="203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7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14,863</w:t>
            </w:r>
          </w:p>
        </w:tc>
      </w:tr>
      <w:tr>
        <w:trPr/>
        <w:tc>
          <w:tcPr>
            <w:tcW w:w="4724" w:type="dxa"/>
            <w:tcBorders/>
            <w:shd w:fill="CCEEFF" w:val="clear"/>
            <w:vAlign w:val="center"/>
          </w:tcPr>
          <w:p>
            <w:pPr>
              <w:pStyle w:val="TableContents"/>
              <w:bidi w:val="0"/>
              <w:spacing w:before="0" w:after="0"/>
              <w:ind w:left="0" w:right="0" w:hanging="0"/>
              <w:jc w:val="left"/>
              <w:rPr/>
            </w:pPr>
            <w:r>
              <w:rPr/>
              <w:t>​</w:t>
            </w:r>
          </w:p>
        </w:tc>
        <w:tc>
          <w:tcPr>
            <w:tcW w:w="365" w:type="dxa"/>
            <w:tcBorders/>
            <w:shd w:fill="CCEEFF" w:val="clear"/>
            <w:vAlign w:val="center"/>
          </w:tcPr>
          <w:p>
            <w:pPr>
              <w:pStyle w:val="TableContents"/>
              <w:bidi w:val="0"/>
              <w:spacing w:before="0" w:after="0"/>
              <w:ind w:left="0" w:right="0" w:hanging="0"/>
              <w:jc w:val="right"/>
              <w:rPr/>
            </w:pPr>
            <w:r>
              <w:rPr/>
              <w:t>​</w:t>
            </w:r>
          </w:p>
        </w:tc>
        <w:tc>
          <w:tcPr>
            <w:tcW w:w="1173"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747" w:type="dxa"/>
            <w:tcBorders/>
            <w:shd w:fill="CCEEFF" w:val="clear"/>
            <w:vAlign w:val="center"/>
          </w:tcPr>
          <w:p>
            <w:pPr>
              <w:pStyle w:val="TableContents"/>
              <w:bidi w:val="0"/>
              <w:spacing w:before="0" w:after="0"/>
              <w:ind w:left="0" w:right="0" w:hanging="0"/>
              <w:jc w:val="right"/>
              <w:rPr/>
            </w:pPr>
            <w:r>
              <w:rPr/>
              <w:t>​</w:t>
            </w:r>
          </w:p>
        </w:tc>
        <w:tc>
          <w:tcPr>
            <w:tcW w:w="203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36" w:type="dxa"/>
            <w:tcBorders/>
            <w:shd w:fill="CCEEFF" w:val="clear"/>
            <w:vAlign w:val="center"/>
          </w:tcPr>
          <w:p>
            <w:pPr>
              <w:pStyle w:val="TableContents"/>
              <w:bidi w:val="0"/>
              <w:spacing w:before="0" w:after="0"/>
              <w:ind w:left="0" w:right="0" w:hanging="0"/>
              <w:jc w:val="right"/>
              <w:rPr/>
            </w:pPr>
            <w:r>
              <w:rPr/>
              <w:t>​</w:t>
            </w:r>
          </w:p>
        </w:tc>
      </w:tr>
      <w:tr>
        <w:trPr/>
        <w:tc>
          <w:tcPr>
            <w:tcW w:w="47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365" w:type="dxa"/>
            <w:tcBorders/>
            <w:vAlign w:val="center"/>
          </w:tcPr>
          <w:p>
            <w:pPr>
              <w:pStyle w:val="TableContents"/>
              <w:bidi w:val="0"/>
              <w:spacing w:before="0" w:after="0"/>
              <w:ind w:left="0" w:right="0" w:hanging="0"/>
              <w:jc w:val="center"/>
              <w:rPr/>
            </w:pPr>
            <w:r>
              <w:rPr/>
              <w:t>​</w:t>
            </w:r>
          </w:p>
        </w:tc>
        <w:tc>
          <w:tcPr>
            <w:tcW w:w="1173"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747" w:type="dxa"/>
            <w:tcBorders/>
            <w:vAlign w:val="center"/>
          </w:tcPr>
          <w:p>
            <w:pPr>
              <w:pStyle w:val="TableContents"/>
              <w:bidi w:val="0"/>
              <w:spacing w:before="0" w:after="0"/>
              <w:ind w:left="0" w:right="0" w:hanging="0"/>
              <w:jc w:val="center"/>
              <w:rPr/>
            </w:pPr>
            <w:r>
              <w:rPr/>
              <w:t>​</w:t>
            </w:r>
          </w:p>
        </w:tc>
        <w:tc>
          <w:tcPr>
            <w:tcW w:w="203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736" w:type="dxa"/>
            <w:tcBorders/>
            <w:vAlign w:val="center"/>
          </w:tcPr>
          <w:p>
            <w:pPr>
              <w:pStyle w:val="TableContents"/>
              <w:bidi w:val="0"/>
              <w:spacing w:before="0" w:after="0"/>
              <w:ind w:left="0" w:right="0" w:hanging="0"/>
              <w:jc w:val="right"/>
              <w:rPr/>
            </w:pPr>
            <w:r>
              <w:rPr/>
              <w:t>​</w:t>
            </w:r>
          </w:p>
        </w:tc>
      </w:tr>
      <w:tr>
        <w:trPr/>
        <w:tc>
          <w:tcPr>
            <w:tcW w:w="47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Real Estate Expenses</w:t>
            </w:r>
          </w:p>
        </w:tc>
        <w:tc>
          <w:tcPr>
            <w:tcW w:w="365"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117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2,105</w:t>
            </w:r>
          </w:p>
        </w:tc>
        <w:tc>
          <w:tcPr>
            <w:tcW w:w="109" w:type="dxa"/>
            <w:tcBorders/>
            <w:shd w:fill="CCEEFF" w:val="clear"/>
            <w:vAlign w:val="center"/>
          </w:tcPr>
          <w:p>
            <w:pPr>
              <w:pStyle w:val="TableContents"/>
              <w:bidi w:val="0"/>
              <w:spacing w:before="0" w:after="0"/>
              <w:ind w:left="0" w:right="0" w:hanging="0"/>
              <w:jc w:val="left"/>
              <w:rPr/>
            </w:pPr>
            <w:r>
              <w:rPr/>
              <w:t>​</w:t>
            </w:r>
          </w:p>
        </w:tc>
        <w:tc>
          <w:tcPr>
            <w:tcW w:w="747"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20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2,105</w:t>
            </w:r>
          </w:p>
        </w:tc>
      </w:tr>
      <w:tr>
        <w:trPr/>
        <w:tc>
          <w:tcPr>
            <w:tcW w:w="47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Revenues Less Direct Costs of Revenues</w:t>
            </w:r>
          </w:p>
        </w:tc>
        <w:tc>
          <w:tcPr>
            <w:tcW w:w="365" w:type="dxa"/>
            <w:tcBorders/>
            <w:vAlign w:val="center"/>
          </w:tcPr>
          <w:p>
            <w:pPr>
              <w:pStyle w:val="TableContents"/>
              <w:bidi w:val="0"/>
              <w:spacing w:before="0" w:after="0"/>
              <w:ind w:left="0" w:right="0" w:hanging="0"/>
              <w:jc w:val="center"/>
              <w:rPr/>
            </w:pPr>
            <w:r>
              <w:rPr/>
              <w:t>​</w:t>
            </w:r>
          </w:p>
        </w:tc>
        <w:tc>
          <w:tcPr>
            <w:tcW w:w="117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9,917</w:t>
            </w:r>
          </w:p>
        </w:tc>
        <w:tc>
          <w:tcPr>
            <w:tcW w:w="109" w:type="dxa"/>
            <w:tcBorders/>
            <w:vAlign w:val="center"/>
          </w:tcPr>
          <w:p>
            <w:pPr>
              <w:pStyle w:val="TableContents"/>
              <w:bidi w:val="0"/>
              <w:spacing w:before="0" w:after="0"/>
              <w:ind w:left="0" w:right="0" w:hanging="0"/>
              <w:jc w:val="left"/>
              <w:rPr/>
            </w:pPr>
            <w:r>
              <w:rPr/>
              <w:t>​</w:t>
            </w:r>
          </w:p>
        </w:tc>
        <w:tc>
          <w:tcPr>
            <w:tcW w:w="747" w:type="dxa"/>
            <w:tcBorders/>
            <w:vAlign w:val="center"/>
          </w:tcPr>
          <w:p>
            <w:pPr>
              <w:pStyle w:val="TableContents"/>
              <w:bidi w:val="0"/>
              <w:spacing w:before="0" w:after="0"/>
              <w:ind w:left="0" w:right="0" w:hanging="0"/>
              <w:jc w:val="center"/>
              <w:rPr/>
            </w:pPr>
            <w:r>
              <w:rPr/>
              <w:t>​</w:t>
            </w:r>
          </w:p>
        </w:tc>
        <w:tc>
          <w:tcPr>
            <w:tcW w:w="20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2,737</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12,654</w:t>
            </w:r>
          </w:p>
        </w:tc>
      </w:tr>
      <w:tr>
        <w:trPr/>
        <w:tc>
          <w:tcPr>
            <w:tcW w:w="47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 for Impairment</w:t>
            </w:r>
          </w:p>
        </w:tc>
        <w:tc>
          <w:tcPr>
            <w:tcW w:w="365" w:type="dxa"/>
            <w:tcBorders/>
            <w:shd w:fill="CCEEFF" w:val="clear"/>
            <w:vAlign w:val="center"/>
          </w:tcPr>
          <w:p>
            <w:pPr>
              <w:pStyle w:val="TableContents"/>
              <w:bidi w:val="0"/>
              <w:spacing w:before="0" w:after="0"/>
              <w:ind w:left="0" w:right="0" w:hanging="0"/>
              <w:jc w:val="center"/>
              <w:rPr/>
            </w:pPr>
            <w:r>
              <w:rPr/>
              <w:t>​</w:t>
            </w:r>
          </w:p>
        </w:tc>
        <w:tc>
          <w:tcPr>
            <w:tcW w:w="117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2,816</w:t>
            </w:r>
          </w:p>
        </w:tc>
        <w:tc>
          <w:tcPr>
            <w:tcW w:w="109" w:type="dxa"/>
            <w:tcBorders/>
            <w:shd w:fill="CCEEFF" w:val="clear"/>
            <w:vAlign w:val="center"/>
          </w:tcPr>
          <w:p>
            <w:pPr>
              <w:pStyle w:val="TableContents"/>
              <w:bidi w:val="0"/>
              <w:spacing w:before="0" w:after="0"/>
              <w:ind w:left="0" w:right="0" w:hanging="0"/>
              <w:jc w:val="left"/>
              <w:rPr/>
            </w:pPr>
            <w:r>
              <w:rPr/>
              <w:t>​</w:t>
            </w:r>
          </w:p>
        </w:tc>
        <w:tc>
          <w:tcPr>
            <w:tcW w:w="747" w:type="dxa"/>
            <w:tcBorders/>
            <w:shd w:fill="CCEEFF" w:val="clear"/>
            <w:vAlign w:val="center"/>
          </w:tcPr>
          <w:p>
            <w:pPr>
              <w:pStyle w:val="TableContents"/>
              <w:bidi w:val="0"/>
              <w:spacing w:before="0" w:after="0"/>
              <w:ind w:left="0" w:right="0" w:hanging="0"/>
              <w:jc w:val="center"/>
              <w:rPr/>
            </w:pPr>
            <w:r>
              <w:rPr/>
              <w:t>​</w:t>
            </w:r>
          </w:p>
        </w:tc>
        <w:tc>
          <w:tcPr>
            <w:tcW w:w="20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2,803</w:t>
            </w:r>
          </w:p>
        </w:tc>
      </w:tr>
      <w:tr>
        <w:trPr/>
        <w:tc>
          <w:tcPr>
            <w:tcW w:w="47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65"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17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6,705</w:t>
            </w:r>
          </w:p>
        </w:tc>
        <w:tc>
          <w:tcPr>
            <w:tcW w:w="109" w:type="dxa"/>
            <w:tcBorders/>
            <w:vAlign w:val="center"/>
          </w:tcPr>
          <w:p>
            <w:pPr>
              <w:pStyle w:val="TableContents"/>
              <w:bidi w:val="0"/>
              <w:spacing w:before="0" w:after="0"/>
              <w:ind w:left="0" w:right="0" w:hanging="0"/>
              <w:jc w:val="left"/>
              <w:rPr/>
            </w:pPr>
            <w:r>
              <w:rPr/>
              <w:t>​</w:t>
            </w:r>
          </w:p>
        </w:tc>
        <w:tc>
          <w:tcPr>
            <w:tcW w:w="747"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203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6,705</w:t>
            </w:r>
          </w:p>
        </w:tc>
      </w:tr>
      <w:tr>
        <w:trPr/>
        <w:tc>
          <w:tcPr>
            <w:tcW w:w="47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Revenues Less Operating Expenses for Reportable Segments</w:t>
            </w:r>
          </w:p>
        </w:tc>
        <w:tc>
          <w:tcPr>
            <w:tcW w:w="365" w:type="dxa"/>
            <w:tcBorders/>
            <w:shd w:fill="CCEEFF" w:val="clear"/>
            <w:vAlign w:val="center"/>
          </w:tcPr>
          <w:p>
            <w:pPr>
              <w:pStyle w:val="TableContents"/>
              <w:bidi w:val="0"/>
              <w:spacing w:before="0" w:after="0"/>
              <w:ind w:left="0" w:right="0" w:hanging="0"/>
              <w:jc w:val="center"/>
              <w:rPr/>
            </w:pPr>
            <w:r>
              <w:rPr/>
              <w:t>​</w:t>
            </w:r>
          </w:p>
        </w:tc>
        <w:tc>
          <w:tcPr>
            <w:tcW w:w="117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396</w:t>
            </w:r>
          </w:p>
        </w:tc>
        <w:tc>
          <w:tcPr>
            <w:tcW w:w="109" w:type="dxa"/>
            <w:tcBorders/>
            <w:shd w:fill="CCEEFF" w:val="clear"/>
            <w:vAlign w:val="center"/>
          </w:tcPr>
          <w:p>
            <w:pPr>
              <w:pStyle w:val="TableContents"/>
              <w:bidi w:val="0"/>
              <w:spacing w:before="0" w:after="0"/>
              <w:ind w:left="0" w:right="0" w:hanging="0"/>
              <w:jc w:val="left"/>
              <w:rPr/>
            </w:pPr>
            <w:r>
              <w:rPr/>
              <w:t>​</w:t>
            </w:r>
          </w:p>
        </w:tc>
        <w:tc>
          <w:tcPr>
            <w:tcW w:w="747" w:type="dxa"/>
            <w:tcBorders/>
            <w:shd w:fill="CCEEFF" w:val="clear"/>
            <w:vAlign w:val="center"/>
          </w:tcPr>
          <w:p>
            <w:pPr>
              <w:pStyle w:val="TableContents"/>
              <w:bidi w:val="0"/>
              <w:spacing w:before="0" w:after="0"/>
              <w:ind w:left="0" w:right="0" w:hanging="0"/>
              <w:jc w:val="center"/>
              <w:rPr/>
            </w:pPr>
            <w:r>
              <w:rPr/>
              <w:t>​</w:t>
            </w:r>
          </w:p>
        </w:tc>
        <w:tc>
          <w:tcPr>
            <w:tcW w:w="20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2,750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3,146</w:t>
            </w:r>
          </w:p>
        </w:tc>
      </w:tr>
      <w:tr>
        <w:trPr/>
        <w:tc>
          <w:tcPr>
            <w:tcW w:w="47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Gain on Disposition of Assets</w:t>
            </w:r>
          </w:p>
        </w:tc>
        <w:tc>
          <w:tcPr>
            <w:tcW w:w="365"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17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938</w:t>
            </w:r>
          </w:p>
        </w:tc>
        <w:tc>
          <w:tcPr>
            <w:tcW w:w="109" w:type="dxa"/>
            <w:tcBorders/>
            <w:vAlign w:val="center"/>
          </w:tcPr>
          <w:p>
            <w:pPr>
              <w:pStyle w:val="TableContents"/>
              <w:bidi w:val="0"/>
              <w:spacing w:before="0" w:after="0"/>
              <w:ind w:left="0" w:right="0" w:hanging="0"/>
              <w:jc w:val="left"/>
              <w:rPr/>
            </w:pPr>
            <w:r>
              <w:rPr/>
              <w:t>​</w:t>
            </w:r>
          </w:p>
        </w:tc>
        <w:tc>
          <w:tcPr>
            <w:tcW w:w="747"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203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938</w:t>
            </w:r>
          </w:p>
        </w:tc>
      </w:tr>
      <w:tr>
        <w:trPr/>
        <w:tc>
          <w:tcPr>
            <w:tcW w:w="47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From Operations for Reportable Segments</w:t>
            </w:r>
          </w:p>
        </w:tc>
        <w:tc>
          <w:tcPr>
            <w:tcW w:w="365" w:type="dxa"/>
            <w:tcBorders/>
            <w:shd w:fill="CCEEFF" w:val="clear"/>
            <w:vAlign w:val="center"/>
          </w:tcPr>
          <w:p>
            <w:pPr>
              <w:pStyle w:val="TableContents"/>
              <w:bidi w:val="0"/>
              <w:spacing w:before="0" w:after="0"/>
              <w:ind w:left="0" w:right="0" w:hanging="0"/>
              <w:jc w:val="center"/>
              <w:rPr/>
            </w:pPr>
            <w:r>
              <w:rPr/>
              <w:t>​</w:t>
            </w:r>
          </w:p>
        </w:tc>
        <w:tc>
          <w:tcPr>
            <w:tcW w:w="117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1,334</w:t>
            </w:r>
          </w:p>
        </w:tc>
        <w:tc>
          <w:tcPr>
            <w:tcW w:w="109" w:type="dxa"/>
            <w:tcBorders/>
            <w:shd w:fill="CCEEFF" w:val="clear"/>
            <w:vAlign w:val="center"/>
          </w:tcPr>
          <w:p>
            <w:pPr>
              <w:pStyle w:val="TableContents"/>
              <w:bidi w:val="0"/>
              <w:spacing w:before="0" w:after="0"/>
              <w:ind w:left="0" w:right="0" w:hanging="0"/>
              <w:jc w:val="left"/>
              <w:rPr/>
            </w:pPr>
            <w:r>
              <w:rPr/>
              <w:t>​</w:t>
            </w:r>
          </w:p>
        </w:tc>
        <w:tc>
          <w:tcPr>
            <w:tcW w:w="747" w:type="dxa"/>
            <w:tcBorders/>
            <w:shd w:fill="CCEEFF" w:val="clear"/>
            <w:vAlign w:val="center"/>
          </w:tcPr>
          <w:p>
            <w:pPr>
              <w:pStyle w:val="TableContents"/>
              <w:bidi w:val="0"/>
              <w:spacing w:before="0" w:after="0"/>
              <w:ind w:left="0" w:right="0" w:hanging="0"/>
              <w:jc w:val="center"/>
              <w:rPr/>
            </w:pPr>
            <w:r>
              <w:rPr/>
              <w:t>​</w:t>
            </w:r>
          </w:p>
        </w:tc>
        <w:tc>
          <w:tcPr>
            <w:tcW w:w="20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2,750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4,084</w:t>
            </w:r>
          </w:p>
        </w:tc>
      </w:tr>
      <w:tr>
        <w:trPr/>
        <w:tc>
          <w:tcPr>
            <w:tcW w:w="4724" w:type="dxa"/>
            <w:tcBorders/>
            <w:vAlign w:val="center"/>
          </w:tcPr>
          <w:p>
            <w:pPr>
              <w:pStyle w:val="TableContents"/>
              <w:bidi w:val="0"/>
              <w:spacing w:before="0" w:after="0"/>
              <w:ind w:left="0" w:right="0" w:hanging="0"/>
              <w:jc w:val="left"/>
              <w:rPr/>
            </w:pPr>
            <w:r>
              <w:rPr/>
              <w:t>​</w:t>
            </w:r>
          </w:p>
        </w:tc>
        <w:tc>
          <w:tcPr>
            <w:tcW w:w="365" w:type="dxa"/>
            <w:tcBorders/>
            <w:vAlign w:val="center"/>
          </w:tcPr>
          <w:p>
            <w:pPr>
              <w:pStyle w:val="TableContents"/>
              <w:bidi w:val="0"/>
              <w:spacing w:before="0" w:after="0"/>
              <w:ind w:left="0" w:right="0" w:hanging="0"/>
              <w:jc w:val="center"/>
              <w:rPr/>
            </w:pPr>
            <w:r>
              <w:rPr/>
              <w:t>​</w:t>
            </w:r>
          </w:p>
        </w:tc>
        <w:tc>
          <w:tcPr>
            <w:tcW w:w="1173"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747" w:type="dxa"/>
            <w:tcBorders/>
            <w:vAlign w:val="center"/>
          </w:tcPr>
          <w:p>
            <w:pPr>
              <w:pStyle w:val="TableContents"/>
              <w:bidi w:val="0"/>
              <w:spacing w:before="0" w:after="0"/>
              <w:ind w:left="0" w:right="0" w:hanging="0"/>
              <w:jc w:val="center"/>
              <w:rPr/>
            </w:pPr>
            <w:r>
              <w:rPr/>
              <w:t>​</w:t>
            </w:r>
          </w:p>
        </w:tc>
        <w:tc>
          <w:tcPr>
            <w:tcW w:w="203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736" w:type="dxa"/>
            <w:tcBorders/>
            <w:vAlign w:val="center"/>
          </w:tcPr>
          <w:p>
            <w:pPr>
              <w:pStyle w:val="TableContents"/>
              <w:bidi w:val="0"/>
              <w:spacing w:before="0" w:after="0"/>
              <w:ind w:left="0" w:right="0" w:hanging="0"/>
              <w:jc w:val="right"/>
              <w:rPr/>
            </w:pPr>
            <w:r>
              <w:rPr/>
              <w:t>​</w:t>
            </w:r>
          </w:p>
        </w:tc>
      </w:tr>
      <w:tr>
        <w:trPr/>
        <w:tc>
          <w:tcPr>
            <w:tcW w:w="4724" w:type="dxa"/>
            <w:tcBorders/>
            <w:shd w:fill="CCEEFF" w:val="clear"/>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Reconciliation to Consolidated Net Loss</w:t>
            </w:r>
          </w:p>
        </w:tc>
        <w:tc>
          <w:tcPr>
            <w:tcW w:w="365" w:type="dxa"/>
            <w:tcBorders/>
            <w:shd w:fill="CCEEFF" w:val="clear"/>
            <w:vAlign w:val="center"/>
          </w:tcPr>
          <w:p>
            <w:pPr>
              <w:pStyle w:val="TableContents"/>
              <w:bidi w:val="0"/>
              <w:spacing w:before="0" w:after="0"/>
              <w:ind w:left="0" w:right="0" w:hanging="0"/>
              <w:jc w:val="center"/>
              <w:rPr/>
            </w:pPr>
            <w:r>
              <w:rPr/>
              <w:t>​</w:t>
            </w:r>
          </w:p>
        </w:tc>
        <w:tc>
          <w:tcPr>
            <w:tcW w:w="1173"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747" w:type="dxa"/>
            <w:tcBorders/>
            <w:shd w:fill="CCEEFF" w:val="clear"/>
            <w:vAlign w:val="center"/>
          </w:tcPr>
          <w:p>
            <w:pPr>
              <w:pStyle w:val="TableContents"/>
              <w:bidi w:val="0"/>
              <w:spacing w:before="0" w:after="0"/>
              <w:ind w:left="0" w:right="0" w:hanging="0"/>
              <w:jc w:val="center"/>
              <w:rPr/>
            </w:pPr>
            <w:r>
              <w:rPr/>
              <w:t>​</w:t>
            </w:r>
          </w:p>
        </w:tc>
        <w:tc>
          <w:tcPr>
            <w:tcW w:w="203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736" w:type="dxa"/>
            <w:tcBorders/>
            <w:shd w:fill="CCEEFF" w:val="clear"/>
            <w:vAlign w:val="center"/>
          </w:tcPr>
          <w:p>
            <w:pPr>
              <w:pStyle w:val="TableContents"/>
              <w:bidi w:val="0"/>
              <w:spacing w:before="0" w:after="0"/>
              <w:ind w:left="0" w:right="0" w:hanging="0"/>
              <w:jc w:val="right"/>
              <w:rPr/>
            </w:pPr>
            <w:r>
              <w:rPr/>
              <w:t>​</w:t>
            </w:r>
          </w:p>
        </w:tc>
      </w:tr>
      <w:tr>
        <w:trPr/>
        <w:tc>
          <w:tcPr>
            <w:tcW w:w="47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Revenues</w:t>
            </w:r>
          </w:p>
        </w:tc>
        <w:tc>
          <w:tcPr>
            <w:tcW w:w="365" w:type="dxa"/>
            <w:tcBorders/>
            <w:vAlign w:val="center"/>
          </w:tcPr>
          <w:p>
            <w:pPr>
              <w:pStyle w:val="TableContents"/>
              <w:bidi w:val="0"/>
              <w:spacing w:before="0" w:after="0"/>
              <w:ind w:left="0" w:right="0" w:hanging="0"/>
              <w:jc w:val="center"/>
              <w:rPr/>
            </w:pPr>
            <w:r>
              <w:rPr/>
              <w:t>​</w:t>
            </w:r>
          </w:p>
        </w:tc>
        <w:tc>
          <w:tcPr>
            <w:tcW w:w="1173"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747" w:type="dxa"/>
            <w:tcBorders/>
            <w:vAlign w:val="center"/>
          </w:tcPr>
          <w:p>
            <w:pPr>
              <w:pStyle w:val="TableContents"/>
              <w:bidi w:val="0"/>
              <w:spacing w:before="0" w:after="0"/>
              <w:ind w:left="0" w:right="0" w:hanging="0"/>
              <w:jc w:val="center"/>
              <w:rPr/>
            </w:pPr>
            <w:r>
              <w:rPr/>
              <w:t>​</w:t>
            </w:r>
          </w:p>
        </w:tc>
        <w:tc>
          <w:tcPr>
            <w:tcW w:w="203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w:t>
            </w:r>
          </w:p>
        </w:tc>
      </w:tr>
      <w:tr>
        <w:trPr/>
        <w:tc>
          <w:tcPr>
            <w:tcW w:w="47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 Expenses</w:t>
            </w:r>
          </w:p>
        </w:tc>
        <w:tc>
          <w:tcPr>
            <w:tcW w:w="365" w:type="dxa"/>
            <w:tcBorders/>
            <w:shd w:fill="CCEEFF" w:val="clear"/>
            <w:vAlign w:val="center"/>
          </w:tcPr>
          <w:p>
            <w:pPr>
              <w:pStyle w:val="TableContents"/>
              <w:bidi w:val="0"/>
              <w:spacing w:before="0" w:after="0"/>
              <w:ind w:left="0" w:right="0" w:hanging="0"/>
              <w:jc w:val="right"/>
              <w:rPr/>
            </w:pPr>
            <w:r>
              <w:rPr/>
              <w:t>​</w:t>
            </w:r>
          </w:p>
        </w:tc>
        <w:tc>
          <w:tcPr>
            <w:tcW w:w="1173"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747" w:type="dxa"/>
            <w:tcBorders/>
            <w:shd w:fill="CCEEFF" w:val="clear"/>
            <w:vAlign w:val="center"/>
          </w:tcPr>
          <w:p>
            <w:pPr>
              <w:pStyle w:val="TableContents"/>
              <w:bidi w:val="0"/>
              <w:spacing w:before="0" w:after="0"/>
              <w:ind w:left="0" w:right="0" w:hanging="0"/>
              <w:jc w:val="right"/>
              <w:rPr/>
            </w:pPr>
            <w:r>
              <w:rPr/>
              <w:t>​</w:t>
            </w:r>
          </w:p>
        </w:tc>
        <w:tc>
          <w:tcPr>
            <w:tcW w:w="203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(1,697)</w:t>
            </w:r>
          </w:p>
        </w:tc>
      </w:tr>
      <w:tr>
        <w:trPr/>
        <w:tc>
          <w:tcPr>
            <w:tcW w:w="47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 and Other Income</w:t>
            </w:r>
          </w:p>
        </w:tc>
        <w:tc>
          <w:tcPr>
            <w:tcW w:w="365" w:type="dxa"/>
            <w:tcBorders/>
            <w:vAlign w:val="center"/>
          </w:tcPr>
          <w:p>
            <w:pPr>
              <w:pStyle w:val="TableContents"/>
              <w:bidi w:val="0"/>
              <w:spacing w:before="0" w:after="0"/>
              <w:ind w:left="0" w:right="0" w:hanging="0"/>
              <w:jc w:val="right"/>
              <w:rPr/>
            </w:pPr>
            <w:r>
              <w:rPr/>
              <w:t>​</w:t>
            </w:r>
          </w:p>
        </w:tc>
        <w:tc>
          <w:tcPr>
            <w:tcW w:w="1173"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747" w:type="dxa"/>
            <w:tcBorders/>
            <w:vAlign w:val="center"/>
          </w:tcPr>
          <w:p>
            <w:pPr>
              <w:pStyle w:val="TableContents"/>
              <w:bidi w:val="0"/>
              <w:spacing w:before="0" w:after="0"/>
              <w:ind w:left="0" w:right="0" w:hanging="0"/>
              <w:jc w:val="right"/>
              <w:rPr/>
            </w:pPr>
            <w:r>
              <w:rPr/>
              <w:t>​</w:t>
            </w:r>
          </w:p>
        </w:tc>
        <w:tc>
          <w:tcPr>
            <w:tcW w:w="203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r>
      <w:tr>
        <w:trPr/>
        <w:tc>
          <w:tcPr>
            <w:tcW w:w="47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65" w:type="dxa"/>
            <w:tcBorders/>
            <w:shd w:fill="CCEEFF" w:val="clear"/>
            <w:vAlign w:val="center"/>
          </w:tcPr>
          <w:p>
            <w:pPr>
              <w:pStyle w:val="TableContents"/>
              <w:bidi w:val="0"/>
              <w:spacing w:before="0" w:after="0"/>
              <w:ind w:left="0" w:right="0" w:hanging="0"/>
              <w:jc w:val="right"/>
              <w:rPr/>
            </w:pPr>
            <w:r>
              <w:rPr/>
              <w:t>​</w:t>
            </w:r>
          </w:p>
        </w:tc>
        <w:tc>
          <w:tcPr>
            <w:tcW w:w="1173"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747" w:type="dxa"/>
            <w:tcBorders/>
            <w:shd w:fill="CCEEFF" w:val="clear"/>
            <w:vAlign w:val="center"/>
          </w:tcPr>
          <w:p>
            <w:pPr>
              <w:pStyle w:val="TableContents"/>
              <w:bidi w:val="0"/>
              <w:spacing w:before="0" w:after="0"/>
              <w:ind w:left="0" w:right="0" w:hanging="0"/>
              <w:jc w:val="right"/>
              <w:rPr/>
            </w:pPr>
            <w:r>
              <w:rPr/>
              <w:t>​</w:t>
            </w:r>
          </w:p>
        </w:tc>
        <w:tc>
          <w:tcPr>
            <w:tcW w:w="203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(4,320)</w:t>
            </w:r>
          </w:p>
        </w:tc>
      </w:tr>
      <w:tr>
        <w:trPr/>
        <w:tc>
          <w:tcPr>
            <w:tcW w:w="47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Consolidated Net Loss</w:t>
            </w:r>
          </w:p>
        </w:tc>
        <w:tc>
          <w:tcPr>
            <w:tcW w:w="365" w:type="dxa"/>
            <w:tcBorders/>
            <w:vAlign w:val="center"/>
          </w:tcPr>
          <w:p>
            <w:pPr>
              <w:pStyle w:val="TableContents"/>
              <w:bidi w:val="0"/>
              <w:spacing w:before="0" w:after="0"/>
              <w:ind w:left="0" w:right="0" w:hanging="0"/>
              <w:jc w:val="right"/>
              <w:rPr/>
            </w:pPr>
            <w:r>
              <w:rPr/>
              <w:t>​</w:t>
            </w:r>
          </w:p>
        </w:tc>
        <w:tc>
          <w:tcPr>
            <w:tcW w:w="1173"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747" w:type="dxa"/>
            <w:tcBorders/>
            <w:vAlign w:val="center"/>
          </w:tcPr>
          <w:p>
            <w:pPr>
              <w:pStyle w:val="TableContents"/>
              <w:bidi w:val="0"/>
              <w:spacing w:before="0" w:after="0"/>
              <w:ind w:left="0" w:right="0" w:hanging="0"/>
              <w:jc w:val="right"/>
              <w:rPr/>
            </w:pPr>
            <w:r>
              <w:rPr/>
              <w:t>​</w:t>
            </w:r>
          </w:p>
        </w:tc>
        <w:tc>
          <w:tcPr>
            <w:tcW w:w="203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7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(1,782)</w:t>
            </w:r>
          </w:p>
        </w:tc>
      </w:tr>
    </w:tbl>
    <w:p>
      <w:pPr>
        <w:pStyle w:val="TextBody"/>
        <w:bidi w:val="0"/>
        <w:spacing w:before="0" w:after="0"/>
        <w:ind w:left="0" w:right="0" w:hanging="0"/>
        <w:jc w:val="left"/>
        <w:rPr>
          <w:shd w:fill="FFFF00" w:val="clear"/>
        </w:rPr>
      </w:pPr>
      <w:r>
        <w:rPr>
          <w:shd w:fill="FFFF00" w:val="clea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bookmarkStart w:id="1646" w:name="Tc_FCnoLZRQ602-BD9kJLTpQQ_25_7"/>
      <w:bookmarkStart w:id="1647" w:name="Tc_GTpxLWe7l0aHUUSJkYDOdg_25_0"/>
      <w:bookmarkStart w:id="1648" w:name="Tc_Es_9urlKZ0GvK5-CNuNXmw_24_0"/>
      <w:bookmarkStart w:id="1649" w:name="Tc_UxO3LjsSO0Ct8QOkzeuDhQ_23_0"/>
      <w:bookmarkStart w:id="1650" w:name="Tc_o-wXOC9FYEqfE_0Q3H05-Q_22_0"/>
      <w:bookmarkStart w:id="1651" w:name="Tc_T5N4BSNShkeeI9EW7hOD1A_21_0"/>
      <w:bookmarkStart w:id="1652" w:name="Tc_rd23NlPk7kiymprt7kI79A_20_0"/>
      <w:bookmarkStart w:id="1653" w:name="Tc_2MRuxZ5SnEKTDe43djOpSw_18_0"/>
      <w:bookmarkStart w:id="1654" w:name="Tc_lJsDa8-if0K8hDsaQJGmWg_17_5"/>
      <w:bookmarkStart w:id="1655" w:name="Tc_egYDEBe3Ake4RrtLqkdchw_17_0"/>
      <w:bookmarkStart w:id="1656" w:name="Tc_qStCb-ruB0GnF3IwwsQt1g_16_0"/>
      <w:bookmarkStart w:id="1657" w:name="Tc_rjwo9tavMU6SepZrqeDUmA_15_5"/>
      <w:bookmarkStart w:id="1658" w:name="Tc_aAYY6AeidE2jMZWikMoRuQ_15_0"/>
      <w:bookmarkStart w:id="1659" w:name="Tc_hDBpcZvy-kST1ow-4XOb5w_14_0"/>
      <w:bookmarkStart w:id="1660" w:name="Tc_PlsN9fzbu0qDqcHF75Zzsw_13_0"/>
      <w:bookmarkStart w:id="1661" w:name="Tc_oH6AfJinxk6LWG5pfWtkXw_12_5"/>
      <w:bookmarkStart w:id="1662" w:name="Tc_bxuGAvjpiEOpZbRnDo3IXw_12_0"/>
      <w:bookmarkStart w:id="1663" w:name="Tc_qltKI6NLI0qe07_Iow9ceg_11_0"/>
      <w:bookmarkStart w:id="1664" w:name="Tc_4pVN6s6T6EuHvSmbQsrhXA_9_7"/>
      <w:bookmarkStart w:id="1665" w:name="Tc_8vYHP6raBEyxo4DNp4_hPg_9_0"/>
      <w:bookmarkStart w:id="1666" w:name="Tc_qDIqihk3pU6fZbi83WybTg_8_0"/>
      <w:bookmarkStart w:id="1667" w:name="Tc_IQ8FVlMfb0CdC0RV4QGZaQ_7_0"/>
      <w:bookmarkStart w:id="1668" w:name="Tc_yiHichAIwU6V9ui7Wr0vdA_5_0"/>
      <w:bookmarkStart w:id="1669" w:name="Tc_venKhJ0kwkavaNd0COJcOA_4_2"/>
      <w:bookmarkStart w:id="1670" w:name="Tc_TGec-8aU4USyg3bApMULIg_4_0"/>
      <w:bookmarkStart w:id="1671" w:name="Tc_yJsGK46ixkOuzeWYe-EIQA_3_7"/>
      <w:bookmarkStart w:id="1672" w:name="Tc_IlFKms4GUkyZcqeeXlaXGg_3_5"/>
      <w:bookmarkStart w:id="1673" w:name="Tc_1lbkIS53EkmGwldR0N2FJQ_3_4"/>
      <w:bookmarkStart w:id="1674" w:name="Tc_t3f9Fw59xkSXbxUQjUdXDQ_3_1"/>
      <w:bookmarkStart w:id="1675" w:name="Tc_Ej9JucjLRUGk99tkpYJIxQ_3_0"/>
      <w:bookmarkStart w:id="1676" w:name="Tc_u0-X0QU4_UOLjtlVFnUvRg_2_0"/>
      <w:bookmarkStart w:id="1677" w:name="Tc_sZ4v5EFdbk2adXEz1Qo8kw_1_7"/>
      <w:bookmarkStart w:id="1678" w:name="Tc_VWjqgoEruEq-xrgm9UuEoA_1_4"/>
      <w:bookmarkStart w:id="1679" w:name="Tc_Me4dgNTe3k6DygaVBGfHvg_1_1"/>
      <w:bookmarkStart w:id="1680" w:name="_ee73b56a_8ce4_459e_b4b3_6d119befbeb6"/>
      <w:bookmarkEnd w:id="1646"/>
      <w:bookmarkEnd w:id="1647"/>
      <w:bookmarkEnd w:id="1648"/>
      <w:bookmarkEnd w:id="1649"/>
      <w:bookmarkEnd w:id="1650"/>
      <w:bookmarkEnd w:id="1651"/>
      <w:bookmarkEnd w:id="1652"/>
      <w:bookmarkEnd w:id="1653"/>
      <w:bookmarkEnd w:id="1654"/>
      <w:bookmarkEnd w:id="1655"/>
      <w:bookmarkEnd w:id="1656"/>
      <w:bookmarkEnd w:id="1657"/>
      <w:bookmarkEnd w:id="1658"/>
      <w:bookmarkEnd w:id="1659"/>
      <w:bookmarkEnd w:id="1660"/>
      <w:bookmarkEnd w:id="1661"/>
      <w:bookmarkEnd w:id="1662"/>
      <w:bookmarkEnd w:id="1663"/>
      <w:bookmarkEnd w:id="1664"/>
      <w:bookmarkEnd w:id="1665"/>
      <w:bookmarkEnd w:id="1666"/>
      <w:bookmarkEnd w:id="1667"/>
      <w:bookmarkEnd w:id="1668"/>
      <w:bookmarkEnd w:id="1669"/>
      <w:bookmarkEnd w:id="1670"/>
      <w:bookmarkEnd w:id="1671"/>
      <w:bookmarkEnd w:id="1672"/>
      <w:bookmarkEnd w:id="1673"/>
      <w:bookmarkEnd w:id="1674"/>
      <w:bookmarkEnd w:id="1675"/>
      <w:bookmarkEnd w:id="1676"/>
      <w:bookmarkEnd w:id="1677"/>
      <w:bookmarkEnd w:id="1678"/>
      <w:bookmarkEnd w:id="1679"/>
      <w:bookmarkEnd w:id="1680"/>
      <w:r>
        <w:rPr>
          <w:rFonts w:ascii="Times New Roman;Times;serif" w:hAnsi="Times New Roman;Times;serif"/>
          <w:sz w:val="20"/>
        </w:rPr>
        <w:t>Information about the Company’s operations in different segments for the six months ended June 30, 2026, is as follows (in thousands):</w:t>
      </w:r>
    </w:p>
    <w:tbl>
      <w:tblPr>
        <w:tblW w:w="10205" w:type="dxa"/>
        <w:jc w:val="left"/>
        <w:tblInd w:w="0" w:type="dxa"/>
        <w:tblLayout w:type="fixed"/>
        <w:tblCellMar>
          <w:top w:w="0" w:type="dxa"/>
          <w:left w:w="0" w:type="dxa"/>
          <w:bottom w:w="0" w:type="dxa"/>
          <w:right w:w="0" w:type="dxa"/>
        </w:tblCellMar>
      </w:tblPr>
      <w:tblGrid>
        <w:gridCol w:w="4724"/>
        <w:gridCol w:w="365"/>
        <w:gridCol w:w="1173"/>
        <w:gridCol w:w="109"/>
        <w:gridCol w:w="659"/>
        <w:gridCol w:w="2119"/>
        <w:gridCol w:w="109"/>
        <w:gridCol w:w="211"/>
        <w:gridCol w:w="736"/>
      </w:tblGrid>
      <w:tr>
        <w:trPr/>
        <w:tc>
          <w:tcPr>
            <w:tcW w:w="4724" w:type="dxa"/>
            <w:tcBorders/>
            <w:vAlign w:val="center"/>
          </w:tcPr>
          <w:p>
            <w:pPr>
              <w:pStyle w:val="TableContents"/>
              <w:bidi w:val="0"/>
              <w:spacing w:before="0" w:after="1"/>
              <w:ind w:left="0" w:right="0" w:hanging="0"/>
              <w:jc w:val="left"/>
              <w:rPr/>
            </w:pPr>
            <w:r>
              <w:rPr/>
              <w:t>​</w:t>
            </w:r>
          </w:p>
        </w:tc>
        <w:tc>
          <w:tcPr>
            <w:tcW w:w="3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231775" cy="175260"/>
                      <wp:effectExtent l="0" t="0" r="0" b="0"/>
                      <wp:wrapNone/>
                      <wp:docPr id="367" name="Frame367"/>
                      <a:graphic xmlns:a="http://schemas.openxmlformats.org/drawingml/2006/main">
                        <a:graphicData uri="http://schemas.microsoft.com/office/word/2010/wordprocessingShape">
                          <wps:wsp>
                            <wps:cNvSpPr txBox="1"/>
                            <wps:spPr>
                              <a:xfrm>
                                <a:off x="0" y="0"/>
                                <a:ext cx="2317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744855" cy="175260"/>
                      <wp:effectExtent l="0" t="0" r="0" b="0"/>
                      <wp:wrapNone/>
                      <wp:docPr id="368" name="Frame368"/>
                      <a:graphic xmlns:a="http://schemas.openxmlformats.org/drawingml/2006/main">
                        <a:graphicData uri="http://schemas.microsoft.com/office/word/2010/wordprocessingShape">
                          <wps:wsp>
                            <wps:cNvSpPr txBox="1"/>
                            <wps:spPr>
                              <a:xfrm>
                                <a:off x="0" y="0"/>
                                <a:ext cx="7448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69215" cy="175260"/>
                      <wp:effectExtent l="0" t="0" r="0" b="0"/>
                      <wp:wrapNone/>
                      <wp:docPr id="369" name="Frame36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418465" cy="175260"/>
                      <wp:effectExtent l="0" t="0" r="0" b="0"/>
                      <wp:wrapNone/>
                      <wp:docPr id="370" name="Frame370"/>
                      <a:graphic xmlns:a="http://schemas.openxmlformats.org/drawingml/2006/main">
                        <a:graphicData uri="http://schemas.microsoft.com/office/word/2010/wordprocessingShape">
                          <wps:wsp>
                            <wps:cNvSpPr txBox="1"/>
                            <wps:spPr>
                              <a:xfrm>
                                <a:off x="0" y="0"/>
                                <a:ext cx="4184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1345565" cy="175260"/>
                      <wp:effectExtent l="0" t="0" r="0" b="0"/>
                      <wp:wrapNone/>
                      <wp:docPr id="371" name="Frame371"/>
                      <a:graphic xmlns:a="http://schemas.openxmlformats.org/drawingml/2006/main">
                        <a:graphicData uri="http://schemas.microsoft.com/office/word/2010/wordprocessingShape">
                          <wps:wsp>
                            <wps:cNvSpPr txBox="1"/>
                            <wps:spPr>
                              <a:xfrm>
                                <a:off x="0" y="0"/>
                                <a:ext cx="13455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69215" cy="175260"/>
                      <wp:effectExtent l="0" t="0" r="0" b="0"/>
                      <wp:wrapNone/>
                      <wp:docPr id="372" name="Frame37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133985" cy="175260"/>
                      <wp:effectExtent l="0" t="0" r="0" b="0"/>
                      <wp:wrapNone/>
                      <wp:docPr id="373" name="Frame37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467360" cy="175260"/>
                      <wp:effectExtent l="0" t="0" r="0" b="0"/>
                      <wp:wrapNone/>
                      <wp:docPr id="374" name="Frame374"/>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724" w:type="dxa"/>
            <w:tcBorders/>
            <w:vAlign w:val="center"/>
          </w:tcPr>
          <w:p>
            <w:pPr>
              <w:pStyle w:val="TableContents"/>
              <w:bidi w:val="0"/>
              <w:spacing w:before="0" w:after="1"/>
              <w:ind w:left="0" w:right="0" w:hanging="0"/>
              <w:jc w:val="left"/>
              <w:rPr/>
            </w:pPr>
            <w:r>
              <w:rPr/>
              <w:t>​</w:t>
            </w:r>
          </w:p>
        </w:tc>
        <w:tc>
          <w:tcPr>
            <w:tcW w:w="153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Income Properties</w:t>
            </w:r>
          </w:p>
        </w:tc>
        <w:tc>
          <w:tcPr>
            <w:tcW w:w="109" w:type="dxa"/>
            <w:tcBorders/>
            <w:vAlign w:val="center"/>
          </w:tcPr>
          <w:p>
            <w:pPr>
              <w:pStyle w:val="TableContents"/>
              <w:bidi w:val="0"/>
              <w:spacing w:before="0" w:after="1"/>
              <w:ind w:left="0" w:right="0" w:hanging="0"/>
              <w:jc w:val="center"/>
              <w:rPr/>
            </w:pPr>
            <w:r>
              <w:rPr/>
              <w:t>​</w:t>
            </w:r>
          </w:p>
        </w:tc>
        <w:tc>
          <w:tcPr>
            <w:tcW w:w="277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Commercial Loans and Investments</w:t>
            </w:r>
          </w:p>
        </w:tc>
        <w:tc>
          <w:tcPr>
            <w:tcW w:w="109" w:type="dxa"/>
            <w:tcBorders/>
            <w:vAlign w:val="center"/>
          </w:tcPr>
          <w:p>
            <w:pPr>
              <w:pStyle w:val="TableContents"/>
              <w:bidi w:val="0"/>
              <w:spacing w:before="0" w:after="1"/>
              <w:ind w:left="0" w:right="0" w:hanging="0"/>
              <w:jc w:val="center"/>
              <w:rPr/>
            </w:pPr>
            <w:r>
              <w:rPr/>
              <w:t>​</w:t>
            </w:r>
          </w:p>
        </w:tc>
        <w:tc>
          <w:tcPr>
            <w:tcW w:w="9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Total</w:t>
            </w:r>
          </w:p>
        </w:tc>
      </w:tr>
      <w:tr>
        <w:trPr/>
        <w:tc>
          <w:tcPr>
            <w:tcW w:w="472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Revenues:</w:t>
            </w:r>
          </w:p>
        </w:tc>
        <w:tc>
          <w:tcPr>
            <w:tcW w:w="365" w:type="dxa"/>
            <w:tcBorders/>
            <w:shd w:fill="CCEEFF" w:val="clear"/>
            <w:vAlign w:val="center"/>
          </w:tcPr>
          <w:p>
            <w:pPr>
              <w:pStyle w:val="TableContents"/>
              <w:bidi w:val="0"/>
              <w:spacing w:before="0" w:after="1"/>
              <w:ind w:left="0" w:right="0" w:hanging="0"/>
              <w:jc w:val="center"/>
              <w:rPr/>
            </w:pPr>
            <w:r>
              <w:rPr/>
              <w:t>​</w:t>
            </w:r>
          </w:p>
        </w:tc>
        <w:tc>
          <w:tcPr>
            <w:tcW w:w="1173" w:type="dxa"/>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center"/>
              <w:rPr/>
            </w:pPr>
            <w:r>
              <w:rPr/>
              <w:t>​</w:t>
            </w:r>
          </w:p>
        </w:tc>
        <w:tc>
          <w:tcPr>
            <w:tcW w:w="659" w:type="dxa"/>
            <w:tcBorders/>
            <w:shd w:fill="CCEEFF" w:val="clear"/>
            <w:vAlign w:val="center"/>
          </w:tcPr>
          <w:p>
            <w:pPr>
              <w:pStyle w:val="TableContents"/>
              <w:bidi w:val="0"/>
              <w:spacing w:before="0" w:after="1"/>
              <w:ind w:left="0" w:right="0" w:hanging="0"/>
              <w:jc w:val="center"/>
              <w:rPr/>
            </w:pPr>
            <w:r>
              <w:rPr/>
              <w:t>​</w:t>
            </w:r>
          </w:p>
        </w:tc>
        <w:tc>
          <w:tcPr>
            <w:tcW w:w="2119" w:type="dxa"/>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736" w:type="dxa"/>
            <w:tcBorders/>
            <w:shd w:fill="CCEEFF" w:val="clear"/>
            <w:vAlign w:val="center"/>
          </w:tcPr>
          <w:p>
            <w:pPr>
              <w:pStyle w:val="TableContents"/>
              <w:bidi w:val="0"/>
              <w:spacing w:before="0" w:after="1"/>
              <w:ind w:left="0" w:right="0" w:hanging="0"/>
              <w:jc w:val="center"/>
              <w:rPr/>
            </w:pPr>
            <w:r>
              <w:rPr/>
              <w:t>​</w:t>
            </w:r>
          </w:p>
        </w:tc>
      </w:tr>
      <w:tr>
        <w:trPr/>
        <w:tc>
          <w:tcPr>
            <w:tcW w:w="472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Lease Income</w:t>
            </w:r>
          </w:p>
        </w:tc>
        <w:tc>
          <w:tcPr>
            <w:tcW w:w="365"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117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25,239</w:t>
            </w:r>
          </w:p>
        </w:tc>
        <w:tc>
          <w:tcPr>
            <w:tcW w:w="109" w:type="dxa"/>
            <w:tcBorders/>
            <w:vAlign w:val="center"/>
          </w:tcPr>
          <w:p>
            <w:pPr>
              <w:pStyle w:val="TableContents"/>
              <w:bidi w:val="0"/>
              <w:spacing w:before="0" w:after="1"/>
              <w:ind w:left="0" w:right="0" w:hanging="0"/>
              <w:jc w:val="right"/>
              <w:rPr/>
            </w:pPr>
            <w:r>
              <w:rPr/>
              <w:t>​</w:t>
            </w:r>
          </w:p>
        </w:tc>
        <w:tc>
          <w:tcPr>
            <w:tcW w:w="659"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2119"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25,239</w:t>
            </w:r>
          </w:p>
        </w:tc>
      </w:tr>
      <w:tr>
        <w:trPr/>
        <w:tc>
          <w:tcPr>
            <w:tcW w:w="472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Income from Commercial Loans and Investments</w:t>
            </w:r>
          </w:p>
        </w:tc>
        <w:tc>
          <w:tcPr>
            <w:tcW w:w="365" w:type="dxa"/>
            <w:tcBorders>
              <w:bottom w:val="single" w:sz="2" w:space="0" w:color="000000"/>
            </w:tcBorders>
            <w:shd w:fill="CCEEFF" w:val="clear"/>
            <w:tcMar>
              <w:bottom w:w="28" w:type="dxa"/>
            </w:tcMar>
            <w:vAlign w:val="center"/>
          </w:tcPr>
          <w:p>
            <w:pPr>
              <w:pStyle w:val="TableContents"/>
              <w:bidi w:val="0"/>
              <w:spacing w:before="0" w:after="1"/>
              <w:ind w:left="0" w:right="0" w:hanging="0"/>
              <w:jc w:val="center"/>
              <w:rPr/>
            </w:pPr>
            <w:r>
              <w:rPr/>
              <w:t>​</w:t>
            </w:r>
          </w:p>
        </w:tc>
        <w:tc>
          <w:tcPr>
            <w:tcW w:w="117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65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211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13,089</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13,089</w:t>
            </w:r>
          </w:p>
        </w:tc>
      </w:tr>
      <w:tr>
        <w:trPr/>
        <w:tc>
          <w:tcPr>
            <w:tcW w:w="472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Revenues for Reportable Segments</w:t>
            </w:r>
          </w:p>
        </w:tc>
        <w:tc>
          <w:tcPr>
            <w:tcW w:w="365" w:type="dxa"/>
            <w:tcBorders/>
            <w:vAlign w:val="center"/>
          </w:tcPr>
          <w:p>
            <w:pPr>
              <w:pStyle w:val="TableContents"/>
              <w:bidi w:val="0"/>
              <w:spacing w:before="0" w:after="1"/>
              <w:ind w:left="0" w:right="0" w:hanging="0"/>
              <w:jc w:val="center"/>
              <w:rPr/>
            </w:pPr>
            <w:r>
              <w:rPr/>
              <w:t>​</w:t>
            </w:r>
          </w:p>
        </w:tc>
        <w:tc>
          <w:tcPr>
            <w:tcW w:w="117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25,239</w:t>
            </w:r>
          </w:p>
        </w:tc>
        <w:tc>
          <w:tcPr>
            <w:tcW w:w="109" w:type="dxa"/>
            <w:tcBorders/>
            <w:vAlign w:val="center"/>
          </w:tcPr>
          <w:p>
            <w:pPr>
              <w:pStyle w:val="TableContents"/>
              <w:bidi w:val="0"/>
              <w:spacing w:before="0" w:after="1"/>
              <w:ind w:left="0" w:right="0" w:hanging="0"/>
              <w:jc w:val="right"/>
              <w:rPr/>
            </w:pPr>
            <w:r>
              <w:rPr/>
              <w:t>​</w:t>
            </w:r>
          </w:p>
        </w:tc>
        <w:tc>
          <w:tcPr>
            <w:tcW w:w="659" w:type="dxa"/>
            <w:tcBorders/>
            <w:vAlign w:val="center"/>
          </w:tcPr>
          <w:p>
            <w:pPr>
              <w:pStyle w:val="TableContents"/>
              <w:bidi w:val="0"/>
              <w:spacing w:before="0" w:after="1"/>
              <w:ind w:left="0" w:right="0" w:hanging="0"/>
              <w:jc w:val="right"/>
              <w:rPr/>
            </w:pPr>
            <w:r>
              <w:rPr/>
              <w:t>​</w:t>
            </w:r>
          </w:p>
        </w:tc>
        <w:tc>
          <w:tcPr>
            <w:tcW w:w="211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13,089</w:t>
            </w:r>
          </w:p>
        </w:tc>
        <w:tc>
          <w:tcPr>
            <w:tcW w:w="109"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right"/>
              <w:rPr/>
            </w:pPr>
            <w:r>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38,328</w:t>
            </w:r>
          </w:p>
        </w:tc>
      </w:tr>
      <w:tr>
        <w:trPr/>
        <w:tc>
          <w:tcPr>
            <w:tcW w:w="4724" w:type="dxa"/>
            <w:tcBorders/>
            <w:shd w:fill="CCEEFF" w:val="clear"/>
            <w:vAlign w:val="center"/>
          </w:tcPr>
          <w:p>
            <w:pPr>
              <w:pStyle w:val="TableContents"/>
              <w:bidi w:val="0"/>
              <w:spacing w:before="0" w:after="1"/>
              <w:ind w:left="0" w:right="0" w:hanging="0"/>
              <w:jc w:val="left"/>
              <w:rPr/>
            </w:pPr>
            <w:r>
              <w:rPr/>
              <w:t>​</w:t>
            </w:r>
          </w:p>
        </w:tc>
        <w:tc>
          <w:tcPr>
            <w:tcW w:w="365" w:type="dxa"/>
            <w:tcBorders/>
            <w:shd w:fill="CCEEFF" w:val="clear"/>
            <w:vAlign w:val="center"/>
          </w:tcPr>
          <w:p>
            <w:pPr>
              <w:pStyle w:val="TableContents"/>
              <w:bidi w:val="0"/>
              <w:spacing w:before="0" w:after="1"/>
              <w:ind w:left="0" w:right="0" w:hanging="0"/>
              <w:jc w:val="center"/>
              <w:rPr/>
            </w:pPr>
            <w:r>
              <w:rPr/>
              <w:t>​</w:t>
            </w:r>
          </w:p>
        </w:tc>
        <w:tc>
          <w:tcPr>
            <w:tcW w:w="1173"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659" w:type="dxa"/>
            <w:tcBorders/>
            <w:shd w:fill="CCEEFF" w:val="clear"/>
            <w:vAlign w:val="center"/>
          </w:tcPr>
          <w:p>
            <w:pPr>
              <w:pStyle w:val="TableContents"/>
              <w:bidi w:val="0"/>
              <w:spacing w:before="0" w:after="1"/>
              <w:ind w:left="0" w:right="0" w:hanging="0"/>
              <w:jc w:val="right"/>
              <w:rPr/>
            </w:pPr>
            <w:r>
              <w:rPr/>
              <w:t>​</w:t>
            </w:r>
          </w:p>
        </w:tc>
        <w:tc>
          <w:tcPr>
            <w:tcW w:w="2119"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736" w:type="dxa"/>
            <w:tcBorders/>
            <w:shd w:fill="CCEEFF" w:val="clear"/>
            <w:vAlign w:val="center"/>
          </w:tcPr>
          <w:p>
            <w:pPr>
              <w:pStyle w:val="TableContents"/>
              <w:bidi w:val="0"/>
              <w:spacing w:before="0" w:after="1"/>
              <w:ind w:left="0" w:right="0" w:hanging="0"/>
              <w:jc w:val="right"/>
              <w:rPr/>
            </w:pPr>
            <w:r>
              <w:rPr/>
              <w:t>​</w:t>
            </w:r>
          </w:p>
        </w:tc>
      </w:tr>
      <w:tr>
        <w:trPr/>
        <w:tc>
          <w:tcPr>
            <w:tcW w:w="4724" w:type="dxa"/>
            <w:tcBorders/>
            <w:vAlign w:val="center"/>
          </w:tcPr>
          <w:p>
            <w:pPr>
              <w:pStyle w:val="TableContents"/>
              <w:bidi w:val="0"/>
              <w:spacing w:before="0" w:after="1"/>
              <w:ind w:left="0" w:right="0" w:hanging="0"/>
              <w:jc w:val="left"/>
              <w:rPr>
                <w:rFonts w:ascii="Times New Roman;Times;serif" w:hAnsi="Times New Roman;Times;serif"/>
                <w:i/>
                <w:sz w:val="20"/>
              </w:rPr>
            </w:pPr>
            <w:r>
              <w:rPr>
                <w:rFonts w:ascii="Times New Roman;Times;serif" w:hAnsi="Times New Roman;Times;serif"/>
                <w:i/>
                <w:sz w:val="20"/>
              </w:rPr>
              <w:t>Reconciliation to Consolidated Revenues</w:t>
            </w:r>
          </w:p>
        </w:tc>
        <w:tc>
          <w:tcPr>
            <w:tcW w:w="365" w:type="dxa"/>
            <w:tcBorders/>
            <w:vAlign w:val="center"/>
          </w:tcPr>
          <w:p>
            <w:pPr>
              <w:pStyle w:val="TableContents"/>
              <w:bidi w:val="0"/>
              <w:spacing w:before="0" w:after="1"/>
              <w:ind w:left="0" w:right="0" w:hanging="0"/>
              <w:jc w:val="center"/>
              <w:rPr/>
            </w:pPr>
            <w:r>
              <w:rPr/>
              <w:t>​</w:t>
            </w:r>
          </w:p>
        </w:tc>
        <w:tc>
          <w:tcPr>
            <w:tcW w:w="1173"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659" w:type="dxa"/>
            <w:tcBorders/>
            <w:vAlign w:val="center"/>
          </w:tcPr>
          <w:p>
            <w:pPr>
              <w:pStyle w:val="TableContents"/>
              <w:bidi w:val="0"/>
              <w:spacing w:before="0" w:after="1"/>
              <w:ind w:left="0" w:right="0" w:hanging="0"/>
              <w:jc w:val="right"/>
              <w:rPr/>
            </w:pPr>
            <w:r>
              <w:rPr/>
              <w:t>​</w:t>
            </w:r>
          </w:p>
        </w:tc>
        <w:tc>
          <w:tcPr>
            <w:tcW w:w="2119"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right"/>
              <w:rPr/>
            </w:pPr>
            <w:r>
              <w:rPr/>
              <w:t>​</w:t>
            </w:r>
          </w:p>
        </w:tc>
        <w:tc>
          <w:tcPr>
            <w:tcW w:w="736" w:type="dxa"/>
            <w:tcBorders/>
            <w:vAlign w:val="center"/>
          </w:tcPr>
          <w:p>
            <w:pPr>
              <w:pStyle w:val="TableContents"/>
              <w:bidi w:val="0"/>
              <w:spacing w:before="0" w:after="1"/>
              <w:ind w:left="0" w:right="0" w:hanging="0"/>
              <w:jc w:val="right"/>
              <w:rPr/>
            </w:pPr>
            <w:r>
              <w:rPr/>
              <w:t>​</w:t>
            </w:r>
          </w:p>
        </w:tc>
      </w:tr>
      <w:tr>
        <w:trPr/>
        <w:tc>
          <w:tcPr>
            <w:tcW w:w="472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Revenues</w:t>
            </w:r>
          </w:p>
        </w:tc>
        <w:tc>
          <w:tcPr>
            <w:tcW w:w="365" w:type="dxa"/>
            <w:tcBorders/>
            <w:shd w:fill="CCEEFF" w:val="clear"/>
            <w:vAlign w:val="center"/>
          </w:tcPr>
          <w:p>
            <w:pPr>
              <w:pStyle w:val="TableContents"/>
              <w:bidi w:val="0"/>
              <w:spacing w:before="0" w:after="1"/>
              <w:ind w:left="0" w:right="0" w:hanging="0"/>
              <w:jc w:val="center"/>
              <w:rPr/>
            </w:pPr>
            <w:r>
              <w:rPr/>
              <w:t>​</w:t>
            </w:r>
          </w:p>
        </w:tc>
        <w:tc>
          <w:tcPr>
            <w:tcW w:w="1173"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659" w:type="dxa"/>
            <w:tcBorders/>
            <w:shd w:fill="CCEEFF" w:val="clear"/>
            <w:vAlign w:val="center"/>
          </w:tcPr>
          <w:p>
            <w:pPr>
              <w:pStyle w:val="TableContents"/>
              <w:bidi w:val="0"/>
              <w:spacing w:before="0" w:after="1"/>
              <w:ind w:left="0" w:right="0" w:hanging="0"/>
              <w:jc w:val="right"/>
              <w:rPr/>
            </w:pPr>
            <w:r>
              <w:rPr/>
              <w:t>​</w:t>
            </w:r>
          </w:p>
        </w:tc>
        <w:tc>
          <w:tcPr>
            <w:tcW w:w="2119"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w:t>
            </w:r>
          </w:p>
        </w:tc>
      </w:tr>
      <w:tr>
        <w:trPr/>
        <w:tc>
          <w:tcPr>
            <w:tcW w:w="472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Consolidated Revenues</w:t>
            </w:r>
          </w:p>
        </w:tc>
        <w:tc>
          <w:tcPr>
            <w:tcW w:w="365" w:type="dxa"/>
            <w:tcBorders/>
            <w:vAlign w:val="center"/>
          </w:tcPr>
          <w:p>
            <w:pPr>
              <w:pStyle w:val="TableContents"/>
              <w:bidi w:val="0"/>
              <w:spacing w:before="0" w:after="1"/>
              <w:ind w:left="0" w:right="0" w:hanging="0"/>
              <w:jc w:val="center"/>
              <w:rPr/>
            </w:pPr>
            <w:r>
              <w:rPr/>
              <w:t>​</w:t>
            </w:r>
          </w:p>
        </w:tc>
        <w:tc>
          <w:tcPr>
            <w:tcW w:w="1173"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659" w:type="dxa"/>
            <w:tcBorders/>
            <w:vAlign w:val="center"/>
          </w:tcPr>
          <w:p>
            <w:pPr>
              <w:pStyle w:val="TableContents"/>
              <w:bidi w:val="0"/>
              <w:spacing w:before="0" w:after="1"/>
              <w:ind w:left="0" w:right="0" w:hanging="0"/>
              <w:jc w:val="right"/>
              <w:rPr/>
            </w:pPr>
            <w:r>
              <w:rPr/>
              <w:t>​</w:t>
            </w:r>
          </w:p>
        </w:tc>
        <w:tc>
          <w:tcPr>
            <w:tcW w:w="2119"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7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38,408</w:t>
            </w:r>
          </w:p>
        </w:tc>
      </w:tr>
      <w:tr>
        <w:trPr/>
        <w:tc>
          <w:tcPr>
            <w:tcW w:w="4724" w:type="dxa"/>
            <w:tcBorders/>
            <w:shd w:fill="CCEEFF" w:val="clear"/>
            <w:vAlign w:val="center"/>
          </w:tcPr>
          <w:p>
            <w:pPr>
              <w:pStyle w:val="TableContents"/>
              <w:bidi w:val="0"/>
              <w:spacing w:before="0" w:after="1"/>
              <w:ind w:left="0" w:right="0" w:hanging="0"/>
              <w:jc w:val="left"/>
              <w:rPr/>
            </w:pPr>
            <w:r>
              <w:rPr/>
              <w:t>​</w:t>
            </w:r>
          </w:p>
        </w:tc>
        <w:tc>
          <w:tcPr>
            <w:tcW w:w="365" w:type="dxa"/>
            <w:tcBorders/>
            <w:shd w:fill="CCEEFF" w:val="clear"/>
            <w:vAlign w:val="center"/>
          </w:tcPr>
          <w:p>
            <w:pPr>
              <w:pStyle w:val="TableContents"/>
              <w:bidi w:val="0"/>
              <w:spacing w:before="0" w:after="1"/>
              <w:ind w:left="0" w:right="0" w:hanging="0"/>
              <w:jc w:val="center"/>
              <w:rPr/>
            </w:pPr>
            <w:r>
              <w:rPr/>
              <w:t>​</w:t>
            </w:r>
          </w:p>
        </w:tc>
        <w:tc>
          <w:tcPr>
            <w:tcW w:w="1173"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659" w:type="dxa"/>
            <w:tcBorders/>
            <w:shd w:fill="CCEEFF" w:val="clear"/>
            <w:vAlign w:val="center"/>
          </w:tcPr>
          <w:p>
            <w:pPr>
              <w:pStyle w:val="TableContents"/>
              <w:bidi w:val="0"/>
              <w:spacing w:before="0" w:after="1"/>
              <w:ind w:left="0" w:right="0" w:hanging="0"/>
              <w:jc w:val="right"/>
              <w:rPr/>
            </w:pPr>
            <w:r>
              <w:rPr/>
              <w:t>​</w:t>
            </w:r>
          </w:p>
        </w:tc>
        <w:tc>
          <w:tcPr>
            <w:tcW w:w="2119"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736" w:type="dxa"/>
            <w:tcBorders/>
            <w:shd w:fill="CCEEFF" w:val="clear"/>
            <w:vAlign w:val="center"/>
          </w:tcPr>
          <w:p>
            <w:pPr>
              <w:pStyle w:val="TableContents"/>
              <w:bidi w:val="0"/>
              <w:spacing w:before="0" w:after="1"/>
              <w:ind w:left="0" w:right="0" w:hanging="0"/>
              <w:jc w:val="right"/>
              <w:rPr/>
            </w:pPr>
            <w:r>
              <w:rPr/>
              <w:t>​</w:t>
            </w:r>
          </w:p>
        </w:tc>
      </w:tr>
      <w:tr>
        <w:trPr/>
        <w:tc>
          <w:tcPr>
            <w:tcW w:w="472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365" w:type="dxa"/>
            <w:tcBorders/>
            <w:vAlign w:val="center"/>
          </w:tcPr>
          <w:p>
            <w:pPr>
              <w:pStyle w:val="TableContents"/>
              <w:bidi w:val="0"/>
              <w:spacing w:before="0" w:after="1"/>
              <w:ind w:left="0" w:right="0" w:hanging="0"/>
              <w:jc w:val="center"/>
              <w:rPr/>
            </w:pPr>
            <w:r>
              <w:rPr/>
              <w:t>​</w:t>
            </w:r>
          </w:p>
        </w:tc>
        <w:tc>
          <w:tcPr>
            <w:tcW w:w="1173"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659" w:type="dxa"/>
            <w:tcBorders/>
            <w:vAlign w:val="center"/>
          </w:tcPr>
          <w:p>
            <w:pPr>
              <w:pStyle w:val="TableContents"/>
              <w:bidi w:val="0"/>
              <w:spacing w:before="0" w:after="1"/>
              <w:ind w:left="0" w:right="0" w:hanging="0"/>
              <w:jc w:val="center"/>
              <w:rPr/>
            </w:pPr>
            <w:r>
              <w:rPr/>
              <w:t>​</w:t>
            </w:r>
          </w:p>
        </w:tc>
        <w:tc>
          <w:tcPr>
            <w:tcW w:w="2119"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736" w:type="dxa"/>
            <w:tcBorders/>
            <w:vAlign w:val="center"/>
          </w:tcPr>
          <w:p>
            <w:pPr>
              <w:pStyle w:val="TableContents"/>
              <w:bidi w:val="0"/>
              <w:spacing w:before="0" w:after="1"/>
              <w:ind w:left="0" w:right="0" w:hanging="0"/>
              <w:jc w:val="right"/>
              <w:rPr/>
            </w:pPr>
            <w:r>
              <w:rPr/>
              <w:t>​</w:t>
            </w:r>
          </w:p>
        </w:tc>
      </w:tr>
      <w:tr>
        <w:trPr/>
        <w:tc>
          <w:tcPr>
            <w:tcW w:w="472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Real Estate Expenses</w:t>
            </w:r>
          </w:p>
        </w:tc>
        <w:tc>
          <w:tcPr>
            <w:tcW w:w="365" w:type="dxa"/>
            <w:tcBorders>
              <w:bottom w:val="single" w:sz="2" w:space="0" w:color="000000"/>
            </w:tcBorders>
            <w:shd w:fill="CCEEFF" w:val="clear"/>
            <w:tcMar>
              <w:bottom w:w="28" w:type="dxa"/>
            </w:tcMar>
            <w:vAlign w:val="center"/>
          </w:tcPr>
          <w:p>
            <w:pPr>
              <w:pStyle w:val="TableContents"/>
              <w:bidi w:val="0"/>
              <w:spacing w:before="0" w:after="1"/>
              <w:ind w:left="0" w:right="0" w:hanging="0"/>
              <w:jc w:val="center"/>
              <w:rPr/>
            </w:pPr>
            <w:r>
              <w:rPr/>
              <w:t>​</w:t>
            </w:r>
          </w:p>
        </w:tc>
        <w:tc>
          <w:tcPr>
            <w:tcW w:w="117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4,387</w:t>
            </w:r>
          </w:p>
        </w:tc>
        <w:tc>
          <w:tcPr>
            <w:tcW w:w="109" w:type="dxa"/>
            <w:tcBorders/>
            <w:shd w:fill="CCEEFF" w:val="clear"/>
            <w:vAlign w:val="center"/>
          </w:tcPr>
          <w:p>
            <w:pPr>
              <w:pStyle w:val="TableContents"/>
              <w:bidi w:val="0"/>
              <w:spacing w:before="0" w:after="1"/>
              <w:ind w:left="0" w:right="0" w:hanging="0"/>
              <w:jc w:val="left"/>
              <w:rPr/>
            </w:pPr>
            <w:r>
              <w:rPr/>
              <w:t>​</w:t>
            </w:r>
          </w:p>
        </w:tc>
        <w:tc>
          <w:tcPr>
            <w:tcW w:w="659" w:type="dxa"/>
            <w:tcBorders>
              <w:bottom w:val="single" w:sz="2" w:space="0" w:color="000000"/>
            </w:tcBorders>
            <w:shd w:fill="CCEEFF" w:val="clear"/>
            <w:tcMar>
              <w:bottom w:w="28" w:type="dxa"/>
            </w:tcMar>
            <w:vAlign w:val="center"/>
          </w:tcPr>
          <w:p>
            <w:pPr>
              <w:pStyle w:val="TableContents"/>
              <w:bidi w:val="0"/>
              <w:spacing w:before="0" w:after="1"/>
              <w:ind w:left="0" w:right="0" w:hanging="0"/>
              <w:jc w:val="center"/>
              <w:rPr/>
            </w:pPr>
            <w:r>
              <w:rPr/>
              <w:t>​</w:t>
            </w:r>
          </w:p>
        </w:tc>
        <w:tc>
          <w:tcPr>
            <w:tcW w:w="211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center"/>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4,387</w:t>
            </w:r>
          </w:p>
        </w:tc>
      </w:tr>
      <w:tr>
        <w:trPr/>
        <w:tc>
          <w:tcPr>
            <w:tcW w:w="472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Revenues Less Direct Costs of Revenues</w:t>
            </w:r>
          </w:p>
        </w:tc>
        <w:tc>
          <w:tcPr>
            <w:tcW w:w="365" w:type="dxa"/>
            <w:tcBorders/>
            <w:vAlign w:val="center"/>
          </w:tcPr>
          <w:p>
            <w:pPr>
              <w:pStyle w:val="TableContents"/>
              <w:bidi w:val="0"/>
              <w:spacing w:before="0" w:after="1"/>
              <w:ind w:left="0" w:right="0" w:hanging="0"/>
              <w:jc w:val="center"/>
              <w:rPr/>
            </w:pPr>
            <w:r>
              <w:rPr/>
              <w:t>​</w:t>
            </w:r>
          </w:p>
        </w:tc>
        <w:tc>
          <w:tcPr>
            <w:tcW w:w="117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20,852</w:t>
            </w:r>
          </w:p>
        </w:tc>
        <w:tc>
          <w:tcPr>
            <w:tcW w:w="109" w:type="dxa"/>
            <w:tcBorders/>
            <w:vAlign w:val="center"/>
          </w:tcPr>
          <w:p>
            <w:pPr>
              <w:pStyle w:val="TableContents"/>
              <w:bidi w:val="0"/>
              <w:spacing w:before="0" w:after="1"/>
              <w:ind w:left="0" w:right="0" w:hanging="0"/>
              <w:jc w:val="left"/>
              <w:rPr/>
            </w:pPr>
            <w:r>
              <w:rPr/>
              <w:t>​</w:t>
            </w:r>
          </w:p>
        </w:tc>
        <w:tc>
          <w:tcPr>
            <w:tcW w:w="659" w:type="dxa"/>
            <w:tcBorders/>
            <w:vAlign w:val="center"/>
          </w:tcPr>
          <w:p>
            <w:pPr>
              <w:pStyle w:val="TableContents"/>
              <w:bidi w:val="0"/>
              <w:spacing w:before="0" w:after="1"/>
              <w:ind w:left="0" w:right="0" w:hanging="0"/>
              <w:jc w:val="center"/>
              <w:rPr/>
            </w:pPr>
            <w:r>
              <w:rPr/>
              <w:t>​</w:t>
            </w:r>
          </w:p>
        </w:tc>
        <w:tc>
          <w:tcPr>
            <w:tcW w:w="211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13,089</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33,941</w:t>
            </w:r>
          </w:p>
        </w:tc>
      </w:tr>
      <w:tr>
        <w:trPr/>
        <w:tc>
          <w:tcPr>
            <w:tcW w:w="472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Provision for Impairment</w:t>
            </w:r>
          </w:p>
        </w:tc>
        <w:tc>
          <w:tcPr>
            <w:tcW w:w="365" w:type="dxa"/>
            <w:tcBorders/>
            <w:shd w:fill="CCEEFF" w:val="clear"/>
            <w:vAlign w:val="center"/>
          </w:tcPr>
          <w:p>
            <w:pPr>
              <w:pStyle w:val="TableContents"/>
              <w:bidi w:val="0"/>
              <w:spacing w:before="0" w:after="1"/>
              <w:ind w:left="0" w:right="0" w:hanging="0"/>
              <w:jc w:val="center"/>
              <w:rPr/>
            </w:pPr>
            <w:r>
              <w:rPr/>
              <w:t>​</w:t>
            </w:r>
          </w:p>
        </w:tc>
        <w:tc>
          <w:tcPr>
            <w:tcW w:w="117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161</w:t>
            </w:r>
          </w:p>
        </w:tc>
        <w:tc>
          <w:tcPr>
            <w:tcW w:w="109" w:type="dxa"/>
            <w:tcBorders/>
            <w:shd w:fill="CCEEFF" w:val="clear"/>
            <w:vAlign w:val="center"/>
          </w:tcPr>
          <w:p>
            <w:pPr>
              <w:pStyle w:val="TableContents"/>
              <w:bidi w:val="0"/>
              <w:spacing w:before="0" w:after="1"/>
              <w:ind w:left="0" w:right="0" w:hanging="0"/>
              <w:jc w:val="left"/>
              <w:rPr/>
            </w:pPr>
            <w:r>
              <w:rPr/>
              <w:t>​</w:t>
            </w:r>
          </w:p>
        </w:tc>
        <w:tc>
          <w:tcPr>
            <w:tcW w:w="659" w:type="dxa"/>
            <w:tcBorders/>
            <w:shd w:fill="CCEEFF" w:val="clear"/>
            <w:vAlign w:val="center"/>
          </w:tcPr>
          <w:p>
            <w:pPr>
              <w:pStyle w:val="TableContents"/>
              <w:bidi w:val="0"/>
              <w:spacing w:before="0" w:after="1"/>
              <w:ind w:left="0" w:right="0" w:hanging="0"/>
              <w:jc w:val="center"/>
              <w:rPr/>
            </w:pPr>
            <w:r>
              <w:rPr/>
              <w:t>​</w:t>
            </w:r>
          </w:p>
        </w:tc>
        <w:tc>
          <w:tcPr>
            <w:tcW w:w="211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724</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885</w:t>
            </w:r>
          </w:p>
        </w:tc>
      </w:tr>
      <w:tr>
        <w:trPr/>
        <w:tc>
          <w:tcPr>
            <w:tcW w:w="472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65"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117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14,020</w:t>
            </w:r>
          </w:p>
        </w:tc>
        <w:tc>
          <w:tcPr>
            <w:tcW w:w="109" w:type="dxa"/>
            <w:tcBorders/>
            <w:vAlign w:val="center"/>
          </w:tcPr>
          <w:p>
            <w:pPr>
              <w:pStyle w:val="TableContents"/>
              <w:bidi w:val="0"/>
              <w:spacing w:before="0" w:after="1"/>
              <w:ind w:left="0" w:right="0" w:hanging="0"/>
              <w:jc w:val="left"/>
              <w:rPr/>
            </w:pPr>
            <w:r>
              <w:rPr/>
              <w:t>​</w:t>
            </w:r>
          </w:p>
        </w:tc>
        <w:tc>
          <w:tcPr>
            <w:tcW w:w="659"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2119"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7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14,020</w:t>
            </w:r>
          </w:p>
        </w:tc>
      </w:tr>
      <w:tr>
        <w:trPr/>
        <w:tc>
          <w:tcPr>
            <w:tcW w:w="472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Revenues Less Operating Expenses for Reportable Segments</w:t>
            </w:r>
          </w:p>
        </w:tc>
        <w:tc>
          <w:tcPr>
            <w:tcW w:w="365" w:type="dxa"/>
            <w:tcBorders/>
            <w:shd w:fill="CCEEFF" w:val="clear"/>
            <w:vAlign w:val="center"/>
          </w:tcPr>
          <w:p>
            <w:pPr>
              <w:pStyle w:val="TableContents"/>
              <w:bidi w:val="0"/>
              <w:spacing w:before="0" w:after="1"/>
              <w:ind w:left="0" w:right="0" w:hanging="0"/>
              <w:jc w:val="center"/>
              <w:rPr/>
            </w:pPr>
            <w:r>
              <w:rPr/>
              <w:t>​</w:t>
            </w:r>
          </w:p>
        </w:tc>
        <w:tc>
          <w:tcPr>
            <w:tcW w:w="117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6,671</w:t>
            </w:r>
          </w:p>
        </w:tc>
        <w:tc>
          <w:tcPr>
            <w:tcW w:w="109" w:type="dxa"/>
            <w:tcBorders/>
            <w:shd w:fill="CCEEFF" w:val="clear"/>
            <w:vAlign w:val="center"/>
          </w:tcPr>
          <w:p>
            <w:pPr>
              <w:pStyle w:val="TableContents"/>
              <w:bidi w:val="0"/>
              <w:spacing w:before="0" w:after="1"/>
              <w:ind w:left="0" w:right="0" w:hanging="0"/>
              <w:jc w:val="left"/>
              <w:rPr/>
            </w:pPr>
            <w:r>
              <w:rPr/>
              <w:t>​</w:t>
            </w:r>
          </w:p>
        </w:tc>
        <w:tc>
          <w:tcPr>
            <w:tcW w:w="659" w:type="dxa"/>
            <w:tcBorders/>
            <w:shd w:fill="CCEEFF" w:val="clear"/>
            <w:vAlign w:val="center"/>
          </w:tcPr>
          <w:p>
            <w:pPr>
              <w:pStyle w:val="TableContents"/>
              <w:bidi w:val="0"/>
              <w:spacing w:before="0" w:after="1"/>
              <w:ind w:left="0" w:right="0" w:hanging="0"/>
              <w:jc w:val="center"/>
              <w:rPr/>
            </w:pPr>
            <w:r>
              <w:rPr/>
              <w:t>​</w:t>
            </w:r>
          </w:p>
        </w:tc>
        <w:tc>
          <w:tcPr>
            <w:tcW w:w="211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12,365</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19,036</w:t>
            </w:r>
          </w:p>
        </w:tc>
      </w:tr>
      <w:tr>
        <w:trPr/>
        <w:tc>
          <w:tcPr>
            <w:tcW w:w="472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Gain on Disposition of Assets</w:t>
            </w:r>
          </w:p>
        </w:tc>
        <w:tc>
          <w:tcPr>
            <w:tcW w:w="365"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117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w:t>
            </w:r>
          </w:p>
        </w:tc>
        <w:tc>
          <w:tcPr>
            <w:tcW w:w="109" w:type="dxa"/>
            <w:tcBorders/>
            <w:vAlign w:val="center"/>
          </w:tcPr>
          <w:p>
            <w:pPr>
              <w:pStyle w:val="TableContents"/>
              <w:bidi w:val="0"/>
              <w:spacing w:before="0" w:after="1"/>
              <w:ind w:left="0" w:right="0" w:hanging="0"/>
              <w:jc w:val="left"/>
              <w:rPr/>
            </w:pPr>
            <w:r>
              <w:rPr/>
              <w:t>​</w:t>
            </w:r>
          </w:p>
        </w:tc>
        <w:tc>
          <w:tcPr>
            <w:tcW w:w="659"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2119"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7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w:t>
            </w:r>
          </w:p>
        </w:tc>
      </w:tr>
      <w:tr>
        <w:trPr/>
        <w:tc>
          <w:tcPr>
            <w:tcW w:w="472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 From Operations for Reportable Segments</w:t>
            </w:r>
          </w:p>
        </w:tc>
        <w:tc>
          <w:tcPr>
            <w:tcW w:w="365" w:type="dxa"/>
            <w:tcBorders/>
            <w:shd w:fill="CCEEFF" w:val="clear"/>
            <w:vAlign w:val="center"/>
          </w:tcPr>
          <w:p>
            <w:pPr>
              <w:pStyle w:val="TableContents"/>
              <w:bidi w:val="0"/>
              <w:spacing w:before="0" w:after="1"/>
              <w:ind w:left="0" w:right="0" w:hanging="0"/>
              <w:jc w:val="center"/>
              <w:rPr/>
            </w:pPr>
            <w:r>
              <w:rPr/>
              <w:t>​</w:t>
            </w:r>
          </w:p>
        </w:tc>
        <w:tc>
          <w:tcPr>
            <w:tcW w:w="117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6,768</w:t>
            </w:r>
          </w:p>
        </w:tc>
        <w:tc>
          <w:tcPr>
            <w:tcW w:w="109" w:type="dxa"/>
            <w:tcBorders/>
            <w:shd w:fill="CCEEFF" w:val="clear"/>
            <w:vAlign w:val="center"/>
          </w:tcPr>
          <w:p>
            <w:pPr>
              <w:pStyle w:val="TableContents"/>
              <w:bidi w:val="0"/>
              <w:spacing w:before="0" w:after="1"/>
              <w:ind w:left="0" w:right="0" w:hanging="0"/>
              <w:jc w:val="left"/>
              <w:rPr/>
            </w:pPr>
            <w:r>
              <w:rPr/>
              <w:t>​</w:t>
            </w:r>
          </w:p>
        </w:tc>
        <w:tc>
          <w:tcPr>
            <w:tcW w:w="659" w:type="dxa"/>
            <w:tcBorders/>
            <w:shd w:fill="CCEEFF" w:val="clear"/>
            <w:vAlign w:val="center"/>
          </w:tcPr>
          <w:p>
            <w:pPr>
              <w:pStyle w:val="TableContents"/>
              <w:bidi w:val="0"/>
              <w:spacing w:before="0" w:after="1"/>
              <w:ind w:left="0" w:right="0" w:hanging="0"/>
              <w:jc w:val="center"/>
              <w:rPr/>
            </w:pPr>
            <w:r>
              <w:rPr/>
              <w:t>​</w:t>
            </w:r>
          </w:p>
        </w:tc>
        <w:tc>
          <w:tcPr>
            <w:tcW w:w="211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12,365</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19,133</w:t>
            </w:r>
          </w:p>
        </w:tc>
      </w:tr>
      <w:tr>
        <w:trPr/>
        <w:tc>
          <w:tcPr>
            <w:tcW w:w="4724" w:type="dxa"/>
            <w:tcBorders/>
            <w:vAlign w:val="center"/>
          </w:tcPr>
          <w:p>
            <w:pPr>
              <w:pStyle w:val="TableContents"/>
              <w:bidi w:val="0"/>
              <w:spacing w:before="0" w:after="1"/>
              <w:ind w:left="0" w:right="0" w:hanging="0"/>
              <w:jc w:val="left"/>
              <w:rPr/>
            </w:pPr>
            <w:r>
              <w:rPr/>
              <w:t>​</w:t>
            </w:r>
          </w:p>
        </w:tc>
        <w:tc>
          <w:tcPr>
            <w:tcW w:w="365" w:type="dxa"/>
            <w:tcBorders/>
            <w:vAlign w:val="center"/>
          </w:tcPr>
          <w:p>
            <w:pPr>
              <w:pStyle w:val="TableContents"/>
              <w:bidi w:val="0"/>
              <w:spacing w:before="0" w:after="1"/>
              <w:ind w:left="0" w:right="0" w:hanging="0"/>
              <w:jc w:val="center"/>
              <w:rPr/>
            </w:pPr>
            <w:r>
              <w:rPr/>
              <w:t>​</w:t>
            </w:r>
          </w:p>
        </w:tc>
        <w:tc>
          <w:tcPr>
            <w:tcW w:w="1173"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659" w:type="dxa"/>
            <w:tcBorders/>
            <w:vAlign w:val="center"/>
          </w:tcPr>
          <w:p>
            <w:pPr>
              <w:pStyle w:val="TableContents"/>
              <w:bidi w:val="0"/>
              <w:spacing w:before="0" w:after="1"/>
              <w:ind w:left="0" w:right="0" w:hanging="0"/>
              <w:jc w:val="center"/>
              <w:rPr/>
            </w:pPr>
            <w:r>
              <w:rPr/>
              <w:t>​</w:t>
            </w:r>
          </w:p>
        </w:tc>
        <w:tc>
          <w:tcPr>
            <w:tcW w:w="2119"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736" w:type="dxa"/>
            <w:tcBorders/>
            <w:vAlign w:val="center"/>
          </w:tcPr>
          <w:p>
            <w:pPr>
              <w:pStyle w:val="TableContents"/>
              <w:bidi w:val="0"/>
              <w:spacing w:before="0" w:after="1"/>
              <w:ind w:left="0" w:right="0" w:hanging="0"/>
              <w:jc w:val="right"/>
              <w:rPr/>
            </w:pPr>
            <w:r>
              <w:rPr/>
              <w:t>​</w:t>
            </w:r>
          </w:p>
        </w:tc>
      </w:tr>
      <w:tr>
        <w:trPr/>
        <w:tc>
          <w:tcPr>
            <w:tcW w:w="4724" w:type="dxa"/>
            <w:tcBorders/>
            <w:shd w:fill="CCEEFF" w:val="clear"/>
            <w:vAlign w:val="center"/>
          </w:tcPr>
          <w:p>
            <w:pPr>
              <w:pStyle w:val="TableContents"/>
              <w:bidi w:val="0"/>
              <w:spacing w:before="0" w:after="1"/>
              <w:ind w:left="0" w:right="0" w:hanging="0"/>
              <w:jc w:val="left"/>
              <w:rPr>
                <w:rFonts w:ascii="Times New Roman;Times;serif" w:hAnsi="Times New Roman;Times;serif"/>
                <w:i/>
                <w:sz w:val="20"/>
              </w:rPr>
            </w:pPr>
            <w:r>
              <w:rPr>
                <w:rFonts w:ascii="Times New Roman;Times;serif" w:hAnsi="Times New Roman;Times;serif"/>
                <w:i/>
                <w:sz w:val="20"/>
              </w:rPr>
              <w:t>Reconciliation to Consolidated Net Income</w:t>
            </w:r>
          </w:p>
        </w:tc>
        <w:tc>
          <w:tcPr>
            <w:tcW w:w="365" w:type="dxa"/>
            <w:tcBorders/>
            <w:shd w:fill="CCEEFF" w:val="clear"/>
            <w:vAlign w:val="center"/>
          </w:tcPr>
          <w:p>
            <w:pPr>
              <w:pStyle w:val="TableContents"/>
              <w:bidi w:val="0"/>
              <w:spacing w:before="0" w:after="1"/>
              <w:ind w:left="0" w:right="0" w:hanging="0"/>
              <w:jc w:val="center"/>
              <w:rPr/>
            </w:pPr>
            <w:r>
              <w:rPr/>
              <w:t>​</w:t>
            </w:r>
          </w:p>
        </w:tc>
        <w:tc>
          <w:tcPr>
            <w:tcW w:w="1173"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659" w:type="dxa"/>
            <w:tcBorders/>
            <w:shd w:fill="CCEEFF" w:val="clear"/>
            <w:vAlign w:val="center"/>
          </w:tcPr>
          <w:p>
            <w:pPr>
              <w:pStyle w:val="TableContents"/>
              <w:bidi w:val="0"/>
              <w:spacing w:before="0" w:after="1"/>
              <w:ind w:left="0" w:right="0" w:hanging="0"/>
              <w:jc w:val="center"/>
              <w:rPr/>
            </w:pPr>
            <w:r>
              <w:rPr/>
              <w:t>​</w:t>
            </w:r>
          </w:p>
        </w:tc>
        <w:tc>
          <w:tcPr>
            <w:tcW w:w="2119"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736" w:type="dxa"/>
            <w:tcBorders/>
            <w:shd w:fill="CCEEFF" w:val="clear"/>
            <w:vAlign w:val="center"/>
          </w:tcPr>
          <w:p>
            <w:pPr>
              <w:pStyle w:val="TableContents"/>
              <w:bidi w:val="0"/>
              <w:spacing w:before="0" w:after="1"/>
              <w:ind w:left="0" w:right="0" w:hanging="0"/>
              <w:jc w:val="right"/>
              <w:rPr/>
            </w:pPr>
            <w:r>
              <w:rPr/>
              <w:t>​</w:t>
            </w:r>
          </w:p>
        </w:tc>
      </w:tr>
      <w:tr>
        <w:trPr/>
        <w:tc>
          <w:tcPr>
            <w:tcW w:w="472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Revenues</w:t>
            </w:r>
          </w:p>
        </w:tc>
        <w:tc>
          <w:tcPr>
            <w:tcW w:w="365" w:type="dxa"/>
            <w:tcBorders/>
            <w:vAlign w:val="center"/>
          </w:tcPr>
          <w:p>
            <w:pPr>
              <w:pStyle w:val="TableContents"/>
              <w:bidi w:val="0"/>
              <w:spacing w:before="0" w:after="1"/>
              <w:ind w:left="0" w:right="0" w:hanging="0"/>
              <w:jc w:val="center"/>
              <w:rPr/>
            </w:pPr>
            <w:r>
              <w:rPr/>
              <w:t>​</w:t>
            </w:r>
          </w:p>
        </w:tc>
        <w:tc>
          <w:tcPr>
            <w:tcW w:w="1173"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659" w:type="dxa"/>
            <w:tcBorders/>
            <w:vAlign w:val="center"/>
          </w:tcPr>
          <w:p>
            <w:pPr>
              <w:pStyle w:val="TableContents"/>
              <w:bidi w:val="0"/>
              <w:spacing w:before="0" w:after="1"/>
              <w:ind w:left="0" w:right="0" w:hanging="0"/>
              <w:jc w:val="center"/>
              <w:rPr/>
            </w:pPr>
            <w:r>
              <w:rPr/>
              <w:t>​</w:t>
            </w:r>
          </w:p>
        </w:tc>
        <w:tc>
          <w:tcPr>
            <w:tcW w:w="2119"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w:t>
            </w:r>
          </w:p>
        </w:tc>
      </w:tr>
      <w:tr>
        <w:trPr/>
        <w:tc>
          <w:tcPr>
            <w:tcW w:w="472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General and Administrative Expenses</w:t>
            </w:r>
          </w:p>
        </w:tc>
        <w:tc>
          <w:tcPr>
            <w:tcW w:w="365" w:type="dxa"/>
            <w:tcBorders/>
            <w:shd w:fill="CCEEFF" w:val="clear"/>
            <w:vAlign w:val="center"/>
          </w:tcPr>
          <w:p>
            <w:pPr>
              <w:pStyle w:val="TableContents"/>
              <w:bidi w:val="0"/>
              <w:spacing w:before="0" w:after="1"/>
              <w:ind w:left="0" w:right="0" w:hanging="0"/>
              <w:jc w:val="center"/>
              <w:rPr/>
            </w:pPr>
            <w:r>
              <w:rPr/>
              <w:t>​</w:t>
            </w:r>
          </w:p>
        </w:tc>
        <w:tc>
          <w:tcPr>
            <w:tcW w:w="1173"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659" w:type="dxa"/>
            <w:tcBorders/>
            <w:shd w:fill="CCEEFF" w:val="clear"/>
            <w:vAlign w:val="center"/>
          </w:tcPr>
          <w:p>
            <w:pPr>
              <w:pStyle w:val="TableContents"/>
              <w:bidi w:val="0"/>
              <w:spacing w:before="0" w:after="1"/>
              <w:ind w:left="0" w:right="0" w:hanging="0"/>
              <w:jc w:val="right"/>
              <w:rPr/>
            </w:pPr>
            <w:r>
              <w:rPr/>
              <w:t>​</w:t>
            </w:r>
          </w:p>
        </w:tc>
        <w:tc>
          <w:tcPr>
            <w:tcW w:w="2119"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(3,887)</w:t>
            </w:r>
          </w:p>
        </w:tc>
      </w:tr>
      <w:tr>
        <w:trPr/>
        <w:tc>
          <w:tcPr>
            <w:tcW w:w="472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Investment and Other Income</w:t>
            </w:r>
          </w:p>
        </w:tc>
        <w:tc>
          <w:tcPr>
            <w:tcW w:w="365" w:type="dxa"/>
            <w:tcBorders/>
            <w:vAlign w:val="center"/>
          </w:tcPr>
          <w:p>
            <w:pPr>
              <w:pStyle w:val="TableContents"/>
              <w:bidi w:val="0"/>
              <w:spacing w:before="0" w:after="1"/>
              <w:ind w:left="0" w:right="0" w:hanging="0"/>
              <w:jc w:val="left"/>
              <w:rPr/>
            </w:pPr>
            <w:r>
              <w:rPr/>
              <w:t>​</w:t>
            </w:r>
          </w:p>
        </w:tc>
        <w:tc>
          <w:tcPr>
            <w:tcW w:w="1173"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659" w:type="dxa"/>
            <w:tcBorders/>
            <w:vAlign w:val="center"/>
          </w:tcPr>
          <w:p>
            <w:pPr>
              <w:pStyle w:val="TableContents"/>
              <w:bidi w:val="0"/>
              <w:spacing w:before="0" w:after="1"/>
              <w:ind w:left="0" w:right="0" w:hanging="0"/>
              <w:jc w:val="right"/>
              <w:rPr/>
            </w:pPr>
            <w:r>
              <w:rPr/>
              <w:t>​</w:t>
            </w:r>
          </w:p>
        </w:tc>
        <w:tc>
          <w:tcPr>
            <w:tcW w:w="2119"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right"/>
              <w:rPr/>
            </w:pPr>
            <w:r>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455</w:t>
            </w:r>
          </w:p>
        </w:tc>
      </w:tr>
      <w:tr>
        <w:trPr/>
        <w:tc>
          <w:tcPr>
            <w:tcW w:w="472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65" w:type="dxa"/>
            <w:tcBorders/>
            <w:shd w:fill="CCEEFF" w:val="clear"/>
            <w:vAlign w:val="center"/>
          </w:tcPr>
          <w:p>
            <w:pPr>
              <w:pStyle w:val="TableContents"/>
              <w:bidi w:val="0"/>
              <w:spacing w:before="0" w:after="1"/>
              <w:ind w:left="0" w:right="0" w:hanging="0"/>
              <w:jc w:val="left"/>
              <w:rPr/>
            </w:pPr>
            <w:r>
              <w:rPr/>
              <w:t>​</w:t>
            </w:r>
          </w:p>
        </w:tc>
        <w:tc>
          <w:tcPr>
            <w:tcW w:w="1173"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659" w:type="dxa"/>
            <w:tcBorders/>
            <w:shd w:fill="CCEEFF" w:val="clear"/>
            <w:vAlign w:val="center"/>
          </w:tcPr>
          <w:p>
            <w:pPr>
              <w:pStyle w:val="TableContents"/>
              <w:bidi w:val="0"/>
              <w:spacing w:before="0" w:after="1"/>
              <w:ind w:left="0" w:right="0" w:hanging="0"/>
              <w:jc w:val="right"/>
              <w:rPr/>
            </w:pPr>
            <w:r>
              <w:rPr/>
              <w:t>​</w:t>
            </w:r>
          </w:p>
        </w:tc>
        <w:tc>
          <w:tcPr>
            <w:tcW w:w="2119"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(8,932)</w:t>
            </w:r>
          </w:p>
        </w:tc>
      </w:tr>
      <w:tr>
        <w:trPr/>
        <w:tc>
          <w:tcPr>
            <w:tcW w:w="472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Consolidated Net Income</w:t>
            </w:r>
          </w:p>
        </w:tc>
        <w:tc>
          <w:tcPr>
            <w:tcW w:w="365" w:type="dxa"/>
            <w:tcBorders/>
            <w:vAlign w:val="center"/>
          </w:tcPr>
          <w:p>
            <w:pPr>
              <w:pStyle w:val="TableContents"/>
              <w:bidi w:val="0"/>
              <w:spacing w:before="0" w:after="1"/>
              <w:ind w:left="0" w:right="0" w:hanging="0"/>
              <w:jc w:val="left"/>
              <w:rPr/>
            </w:pPr>
            <w:r>
              <w:rPr/>
              <w:t>​</w:t>
            </w:r>
          </w:p>
        </w:tc>
        <w:tc>
          <w:tcPr>
            <w:tcW w:w="1173"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659" w:type="dxa"/>
            <w:tcBorders/>
            <w:vAlign w:val="center"/>
          </w:tcPr>
          <w:p>
            <w:pPr>
              <w:pStyle w:val="TableContents"/>
              <w:bidi w:val="0"/>
              <w:spacing w:before="0" w:after="1"/>
              <w:ind w:left="0" w:right="0" w:hanging="0"/>
              <w:jc w:val="right"/>
              <w:rPr/>
            </w:pPr>
            <w:r>
              <w:rPr/>
              <w:t>​</w:t>
            </w:r>
          </w:p>
        </w:tc>
        <w:tc>
          <w:tcPr>
            <w:tcW w:w="2119"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736" w:type="dxa"/>
            <w:tcBorders>
              <w:bottom w:val="double" w:sz="6" w:space="0" w:color="000000"/>
            </w:tcBorders>
            <w:tcMar>
              <w:bottom w:w="28" w:type="dxa"/>
            </w:tcMar>
            <w:vAlign w:val="center"/>
          </w:tcPr>
          <w:p>
            <w:pPr>
              <w:pStyle w:val="TableContents"/>
              <w:bidi w:val="0"/>
              <w:spacing w:before="0" w:after="1"/>
              <w:ind w:left="0" w:right="72" w:hanging="0"/>
              <w:jc w:val="right"/>
              <w:rPr>
                <w:rFonts w:ascii="Times New Roman;Times;serif" w:hAnsi="Times New Roman;Times;serif"/>
                <w:sz w:val="20"/>
              </w:rPr>
            </w:pPr>
            <w:r>
              <w:rPr>
                <w:rFonts w:ascii="Times New Roman;Times;serif" w:hAnsi="Times New Roman;Times;serif"/>
                <w:sz w:val="20"/>
              </w:rPr>
              <w:t>6,849</w:t>
            </w:r>
          </w:p>
        </w:tc>
      </w:tr>
    </w:tbl>
    <w:p>
      <w:pPr>
        <w:pStyle w:val="TextBody"/>
        <w:bidi w:val="0"/>
        <w:spacing w:before="0" w:after="240"/>
        <w:ind w:left="0" w:right="0" w:firstLine="36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bookmarkStart w:id="1681" w:name="Tc_S7wkSf6VZUGxRsA2Ih9LCg_6_10"/>
      <w:bookmarkStart w:id="1682" w:name="Tc_1zzPdmSC6kudqprWJkkQ7w_6_7"/>
      <w:bookmarkStart w:id="1683" w:name="Tc_KJgZ0XGjUUKWhMM2AojMgg_6_4"/>
      <w:bookmarkStart w:id="1684" w:name="Tc_WQLb7K2u4UOOIhpELSQVhw_6_1"/>
      <w:bookmarkStart w:id="1685" w:name="Tc_WdpJVx7ACU-_8zj15lNV-w_6_0"/>
      <w:bookmarkStart w:id="1686" w:name="Tc_3XyGqCzYt0-AXqd1kJfBSw_5_0"/>
      <w:bookmarkStart w:id="1687" w:name="Tc_zbVqUiP0VUuxmT4kE-2bwQ_4_10"/>
      <w:bookmarkStart w:id="1688" w:name="Tc_1HfhZhX2406fTeMvmLcmyA_4_7"/>
      <w:bookmarkStart w:id="1689" w:name="Tc_5GbOPT-Zak-gV_u_qvPY2A_4_4"/>
      <w:bookmarkStart w:id="1690" w:name="Tc_u40cHVnV20aSQIE_Gew1PQ_4_1"/>
      <w:bookmarkStart w:id="1691" w:name="Tc_pVZr5dG8j0a6nozDmxv8kg_4_0"/>
      <w:bookmarkStart w:id="1692" w:name="Tc_rJxSweqHokKQG2q2NdmFHA_3_0"/>
      <w:bookmarkStart w:id="1693" w:name="Tc_xZ53jVIslEiE-p5enPmbjg_2_10"/>
      <w:bookmarkStart w:id="1694" w:name="Tc_KIb74mNVf022dwa55tUHng_2_7"/>
      <w:bookmarkStart w:id="1695" w:name="Tc_zR_t5Z5m3UaX8gPT3pfTzA_2_4"/>
      <w:bookmarkStart w:id="1696" w:name="Tc_QICJ_fWNfU2keM9y7ITsZQ_2_1"/>
      <w:bookmarkStart w:id="1697" w:name="Tc_3VKqafAXEU2ZlxehCeizMQ_1_7"/>
      <w:bookmarkStart w:id="1698" w:name="Tc_lZChODlHQkKcaK4YhmI1CQ_1_1"/>
      <w:bookmarkStart w:id="1699" w:name="_7a129bed_a7f0_4c71_898c_17620a454d71"/>
      <w:bookmarkStart w:id="1700" w:name="Tc_GufviUHNuUaK8Ce44RWI5Q_25_7"/>
      <w:bookmarkStart w:id="1701" w:name="Tc_9b7tbeFDXkOaLDrASmbPCA_25_0"/>
      <w:bookmarkStart w:id="1702" w:name="Tc_bDcurfJT2EKQBj63VoeVYQ_24_0"/>
      <w:bookmarkStart w:id="1703" w:name="Tc_voJENIDjuEy1IszR-KyuHA_23_0"/>
      <w:bookmarkStart w:id="1704" w:name="Tc_7yBp2Rr2nUuqBwIE95Qf1w_22_0"/>
      <w:bookmarkStart w:id="1705" w:name="Tc_Yd37WQsTpEW5WYhu92hWPw_21_0"/>
      <w:bookmarkStart w:id="1706" w:name="Tc_H5_xCBqji0qm7yLyYwEvoQ_20_0"/>
      <w:bookmarkStart w:id="1707" w:name="Tc_KdhO7HJY1kOR9gwzZcMVBQ_18_0"/>
      <w:bookmarkStart w:id="1708" w:name="Tc_Z2Th3gAXXE2RD8UsDalleg_17_5"/>
      <w:bookmarkStart w:id="1709" w:name="Tc_vLSruyHdDUuWDre-16HWKw_17_0"/>
      <w:bookmarkStart w:id="1710" w:name="Tc_uB6N-_iQtEuXWOe4T8rwlA_16_0"/>
      <w:bookmarkStart w:id="1711" w:name="Tc_SMQWDWI4HE6ftMSMbF5sqw_15_5"/>
      <w:bookmarkStart w:id="1712" w:name="Tc_8wJs1SBtIkmZjStNynUxIQ_15_0"/>
      <w:bookmarkStart w:id="1713" w:name="Tc_br9Deug7A0OFWg8Bfc0WWQ_14_0"/>
      <w:bookmarkStart w:id="1714" w:name="Tc_WMRVTFy51UKHabjOt8_nOA_13_0"/>
      <w:bookmarkStart w:id="1715" w:name="Tc_mUrqbPiIbU-zj6KykWQNkw_12_5"/>
      <w:bookmarkStart w:id="1716" w:name="Tc_qn5ba2yFPkiGn0AAu-yTxw_12_0"/>
      <w:bookmarkStart w:id="1717" w:name="Tc_W3T6w_KonEaUVgobHHOuCA_11_0"/>
      <w:bookmarkStart w:id="1718" w:name="Tc_eedCVbv7qUic7n-kx7Y_eg_9_7"/>
      <w:bookmarkStart w:id="1719" w:name="Tc_HGVmmShfTUypW6gre6ecNA_9_0"/>
      <w:bookmarkStart w:id="1720" w:name="Tc_cqIS2JNz6kK2UzyNBIHJ-w_8_0"/>
      <w:bookmarkStart w:id="1721" w:name="Tc_Njpn7QJPy0279p3im0oNEA_7_0"/>
      <w:bookmarkStart w:id="1722" w:name="Tc_61pZmgQZuUGH4imnqu7_TA_5_0"/>
      <w:bookmarkStart w:id="1723" w:name="Tc_yn-IrOB4okmapbX2xLjPMA_4_2"/>
      <w:bookmarkStart w:id="1724" w:name="Tc_5CnB2Chdo0K3JOraUPAmlg_4_0"/>
      <w:bookmarkStart w:id="1725" w:name="Tc_AYn1rNNoFkGnsViptnu24Q_3_7"/>
      <w:bookmarkStart w:id="1726" w:name="Tc_90ftE9yr_k6zT5HzTvGpwA_3_5"/>
      <w:bookmarkStart w:id="1727" w:name="Tc_9BBx1lDF0kC9xTCoIEnqRA_3_4"/>
      <w:bookmarkStart w:id="1728" w:name="Tc_q-FHTfwTXE6XS6Wq3ozpbg_3_1"/>
      <w:bookmarkStart w:id="1729" w:name="Tc_25fK24vVVEGXhpHzrfOvDQ_3_0"/>
      <w:bookmarkStart w:id="1730" w:name="Tc_MyqrpZGBi0u1ttEY3USSzA_2_0"/>
      <w:bookmarkStart w:id="1731" w:name="Tc_EhOoi9vfhEe8wMxA0Uh7aQ_1_7"/>
      <w:bookmarkStart w:id="1732" w:name="Tc_JNkBv86GDkCyfzAQvS_4Mw_1_4"/>
      <w:bookmarkStart w:id="1733" w:name="Tc_ykMTYeAgWkKiREIcFfsEqA_1_1"/>
      <w:bookmarkStart w:id="1734" w:name="_8cad04dd_50c9_485e_a178_76ecb1080cec"/>
      <w:bookmarkEnd w:id="1681"/>
      <w:bookmarkEnd w:id="1682"/>
      <w:bookmarkEnd w:id="1683"/>
      <w:bookmarkEnd w:id="1684"/>
      <w:bookmarkEnd w:id="1685"/>
      <w:bookmarkEnd w:id="1686"/>
      <w:bookmarkEnd w:id="1687"/>
      <w:bookmarkEnd w:id="1688"/>
      <w:bookmarkEnd w:id="1689"/>
      <w:bookmarkEnd w:id="1690"/>
      <w:bookmarkEnd w:id="1691"/>
      <w:bookmarkEnd w:id="1692"/>
      <w:bookmarkEnd w:id="1693"/>
      <w:bookmarkEnd w:id="1694"/>
      <w:bookmarkEnd w:id="1695"/>
      <w:bookmarkEnd w:id="1696"/>
      <w:bookmarkEnd w:id="1697"/>
      <w:bookmarkEnd w:id="1698"/>
      <w:bookmarkEnd w:id="1699"/>
      <w:bookmarkEnd w:id="1700"/>
      <w:bookmarkEnd w:id="1701"/>
      <w:bookmarkEnd w:id="1702"/>
      <w:bookmarkEnd w:id="1703"/>
      <w:bookmarkEnd w:id="1704"/>
      <w:bookmarkEnd w:id="1705"/>
      <w:bookmarkEnd w:id="1706"/>
      <w:bookmarkEnd w:id="1707"/>
      <w:bookmarkEnd w:id="1708"/>
      <w:bookmarkEnd w:id="1709"/>
      <w:bookmarkEnd w:id="1710"/>
      <w:bookmarkEnd w:id="1711"/>
      <w:bookmarkEnd w:id="1712"/>
      <w:bookmarkEnd w:id="1713"/>
      <w:bookmarkEnd w:id="1714"/>
      <w:bookmarkEnd w:id="1715"/>
      <w:bookmarkEnd w:id="1716"/>
      <w:bookmarkEnd w:id="1717"/>
      <w:bookmarkEnd w:id="1718"/>
      <w:bookmarkEnd w:id="1719"/>
      <w:bookmarkEnd w:id="1720"/>
      <w:bookmarkEnd w:id="1721"/>
      <w:bookmarkEnd w:id="1722"/>
      <w:bookmarkEnd w:id="1723"/>
      <w:bookmarkEnd w:id="1724"/>
      <w:bookmarkEnd w:id="1725"/>
      <w:bookmarkEnd w:id="1726"/>
      <w:bookmarkEnd w:id="1727"/>
      <w:bookmarkEnd w:id="1728"/>
      <w:bookmarkEnd w:id="1729"/>
      <w:bookmarkEnd w:id="1730"/>
      <w:bookmarkEnd w:id="1731"/>
      <w:bookmarkEnd w:id="1732"/>
      <w:bookmarkEnd w:id="1733"/>
      <w:bookmarkEnd w:id="1734"/>
      <w:r>
        <w:rPr>
          <w:rFonts w:ascii="Times New Roman;Times;serif" w:hAnsi="Times New Roman;Times;serif"/>
          <w:sz w:val="20"/>
        </w:rPr>
        <w:t>Information about the Company’s operations in different segments for the six months ended June 30, 2025, is as follows (in thousands):</w:t>
      </w:r>
    </w:p>
    <w:tbl>
      <w:tblPr>
        <w:tblW w:w="10205" w:type="dxa"/>
        <w:jc w:val="left"/>
        <w:tblInd w:w="0" w:type="dxa"/>
        <w:tblLayout w:type="fixed"/>
        <w:tblCellMar>
          <w:top w:w="0" w:type="dxa"/>
          <w:left w:w="0" w:type="dxa"/>
          <w:bottom w:w="0" w:type="dxa"/>
          <w:right w:w="0" w:type="dxa"/>
        </w:tblCellMar>
      </w:tblPr>
      <w:tblGrid>
        <w:gridCol w:w="4724"/>
        <w:gridCol w:w="365"/>
        <w:gridCol w:w="1173"/>
        <w:gridCol w:w="109"/>
        <w:gridCol w:w="747"/>
        <w:gridCol w:w="2031"/>
        <w:gridCol w:w="109"/>
        <w:gridCol w:w="211"/>
        <w:gridCol w:w="736"/>
      </w:tblGrid>
      <w:tr>
        <w:trPr/>
        <w:tc>
          <w:tcPr>
            <w:tcW w:w="4724" w:type="dxa"/>
            <w:tcBorders/>
            <w:vAlign w:val="center"/>
          </w:tcPr>
          <w:p>
            <w:pPr>
              <w:pStyle w:val="TableContents"/>
              <w:bidi w:val="0"/>
              <w:spacing w:before="0" w:after="1"/>
              <w:ind w:left="0" w:right="0" w:hanging="0"/>
              <w:jc w:val="left"/>
              <w:rPr/>
            </w:pPr>
            <w:r>
              <w:rPr/>
              <w:t>​</w:t>
            </w:r>
          </w:p>
        </w:tc>
        <w:tc>
          <w:tcPr>
            <w:tcW w:w="3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231775" cy="175260"/>
                      <wp:effectExtent l="0" t="0" r="0" b="0"/>
                      <wp:wrapNone/>
                      <wp:docPr id="375" name="Frame375"/>
                      <a:graphic xmlns:a="http://schemas.openxmlformats.org/drawingml/2006/main">
                        <a:graphicData uri="http://schemas.microsoft.com/office/word/2010/wordprocessingShape">
                          <wps:wsp>
                            <wps:cNvSpPr txBox="1"/>
                            <wps:spPr>
                              <a:xfrm>
                                <a:off x="0" y="0"/>
                                <a:ext cx="2317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744855" cy="175260"/>
                      <wp:effectExtent l="0" t="0" r="0" b="0"/>
                      <wp:wrapNone/>
                      <wp:docPr id="376" name="Frame376"/>
                      <a:graphic xmlns:a="http://schemas.openxmlformats.org/drawingml/2006/main">
                        <a:graphicData uri="http://schemas.microsoft.com/office/word/2010/wordprocessingShape">
                          <wps:wsp>
                            <wps:cNvSpPr txBox="1"/>
                            <wps:spPr>
                              <a:xfrm>
                                <a:off x="0" y="0"/>
                                <a:ext cx="7448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69215" cy="175260"/>
                      <wp:effectExtent l="0" t="0" r="0" b="0"/>
                      <wp:wrapNone/>
                      <wp:docPr id="377" name="Frame37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474345" cy="175260"/>
                      <wp:effectExtent l="0" t="0" r="0" b="0"/>
                      <wp:wrapNone/>
                      <wp:docPr id="378" name="Frame378"/>
                      <a:graphic xmlns:a="http://schemas.openxmlformats.org/drawingml/2006/main">
                        <a:graphicData uri="http://schemas.microsoft.com/office/word/2010/wordprocessingShape">
                          <wps:wsp>
                            <wps:cNvSpPr txBox="1"/>
                            <wps:spPr>
                              <a:xfrm>
                                <a:off x="0" y="0"/>
                                <a:ext cx="4743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1289685" cy="175260"/>
                      <wp:effectExtent l="0" t="0" r="0" b="0"/>
                      <wp:wrapNone/>
                      <wp:docPr id="379" name="Frame379"/>
                      <a:graphic xmlns:a="http://schemas.openxmlformats.org/drawingml/2006/main">
                        <a:graphicData uri="http://schemas.microsoft.com/office/word/2010/wordprocessingShape">
                          <wps:wsp>
                            <wps:cNvSpPr txBox="1"/>
                            <wps:spPr>
                              <a:xfrm>
                                <a:off x="0" y="0"/>
                                <a:ext cx="1289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69215" cy="175260"/>
                      <wp:effectExtent l="0" t="0" r="0" b="0"/>
                      <wp:wrapNone/>
                      <wp:docPr id="380" name="Frame38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133985" cy="175260"/>
                      <wp:effectExtent l="0" t="0" r="0" b="0"/>
                      <wp:wrapNone/>
                      <wp:docPr id="381" name="Frame38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467360" cy="175260"/>
                      <wp:effectExtent l="0" t="0" r="0" b="0"/>
                      <wp:wrapNone/>
                      <wp:docPr id="382" name="Frame382"/>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724" w:type="dxa"/>
            <w:tcBorders/>
            <w:vAlign w:val="center"/>
          </w:tcPr>
          <w:p>
            <w:pPr>
              <w:pStyle w:val="TableContents"/>
              <w:bidi w:val="0"/>
              <w:spacing w:before="0" w:after="1"/>
              <w:ind w:left="0" w:right="0" w:hanging="0"/>
              <w:jc w:val="left"/>
              <w:rPr/>
            </w:pPr>
            <w:r>
              <w:rPr/>
              <w:t>​</w:t>
            </w:r>
          </w:p>
        </w:tc>
        <w:tc>
          <w:tcPr>
            <w:tcW w:w="153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Income Properties</w:t>
            </w:r>
          </w:p>
        </w:tc>
        <w:tc>
          <w:tcPr>
            <w:tcW w:w="109" w:type="dxa"/>
            <w:tcBorders/>
            <w:vAlign w:val="center"/>
          </w:tcPr>
          <w:p>
            <w:pPr>
              <w:pStyle w:val="TableContents"/>
              <w:bidi w:val="0"/>
              <w:spacing w:before="0" w:after="1"/>
              <w:ind w:left="0" w:right="0" w:hanging="0"/>
              <w:jc w:val="center"/>
              <w:rPr/>
            </w:pPr>
            <w:r>
              <w:rPr/>
              <w:t>​</w:t>
            </w:r>
          </w:p>
        </w:tc>
        <w:tc>
          <w:tcPr>
            <w:tcW w:w="277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Commercial Loans and Investments</w:t>
            </w:r>
          </w:p>
        </w:tc>
        <w:tc>
          <w:tcPr>
            <w:tcW w:w="109" w:type="dxa"/>
            <w:tcBorders/>
            <w:vAlign w:val="center"/>
          </w:tcPr>
          <w:p>
            <w:pPr>
              <w:pStyle w:val="TableContents"/>
              <w:bidi w:val="0"/>
              <w:spacing w:before="0" w:after="1"/>
              <w:ind w:left="0" w:right="0" w:hanging="0"/>
              <w:jc w:val="center"/>
              <w:rPr/>
            </w:pPr>
            <w:r>
              <w:rPr/>
              <w:t>​</w:t>
            </w:r>
          </w:p>
        </w:tc>
        <w:tc>
          <w:tcPr>
            <w:tcW w:w="9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Total</w:t>
            </w:r>
          </w:p>
        </w:tc>
      </w:tr>
      <w:tr>
        <w:trPr/>
        <w:tc>
          <w:tcPr>
            <w:tcW w:w="472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Revenues:</w:t>
            </w:r>
          </w:p>
        </w:tc>
        <w:tc>
          <w:tcPr>
            <w:tcW w:w="365" w:type="dxa"/>
            <w:tcBorders/>
            <w:shd w:fill="CCEEFF" w:val="clear"/>
            <w:vAlign w:val="center"/>
          </w:tcPr>
          <w:p>
            <w:pPr>
              <w:pStyle w:val="TableContents"/>
              <w:bidi w:val="0"/>
              <w:spacing w:before="0" w:after="1"/>
              <w:ind w:left="0" w:right="0" w:hanging="0"/>
              <w:jc w:val="center"/>
              <w:rPr/>
            </w:pPr>
            <w:r>
              <w:rPr/>
              <w:t>​</w:t>
            </w:r>
          </w:p>
        </w:tc>
        <w:tc>
          <w:tcPr>
            <w:tcW w:w="1173" w:type="dxa"/>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center"/>
              <w:rPr/>
            </w:pPr>
            <w:r>
              <w:rPr/>
              <w:t>​</w:t>
            </w:r>
          </w:p>
        </w:tc>
        <w:tc>
          <w:tcPr>
            <w:tcW w:w="747" w:type="dxa"/>
            <w:tcBorders/>
            <w:shd w:fill="CCEEFF" w:val="clear"/>
            <w:vAlign w:val="center"/>
          </w:tcPr>
          <w:p>
            <w:pPr>
              <w:pStyle w:val="TableContents"/>
              <w:bidi w:val="0"/>
              <w:spacing w:before="0" w:after="1"/>
              <w:ind w:left="0" w:right="0" w:hanging="0"/>
              <w:jc w:val="center"/>
              <w:rPr/>
            </w:pPr>
            <w:r>
              <w:rPr/>
              <w:t>​</w:t>
            </w:r>
          </w:p>
        </w:tc>
        <w:tc>
          <w:tcPr>
            <w:tcW w:w="2031" w:type="dxa"/>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736" w:type="dxa"/>
            <w:tcBorders/>
            <w:shd w:fill="CCEEFF" w:val="clear"/>
            <w:vAlign w:val="center"/>
          </w:tcPr>
          <w:p>
            <w:pPr>
              <w:pStyle w:val="TableContents"/>
              <w:bidi w:val="0"/>
              <w:spacing w:before="0" w:after="1"/>
              <w:ind w:left="0" w:right="0" w:hanging="0"/>
              <w:jc w:val="center"/>
              <w:rPr/>
            </w:pPr>
            <w:r>
              <w:rPr/>
              <w:t>​</w:t>
            </w:r>
          </w:p>
        </w:tc>
      </w:tr>
      <w:tr>
        <w:trPr/>
        <w:tc>
          <w:tcPr>
            <w:tcW w:w="472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Lease Income</w:t>
            </w:r>
          </w:p>
        </w:tc>
        <w:tc>
          <w:tcPr>
            <w:tcW w:w="365"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117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23,848</w:t>
            </w:r>
          </w:p>
        </w:tc>
        <w:tc>
          <w:tcPr>
            <w:tcW w:w="109" w:type="dxa"/>
            <w:tcBorders/>
            <w:vAlign w:val="center"/>
          </w:tcPr>
          <w:p>
            <w:pPr>
              <w:pStyle w:val="TableContents"/>
              <w:bidi w:val="0"/>
              <w:spacing w:before="0" w:after="1"/>
              <w:ind w:left="0" w:right="0" w:hanging="0"/>
              <w:jc w:val="right"/>
              <w:rPr/>
            </w:pPr>
            <w:r>
              <w:rPr/>
              <w:t>​</w:t>
            </w:r>
          </w:p>
        </w:tc>
        <w:tc>
          <w:tcPr>
            <w:tcW w:w="747"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203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23,848</w:t>
            </w:r>
          </w:p>
        </w:tc>
      </w:tr>
      <w:tr>
        <w:trPr/>
        <w:tc>
          <w:tcPr>
            <w:tcW w:w="472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Income from Commercial Loans and Investments</w:t>
            </w:r>
          </w:p>
        </w:tc>
        <w:tc>
          <w:tcPr>
            <w:tcW w:w="36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17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74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20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5,038</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5,038</w:t>
            </w:r>
          </w:p>
        </w:tc>
      </w:tr>
      <w:tr>
        <w:trPr/>
        <w:tc>
          <w:tcPr>
            <w:tcW w:w="472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Revenues for Reportable Segments</w:t>
            </w:r>
          </w:p>
        </w:tc>
        <w:tc>
          <w:tcPr>
            <w:tcW w:w="365" w:type="dxa"/>
            <w:tcBorders/>
            <w:vAlign w:val="center"/>
          </w:tcPr>
          <w:p>
            <w:pPr>
              <w:pStyle w:val="TableContents"/>
              <w:bidi w:val="0"/>
              <w:spacing w:before="0" w:after="1"/>
              <w:ind w:left="0" w:right="0" w:hanging="0"/>
              <w:jc w:val="right"/>
              <w:rPr/>
            </w:pPr>
            <w:r>
              <w:rPr/>
              <w:t>​</w:t>
            </w:r>
          </w:p>
        </w:tc>
        <w:tc>
          <w:tcPr>
            <w:tcW w:w="117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23,848</w:t>
            </w:r>
          </w:p>
        </w:tc>
        <w:tc>
          <w:tcPr>
            <w:tcW w:w="109" w:type="dxa"/>
            <w:tcBorders/>
            <w:vAlign w:val="center"/>
          </w:tcPr>
          <w:p>
            <w:pPr>
              <w:pStyle w:val="TableContents"/>
              <w:bidi w:val="0"/>
              <w:spacing w:before="0" w:after="1"/>
              <w:ind w:left="0" w:right="0" w:hanging="0"/>
              <w:jc w:val="right"/>
              <w:rPr/>
            </w:pPr>
            <w:r>
              <w:rPr/>
              <w:t>​</w:t>
            </w:r>
          </w:p>
        </w:tc>
        <w:tc>
          <w:tcPr>
            <w:tcW w:w="747" w:type="dxa"/>
            <w:tcBorders/>
            <w:vAlign w:val="center"/>
          </w:tcPr>
          <w:p>
            <w:pPr>
              <w:pStyle w:val="TableContents"/>
              <w:bidi w:val="0"/>
              <w:spacing w:before="0" w:after="1"/>
              <w:ind w:left="0" w:right="0" w:hanging="0"/>
              <w:jc w:val="right"/>
              <w:rPr/>
            </w:pPr>
            <w:r>
              <w:rPr/>
              <w:t>​</w:t>
            </w:r>
          </w:p>
        </w:tc>
        <w:tc>
          <w:tcPr>
            <w:tcW w:w="20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5,038</w:t>
            </w:r>
          </w:p>
        </w:tc>
        <w:tc>
          <w:tcPr>
            <w:tcW w:w="109"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right"/>
              <w:rPr/>
            </w:pPr>
            <w:r>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28,886</w:t>
            </w:r>
          </w:p>
        </w:tc>
      </w:tr>
      <w:tr>
        <w:trPr/>
        <w:tc>
          <w:tcPr>
            <w:tcW w:w="4724" w:type="dxa"/>
            <w:tcBorders/>
            <w:shd w:fill="CCEEFF" w:val="clear"/>
            <w:vAlign w:val="center"/>
          </w:tcPr>
          <w:p>
            <w:pPr>
              <w:pStyle w:val="TableContents"/>
              <w:bidi w:val="0"/>
              <w:spacing w:before="0" w:after="1"/>
              <w:ind w:left="0" w:right="0" w:hanging="0"/>
              <w:jc w:val="left"/>
              <w:rPr/>
            </w:pPr>
            <w:r>
              <w:rPr/>
              <w:t>​</w:t>
            </w:r>
          </w:p>
        </w:tc>
        <w:tc>
          <w:tcPr>
            <w:tcW w:w="365" w:type="dxa"/>
            <w:tcBorders/>
            <w:shd w:fill="CCEEFF" w:val="clear"/>
            <w:vAlign w:val="center"/>
          </w:tcPr>
          <w:p>
            <w:pPr>
              <w:pStyle w:val="TableContents"/>
              <w:bidi w:val="0"/>
              <w:spacing w:before="0" w:after="1"/>
              <w:ind w:left="0" w:right="0" w:hanging="0"/>
              <w:jc w:val="right"/>
              <w:rPr/>
            </w:pPr>
            <w:r>
              <w:rPr/>
              <w:t>​</w:t>
            </w:r>
          </w:p>
        </w:tc>
        <w:tc>
          <w:tcPr>
            <w:tcW w:w="1173"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747" w:type="dxa"/>
            <w:tcBorders/>
            <w:shd w:fill="CCEEFF" w:val="clear"/>
            <w:vAlign w:val="center"/>
          </w:tcPr>
          <w:p>
            <w:pPr>
              <w:pStyle w:val="TableContents"/>
              <w:bidi w:val="0"/>
              <w:spacing w:before="0" w:after="1"/>
              <w:ind w:left="0" w:right="0" w:hanging="0"/>
              <w:jc w:val="right"/>
              <w:rPr/>
            </w:pPr>
            <w:r>
              <w:rPr/>
              <w:t>​</w:t>
            </w:r>
          </w:p>
        </w:tc>
        <w:tc>
          <w:tcPr>
            <w:tcW w:w="203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736" w:type="dxa"/>
            <w:tcBorders/>
            <w:shd w:fill="CCEEFF" w:val="clear"/>
            <w:vAlign w:val="center"/>
          </w:tcPr>
          <w:p>
            <w:pPr>
              <w:pStyle w:val="TableContents"/>
              <w:bidi w:val="0"/>
              <w:spacing w:before="0" w:after="1"/>
              <w:ind w:left="0" w:right="0" w:hanging="0"/>
              <w:jc w:val="right"/>
              <w:rPr/>
            </w:pPr>
            <w:r>
              <w:rPr/>
              <w:t>​</w:t>
            </w:r>
          </w:p>
        </w:tc>
      </w:tr>
      <w:tr>
        <w:trPr/>
        <w:tc>
          <w:tcPr>
            <w:tcW w:w="4724" w:type="dxa"/>
            <w:tcBorders/>
            <w:vAlign w:val="center"/>
          </w:tcPr>
          <w:p>
            <w:pPr>
              <w:pStyle w:val="TableContents"/>
              <w:bidi w:val="0"/>
              <w:spacing w:before="0" w:after="1"/>
              <w:ind w:left="0" w:right="0" w:hanging="0"/>
              <w:jc w:val="left"/>
              <w:rPr>
                <w:rFonts w:ascii="Times New Roman;Times;serif" w:hAnsi="Times New Roman;Times;serif"/>
                <w:i/>
                <w:sz w:val="20"/>
              </w:rPr>
            </w:pPr>
            <w:r>
              <w:rPr>
                <w:rFonts w:ascii="Times New Roman;Times;serif" w:hAnsi="Times New Roman;Times;serif"/>
                <w:i/>
                <w:sz w:val="20"/>
              </w:rPr>
              <w:t>Reconciliation to Consolidated Revenues</w:t>
            </w:r>
          </w:p>
        </w:tc>
        <w:tc>
          <w:tcPr>
            <w:tcW w:w="365" w:type="dxa"/>
            <w:tcBorders/>
            <w:vAlign w:val="center"/>
          </w:tcPr>
          <w:p>
            <w:pPr>
              <w:pStyle w:val="TableContents"/>
              <w:bidi w:val="0"/>
              <w:spacing w:before="0" w:after="1"/>
              <w:ind w:left="0" w:right="0" w:hanging="0"/>
              <w:jc w:val="right"/>
              <w:rPr/>
            </w:pPr>
            <w:r>
              <w:rPr/>
              <w:t>​</w:t>
            </w:r>
          </w:p>
        </w:tc>
        <w:tc>
          <w:tcPr>
            <w:tcW w:w="1173"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747" w:type="dxa"/>
            <w:tcBorders/>
            <w:vAlign w:val="center"/>
          </w:tcPr>
          <w:p>
            <w:pPr>
              <w:pStyle w:val="TableContents"/>
              <w:bidi w:val="0"/>
              <w:spacing w:before="0" w:after="1"/>
              <w:ind w:left="0" w:right="0" w:hanging="0"/>
              <w:jc w:val="right"/>
              <w:rPr/>
            </w:pPr>
            <w:r>
              <w:rPr/>
              <w:t>​</w:t>
            </w:r>
          </w:p>
        </w:tc>
        <w:tc>
          <w:tcPr>
            <w:tcW w:w="203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right"/>
              <w:rPr/>
            </w:pPr>
            <w:r>
              <w:rPr/>
              <w:t>​</w:t>
            </w:r>
          </w:p>
        </w:tc>
        <w:tc>
          <w:tcPr>
            <w:tcW w:w="736" w:type="dxa"/>
            <w:tcBorders/>
            <w:vAlign w:val="center"/>
          </w:tcPr>
          <w:p>
            <w:pPr>
              <w:pStyle w:val="TableContents"/>
              <w:bidi w:val="0"/>
              <w:spacing w:before="0" w:after="1"/>
              <w:ind w:left="0" w:right="0" w:hanging="0"/>
              <w:jc w:val="right"/>
              <w:rPr/>
            </w:pPr>
            <w:r>
              <w:rPr/>
              <w:t>​</w:t>
            </w:r>
          </w:p>
        </w:tc>
      </w:tr>
      <w:tr>
        <w:trPr/>
        <w:tc>
          <w:tcPr>
            <w:tcW w:w="472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Revenues</w:t>
            </w:r>
          </w:p>
        </w:tc>
        <w:tc>
          <w:tcPr>
            <w:tcW w:w="365" w:type="dxa"/>
            <w:tcBorders/>
            <w:shd w:fill="CCEEFF" w:val="clear"/>
            <w:vAlign w:val="center"/>
          </w:tcPr>
          <w:p>
            <w:pPr>
              <w:pStyle w:val="TableContents"/>
              <w:bidi w:val="0"/>
              <w:spacing w:before="0" w:after="1"/>
              <w:ind w:left="0" w:right="0" w:hanging="0"/>
              <w:jc w:val="right"/>
              <w:rPr/>
            </w:pPr>
            <w:r>
              <w:rPr/>
              <w:t>​</w:t>
            </w:r>
          </w:p>
        </w:tc>
        <w:tc>
          <w:tcPr>
            <w:tcW w:w="1173"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747" w:type="dxa"/>
            <w:tcBorders/>
            <w:shd w:fill="CCEEFF" w:val="clear"/>
            <w:vAlign w:val="center"/>
          </w:tcPr>
          <w:p>
            <w:pPr>
              <w:pStyle w:val="TableContents"/>
              <w:bidi w:val="0"/>
              <w:spacing w:before="0" w:after="1"/>
              <w:ind w:left="0" w:right="0" w:hanging="0"/>
              <w:jc w:val="right"/>
              <w:rPr/>
            </w:pPr>
            <w:r>
              <w:rPr/>
              <w:t>​</w:t>
            </w:r>
          </w:p>
        </w:tc>
        <w:tc>
          <w:tcPr>
            <w:tcW w:w="203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183</w:t>
            </w:r>
          </w:p>
        </w:tc>
      </w:tr>
      <w:tr>
        <w:trPr/>
        <w:tc>
          <w:tcPr>
            <w:tcW w:w="472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Consolidated Revenues</w:t>
            </w:r>
          </w:p>
        </w:tc>
        <w:tc>
          <w:tcPr>
            <w:tcW w:w="365" w:type="dxa"/>
            <w:tcBorders/>
            <w:vAlign w:val="center"/>
          </w:tcPr>
          <w:p>
            <w:pPr>
              <w:pStyle w:val="TableContents"/>
              <w:bidi w:val="0"/>
              <w:spacing w:before="0" w:after="1"/>
              <w:ind w:left="0" w:right="0" w:hanging="0"/>
              <w:jc w:val="right"/>
              <w:rPr/>
            </w:pPr>
            <w:r>
              <w:rPr/>
              <w:t>​</w:t>
            </w:r>
          </w:p>
        </w:tc>
        <w:tc>
          <w:tcPr>
            <w:tcW w:w="1173"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747" w:type="dxa"/>
            <w:tcBorders/>
            <w:vAlign w:val="center"/>
          </w:tcPr>
          <w:p>
            <w:pPr>
              <w:pStyle w:val="TableContents"/>
              <w:bidi w:val="0"/>
              <w:spacing w:before="0" w:after="1"/>
              <w:ind w:left="0" w:right="0" w:hanging="0"/>
              <w:jc w:val="right"/>
              <w:rPr/>
            </w:pPr>
            <w:r>
              <w:rPr/>
              <w:t>​</w:t>
            </w:r>
          </w:p>
        </w:tc>
        <w:tc>
          <w:tcPr>
            <w:tcW w:w="203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7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29,069</w:t>
            </w:r>
          </w:p>
        </w:tc>
      </w:tr>
      <w:tr>
        <w:trPr/>
        <w:tc>
          <w:tcPr>
            <w:tcW w:w="4724" w:type="dxa"/>
            <w:tcBorders/>
            <w:shd w:fill="CCEEFF" w:val="clear"/>
            <w:vAlign w:val="center"/>
          </w:tcPr>
          <w:p>
            <w:pPr>
              <w:pStyle w:val="TableContents"/>
              <w:bidi w:val="0"/>
              <w:spacing w:before="0" w:after="1"/>
              <w:ind w:left="0" w:right="0" w:hanging="0"/>
              <w:jc w:val="left"/>
              <w:rPr/>
            </w:pPr>
            <w:r>
              <w:rPr/>
              <w:t>​</w:t>
            </w:r>
          </w:p>
        </w:tc>
        <w:tc>
          <w:tcPr>
            <w:tcW w:w="365" w:type="dxa"/>
            <w:tcBorders/>
            <w:shd w:fill="CCEEFF" w:val="clear"/>
            <w:vAlign w:val="center"/>
          </w:tcPr>
          <w:p>
            <w:pPr>
              <w:pStyle w:val="TableContents"/>
              <w:bidi w:val="0"/>
              <w:spacing w:before="0" w:after="1"/>
              <w:ind w:left="0" w:right="0" w:hanging="0"/>
              <w:jc w:val="right"/>
              <w:rPr/>
            </w:pPr>
            <w:r>
              <w:rPr/>
              <w:t>​</w:t>
            </w:r>
          </w:p>
        </w:tc>
        <w:tc>
          <w:tcPr>
            <w:tcW w:w="1173"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747" w:type="dxa"/>
            <w:tcBorders/>
            <w:shd w:fill="CCEEFF" w:val="clear"/>
            <w:vAlign w:val="center"/>
          </w:tcPr>
          <w:p>
            <w:pPr>
              <w:pStyle w:val="TableContents"/>
              <w:bidi w:val="0"/>
              <w:spacing w:before="0" w:after="1"/>
              <w:ind w:left="0" w:right="0" w:hanging="0"/>
              <w:jc w:val="right"/>
              <w:rPr/>
            </w:pPr>
            <w:r>
              <w:rPr/>
              <w:t>​</w:t>
            </w:r>
          </w:p>
        </w:tc>
        <w:tc>
          <w:tcPr>
            <w:tcW w:w="203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736" w:type="dxa"/>
            <w:tcBorders/>
            <w:shd w:fill="CCEEFF" w:val="clear"/>
            <w:vAlign w:val="center"/>
          </w:tcPr>
          <w:p>
            <w:pPr>
              <w:pStyle w:val="TableContents"/>
              <w:bidi w:val="0"/>
              <w:spacing w:before="0" w:after="1"/>
              <w:ind w:left="0" w:right="0" w:hanging="0"/>
              <w:jc w:val="right"/>
              <w:rPr/>
            </w:pPr>
            <w:r>
              <w:rPr/>
              <w:t>​</w:t>
            </w:r>
          </w:p>
        </w:tc>
      </w:tr>
      <w:tr>
        <w:trPr/>
        <w:tc>
          <w:tcPr>
            <w:tcW w:w="472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365" w:type="dxa"/>
            <w:tcBorders/>
            <w:vAlign w:val="center"/>
          </w:tcPr>
          <w:p>
            <w:pPr>
              <w:pStyle w:val="TableContents"/>
              <w:bidi w:val="0"/>
              <w:spacing w:before="0" w:after="1"/>
              <w:ind w:left="0" w:right="0" w:hanging="0"/>
              <w:jc w:val="center"/>
              <w:rPr/>
            </w:pPr>
            <w:r>
              <w:rPr/>
              <w:t>​</w:t>
            </w:r>
          </w:p>
        </w:tc>
        <w:tc>
          <w:tcPr>
            <w:tcW w:w="1173"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747" w:type="dxa"/>
            <w:tcBorders/>
            <w:vAlign w:val="center"/>
          </w:tcPr>
          <w:p>
            <w:pPr>
              <w:pStyle w:val="TableContents"/>
              <w:bidi w:val="0"/>
              <w:spacing w:before="0" w:after="1"/>
              <w:ind w:left="0" w:right="0" w:hanging="0"/>
              <w:jc w:val="center"/>
              <w:rPr/>
            </w:pPr>
            <w:r>
              <w:rPr/>
              <w:t>​</w:t>
            </w:r>
          </w:p>
        </w:tc>
        <w:tc>
          <w:tcPr>
            <w:tcW w:w="203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736" w:type="dxa"/>
            <w:tcBorders/>
            <w:vAlign w:val="center"/>
          </w:tcPr>
          <w:p>
            <w:pPr>
              <w:pStyle w:val="TableContents"/>
              <w:bidi w:val="0"/>
              <w:spacing w:before="0" w:after="1"/>
              <w:ind w:left="0" w:right="0" w:hanging="0"/>
              <w:jc w:val="right"/>
              <w:rPr/>
            </w:pPr>
            <w:r>
              <w:rPr/>
              <w:t>​</w:t>
            </w:r>
          </w:p>
        </w:tc>
      </w:tr>
      <w:tr>
        <w:trPr/>
        <w:tc>
          <w:tcPr>
            <w:tcW w:w="472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Real Estate Expenses</w:t>
            </w:r>
          </w:p>
        </w:tc>
        <w:tc>
          <w:tcPr>
            <w:tcW w:w="365" w:type="dxa"/>
            <w:tcBorders>
              <w:bottom w:val="single" w:sz="2" w:space="0" w:color="000000"/>
            </w:tcBorders>
            <w:shd w:fill="CCEEFF" w:val="clear"/>
            <w:tcMar>
              <w:bottom w:w="28" w:type="dxa"/>
            </w:tcMar>
            <w:vAlign w:val="center"/>
          </w:tcPr>
          <w:p>
            <w:pPr>
              <w:pStyle w:val="TableContents"/>
              <w:bidi w:val="0"/>
              <w:spacing w:before="0" w:after="1"/>
              <w:ind w:left="0" w:right="0" w:hanging="0"/>
              <w:jc w:val="center"/>
              <w:rPr/>
            </w:pPr>
            <w:r>
              <w:rPr/>
              <w:t>​</w:t>
            </w:r>
          </w:p>
        </w:tc>
        <w:tc>
          <w:tcPr>
            <w:tcW w:w="117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4,139</w:t>
            </w:r>
          </w:p>
        </w:tc>
        <w:tc>
          <w:tcPr>
            <w:tcW w:w="109" w:type="dxa"/>
            <w:tcBorders/>
            <w:shd w:fill="CCEEFF" w:val="clear"/>
            <w:vAlign w:val="center"/>
          </w:tcPr>
          <w:p>
            <w:pPr>
              <w:pStyle w:val="TableContents"/>
              <w:bidi w:val="0"/>
              <w:spacing w:before="0" w:after="1"/>
              <w:ind w:left="0" w:right="0" w:hanging="0"/>
              <w:jc w:val="left"/>
              <w:rPr/>
            </w:pPr>
            <w:r>
              <w:rPr/>
              <w:t>​</w:t>
            </w:r>
          </w:p>
        </w:tc>
        <w:tc>
          <w:tcPr>
            <w:tcW w:w="747" w:type="dxa"/>
            <w:tcBorders>
              <w:bottom w:val="single" w:sz="2" w:space="0" w:color="000000"/>
            </w:tcBorders>
            <w:shd w:fill="CCEEFF" w:val="clear"/>
            <w:tcMar>
              <w:bottom w:w="28" w:type="dxa"/>
            </w:tcMar>
            <w:vAlign w:val="center"/>
          </w:tcPr>
          <w:p>
            <w:pPr>
              <w:pStyle w:val="TableContents"/>
              <w:bidi w:val="0"/>
              <w:spacing w:before="0" w:after="1"/>
              <w:ind w:left="0" w:right="0" w:hanging="0"/>
              <w:jc w:val="center"/>
              <w:rPr/>
            </w:pPr>
            <w:r>
              <w:rPr/>
              <w:t>​</w:t>
            </w:r>
          </w:p>
        </w:tc>
        <w:tc>
          <w:tcPr>
            <w:tcW w:w="20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center"/>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4,139</w:t>
            </w:r>
          </w:p>
        </w:tc>
      </w:tr>
      <w:tr>
        <w:trPr/>
        <w:tc>
          <w:tcPr>
            <w:tcW w:w="472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Revenues Less Direct Costs of Revenues</w:t>
            </w:r>
          </w:p>
        </w:tc>
        <w:tc>
          <w:tcPr>
            <w:tcW w:w="365" w:type="dxa"/>
            <w:tcBorders/>
            <w:vAlign w:val="center"/>
          </w:tcPr>
          <w:p>
            <w:pPr>
              <w:pStyle w:val="TableContents"/>
              <w:bidi w:val="0"/>
              <w:spacing w:before="0" w:after="1"/>
              <w:ind w:left="0" w:right="0" w:hanging="0"/>
              <w:jc w:val="center"/>
              <w:rPr/>
            </w:pPr>
            <w:r>
              <w:rPr/>
              <w:t>​</w:t>
            </w:r>
          </w:p>
        </w:tc>
        <w:tc>
          <w:tcPr>
            <w:tcW w:w="117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19,709</w:t>
            </w:r>
          </w:p>
        </w:tc>
        <w:tc>
          <w:tcPr>
            <w:tcW w:w="109" w:type="dxa"/>
            <w:tcBorders/>
            <w:vAlign w:val="center"/>
          </w:tcPr>
          <w:p>
            <w:pPr>
              <w:pStyle w:val="TableContents"/>
              <w:bidi w:val="0"/>
              <w:spacing w:before="0" w:after="1"/>
              <w:ind w:left="0" w:right="0" w:hanging="0"/>
              <w:jc w:val="left"/>
              <w:rPr/>
            </w:pPr>
            <w:r>
              <w:rPr/>
              <w:t>​</w:t>
            </w:r>
          </w:p>
        </w:tc>
        <w:tc>
          <w:tcPr>
            <w:tcW w:w="747" w:type="dxa"/>
            <w:tcBorders/>
            <w:vAlign w:val="center"/>
          </w:tcPr>
          <w:p>
            <w:pPr>
              <w:pStyle w:val="TableContents"/>
              <w:bidi w:val="0"/>
              <w:spacing w:before="0" w:after="1"/>
              <w:ind w:left="0" w:right="0" w:hanging="0"/>
              <w:jc w:val="center"/>
              <w:rPr/>
            </w:pPr>
            <w:r>
              <w:rPr/>
              <w:t>​</w:t>
            </w:r>
          </w:p>
        </w:tc>
        <w:tc>
          <w:tcPr>
            <w:tcW w:w="20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5,038</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24,747</w:t>
            </w:r>
          </w:p>
        </w:tc>
      </w:tr>
      <w:tr>
        <w:trPr/>
        <w:tc>
          <w:tcPr>
            <w:tcW w:w="472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Provision for Impairment</w:t>
            </w:r>
          </w:p>
        </w:tc>
        <w:tc>
          <w:tcPr>
            <w:tcW w:w="365" w:type="dxa"/>
            <w:tcBorders/>
            <w:shd w:fill="CCEEFF" w:val="clear"/>
            <w:vAlign w:val="center"/>
          </w:tcPr>
          <w:p>
            <w:pPr>
              <w:pStyle w:val="TableContents"/>
              <w:bidi w:val="0"/>
              <w:spacing w:before="0" w:after="1"/>
              <w:ind w:left="0" w:right="0" w:hanging="0"/>
              <w:jc w:val="center"/>
              <w:rPr/>
            </w:pPr>
            <w:r>
              <w:rPr/>
              <w:t>​</w:t>
            </w:r>
          </w:p>
        </w:tc>
        <w:tc>
          <w:tcPr>
            <w:tcW w:w="117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4,640</w:t>
            </w:r>
          </w:p>
        </w:tc>
        <w:tc>
          <w:tcPr>
            <w:tcW w:w="109" w:type="dxa"/>
            <w:tcBorders/>
            <w:shd w:fill="CCEEFF" w:val="clear"/>
            <w:vAlign w:val="center"/>
          </w:tcPr>
          <w:p>
            <w:pPr>
              <w:pStyle w:val="TableContents"/>
              <w:bidi w:val="0"/>
              <w:spacing w:before="0" w:after="1"/>
              <w:ind w:left="0" w:right="0" w:hanging="0"/>
              <w:jc w:val="left"/>
              <w:rPr/>
            </w:pPr>
            <w:r>
              <w:rPr/>
              <w:t>​</w:t>
            </w:r>
          </w:p>
        </w:tc>
        <w:tc>
          <w:tcPr>
            <w:tcW w:w="747" w:type="dxa"/>
            <w:tcBorders/>
            <w:shd w:fill="CCEEFF" w:val="clear"/>
            <w:vAlign w:val="center"/>
          </w:tcPr>
          <w:p>
            <w:pPr>
              <w:pStyle w:val="TableContents"/>
              <w:bidi w:val="0"/>
              <w:spacing w:before="0" w:after="1"/>
              <w:ind w:left="0" w:right="0" w:hanging="0"/>
              <w:jc w:val="center"/>
              <w:rPr/>
            </w:pPr>
            <w:r>
              <w:rPr/>
              <w:t>​</w:t>
            </w:r>
          </w:p>
        </w:tc>
        <w:tc>
          <w:tcPr>
            <w:tcW w:w="20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194</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4,834</w:t>
            </w:r>
          </w:p>
        </w:tc>
      </w:tr>
      <w:tr>
        <w:trPr/>
        <w:tc>
          <w:tcPr>
            <w:tcW w:w="472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65"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117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14,012</w:t>
            </w:r>
          </w:p>
        </w:tc>
        <w:tc>
          <w:tcPr>
            <w:tcW w:w="109" w:type="dxa"/>
            <w:tcBorders/>
            <w:vAlign w:val="center"/>
          </w:tcPr>
          <w:p>
            <w:pPr>
              <w:pStyle w:val="TableContents"/>
              <w:bidi w:val="0"/>
              <w:spacing w:before="0" w:after="1"/>
              <w:ind w:left="0" w:right="0" w:hanging="0"/>
              <w:jc w:val="left"/>
              <w:rPr/>
            </w:pPr>
            <w:r>
              <w:rPr/>
              <w:t>​</w:t>
            </w:r>
          </w:p>
        </w:tc>
        <w:tc>
          <w:tcPr>
            <w:tcW w:w="747"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203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7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14,012</w:t>
            </w:r>
          </w:p>
        </w:tc>
      </w:tr>
      <w:tr>
        <w:trPr/>
        <w:tc>
          <w:tcPr>
            <w:tcW w:w="472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Revenues Less Operating Expenses for Reportable Segments</w:t>
            </w:r>
          </w:p>
        </w:tc>
        <w:tc>
          <w:tcPr>
            <w:tcW w:w="365" w:type="dxa"/>
            <w:tcBorders/>
            <w:shd w:fill="CCEEFF" w:val="clear"/>
            <w:vAlign w:val="center"/>
          </w:tcPr>
          <w:p>
            <w:pPr>
              <w:pStyle w:val="TableContents"/>
              <w:bidi w:val="0"/>
              <w:spacing w:before="0" w:after="1"/>
              <w:ind w:left="0" w:right="0" w:hanging="0"/>
              <w:jc w:val="center"/>
              <w:rPr/>
            </w:pPr>
            <w:r>
              <w:rPr/>
              <w:t>​</w:t>
            </w:r>
          </w:p>
        </w:tc>
        <w:tc>
          <w:tcPr>
            <w:tcW w:w="117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1,057</w:t>
            </w:r>
          </w:p>
        </w:tc>
        <w:tc>
          <w:tcPr>
            <w:tcW w:w="109" w:type="dxa"/>
            <w:tcBorders/>
            <w:shd w:fill="CCEEFF" w:val="clear"/>
            <w:vAlign w:val="center"/>
          </w:tcPr>
          <w:p>
            <w:pPr>
              <w:pStyle w:val="TableContents"/>
              <w:bidi w:val="0"/>
              <w:spacing w:before="0" w:after="1"/>
              <w:ind w:left="0" w:right="0" w:hanging="0"/>
              <w:jc w:val="left"/>
              <w:rPr/>
            </w:pPr>
            <w:r>
              <w:rPr/>
              <w:t>​</w:t>
            </w:r>
          </w:p>
        </w:tc>
        <w:tc>
          <w:tcPr>
            <w:tcW w:w="747" w:type="dxa"/>
            <w:tcBorders/>
            <w:shd w:fill="CCEEFF" w:val="clear"/>
            <w:vAlign w:val="center"/>
          </w:tcPr>
          <w:p>
            <w:pPr>
              <w:pStyle w:val="TableContents"/>
              <w:bidi w:val="0"/>
              <w:spacing w:before="0" w:after="1"/>
              <w:ind w:left="0" w:right="0" w:hanging="0"/>
              <w:jc w:val="center"/>
              <w:rPr/>
            </w:pPr>
            <w:r>
              <w:rPr/>
              <w:t>​</w:t>
            </w:r>
          </w:p>
        </w:tc>
        <w:tc>
          <w:tcPr>
            <w:tcW w:w="20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4,844</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5,901</w:t>
            </w:r>
          </w:p>
        </w:tc>
      </w:tr>
      <w:tr>
        <w:trPr/>
        <w:tc>
          <w:tcPr>
            <w:tcW w:w="472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Gain on Disposition of Assets</w:t>
            </w:r>
          </w:p>
        </w:tc>
        <w:tc>
          <w:tcPr>
            <w:tcW w:w="365"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117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2,089</w:t>
            </w:r>
          </w:p>
        </w:tc>
        <w:tc>
          <w:tcPr>
            <w:tcW w:w="109" w:type="dxa"/>
            <w:tcBorders/>
            <w:vAlign w:val="center"/>
          </w:tcPr>
          <w:p>
            <w:pPr>
              <w:pStyle w:val="TableContents"/>
              <w:bidi w:val="0"/>
              <w:spacing w:before="0" w:after="1"/>
              <w:ind w:left="0" w:right="0" w:hanging="0"/>
              <w:jc w:val="left"/>
              <w:rPr/>
            </w:pPr>
            <w:r>
              <w:rPr/>
              <w:t>​</w:t>
            </w:r>
          </w:p>
        </w:tc>
        <w:tc>
          <w:tcPr>
            <w:tcW w:w="747"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203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7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2,089</w:t>
            </w:r>
          </w:p>
        </w:tc>
      </w:tr>
      <w:tr>
        <w:trPr/>
        <w:tc>
          <w:tcPr>
            <w:tcW w:w="472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 From Operations for Reportable Segments</w:t>
            </w:r>
          </w:p>
        </w:tc>
        <w:tc>
          <w:tcPr>
            <w:tcW w:w="365" w:type="dxa"/>
            <w:tcBorders/>
            <w:shd w:fill="CCEEFF" w:val="clear"/>
            <w:vAlign w:val="center"/>
          </w:tcPr>
          <w:p>
            <w:pPr>
              <w:pStyle w:val="TableContents"/>
              <w:bidi w:val="0"/>
              <w:spacing w:before="0" w:after="1"/>
              <w:ind w:left="0" w:right="0" w:hanging="0"/>
              <w:jc w:val="center"/>
              <w:rPr/>
            </w:pPr>
            <w:r>
              <w:rPr/>
              <w:t>​</w:t>
            </w:r>
          </w:p>
        </w:tc>
        <w:tc>
          <w:tcPr>
            <w:tcW w:w="117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3,146</w:t>
            </w:r>
          </w:p>
        </w:tc>
        <w:tc>
          <w:tcPr>
            <w:tcW w:w="109" w:type="dxa"/>
            <w:tcBorders/>
            <w:shd w:fill="CCEEFF" w:val="clear"/>
            <w:vAlign w:val="center"/>
          </w:tcPr>
          <w:p>
            <w:pPr>
              <w:pStyle w:val="TableContents"/>
              <w:bidi w:val="0"/>
              <w:spacing w:before="0" w:after="1"/>
              <w:ind w:left="0" w:right="0" w:hanging="0"/>
              <w:jc w:val="left"/>
              <w:rPr/>
            </w:pPr>
            <w:r>
              <w:rPr/>
              <w:t>​</w:t>
            </w:r>
          </w:p>
        </w:tc>
        <w:tc>
          <w:tcPr>
            <w:tcW w:w="747" w:type="dxa"/>
            <w:tcBorders/>
            <w:shd w:fill="CCEEFF" w:val="clear"/>
            <w:vAlign w:val="center"/>
          </w:tcPr>
          <w:p>
            <w:pPr>
              <w:pStyle w:val="TableContents"/>
              <w:bidi w:val="0"/>
              <w:spacing w:before="0" w:after="1"/>
              <w:ind w:left="0" w:right="0" w:hanging="0"/>
              <w:jc w:val="center"/>
              <w:rPr/>
            </w:pPr>
            <w:r>
              <w:rPr/>
              <w:t>​</w:t>
            </w:r>
          </w:p>
        </w:tc>
        <w:tc>
          <w:tcPr>
            <w:tcW w:w="20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4,844</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7,990</w:t>
            </w:r>
          </w:p>
        </w:tc>
      </w:tr>
      <w:tr>
        <w:trPr/>
        <w:tc>
          <w:tcPr>
            <w:tcW w:w="4724" w:type="dxa"/>
            <w:tcBorders/>
            <w:vAlign w:val="center"/>
          </w:tcPr>
          <w:p>
            <w:pPr>
              <w:pStyle w:val="TableContents"/>
              <w:bidi w:val="0"/>
              <w:spacing w:before="0" w:after="1"/>
              <w:ind w:left="0" w:right="0" w:hanging="0"/>
              <w:jc w:val="left"/>
              <w:rPr/>
            </w:pPr>
            <w:r>
              <w:rPr/>
              <w:t>​</w:t>
            </w:r>
          </w:p>
        </w:tc>
        <w:tc>
          <w:tcPr>
            <w:tcW w:w="365" w:type="dxa"/>
            <w:tcBorders/>
            <w:vAlign w:val="center"/>
          </w:tcPr>
          <w:p>
            <w:pPr>
              <w:pStyle w:val="TableContents"/>
              <w:bidi w:val="0"/>
              <w:spacing w:before="0" w:after="1"/>
              <w:ind w:left="0" w:right="0" w:hanging="0"/>
              <w:jc w:val="center"/>
              <w:rPr/>
            </w:pPr>
            <w:r>
              <w:rPr/>
              <w:t>​</w:t>
            </w:r>
          </w:p>
        </w:tc>
        <w:tc>
          <w:tcPr>
            <w:tcW w:w="1173"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747" w:type="dxa"/>
            <w:tcBorders/>
            <w:vAlign w:val="center"/>
          </w:tcPr>
          <w:p>
            <w:pPr>
              <w:pStyle w:val="TableContents"/>
              <w:bidi w:val="0"/>
              <w:spacing w:before="0" w:after="1"/>
              <w:ind w:left="0" w:right="0" w:hanging="0"/>
              <w:jc w:val="center"/>
              <w:rPr/>
            </w:pPr>
            <w:r>
              <w:rPr/>
              <w:t>​</w:t>
            </w:r>
          </w:p>
        </w:tc>
        <w:tc>
          <w:tcPr>
            <w:tcW w:w="203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736" w:type="dxa"/>
            <w:tcBorders/>
            <w:vAlign w:val="center"/>
          </w:tcPr>
          <w:p>
            <w:pPr>
              <w:pStyle w:val="TableContents"/>
              <w:bidi w:val="0"/>
              <w:spacing w:before="0" w:after="1"/>
              <w:ind w:left="0" w:right="0" w:hanging="0"/>
              <w:jc w:val="right"/>
              <w:rPr/>
            </w:pPr>
            <w:r>
              <w:rPr/>
              <w:t>​</w:t>
            </w:r>
          </w:p>
        </w:tc>
      </w:tr>
      <w:tr>
        <w:trPr/>
        <w:tc>
          <w:tcPr>
            <w:tcW w:w="4724" w:type="dxa"/>
            <w:tcBorders/>
            <w:shd w:fill="CCEEFF" w:val="clear"/>
            <w:vAlign w:val="center"/>
          </w:tcPr>
          <w:p>
            <w:pPr>
              <w:pStyle w:val="TableContents"/>
              <w:bidi w:val="0"/>
              <w:spacing w:before="0" w:after="1"/>
              <w:ind w:left="0" w:right="0" w:hanging="0"/>
              <w:jc w:val="left"/>
              <w:rPr>
                <w:rFonts w:ascii="Times New Roman;Times;serif" w:hAnsi="Times New Roman;Times;serif"/>
                <w:i/>
                <w:sz w:val="20"/>
              </w:rPr>
            </w:pPr>
            <w:r>
              <w:rPr>
                <w:rFonts w:ascii="Times New Roman;Times;serif" w:hAnsi="Times New Roman;Times;serif"/>
                <w:i/>
                <w:sz w:val="20"/>
              </w:rPr>
              <w:t>Reconciliation to Consolidated Net Loss</w:t>
            </w:r>
          </w:p>
        </w:tc>
        <w:tc>
          <w:tcPr>
            <w:tcW w:w="365" w:type="dxa"/>
            <w:tcBorders/>
            <w:shd w:fill="CCEEFF" w:val="clear"/>
            <w:vAlign w:val="center"/>
          </w:tcPr>
          <w:p>
            <w:pPr>
              <w:pStyle w:val="TableContents"/>
              <w:bidi w:val="0"/>
              <w:spacing w:before="0" w:after="1"/>
              <w:ind w:left="0" w:right="0" w:hanging="0"/>
              <w:jc w:val="center"/>
              <w:rPr/>
            </w:pPr>
            <w:r>
              <w:rPr/>
              <w:t>​</w:t>
            </w:r>
          </w:p>
        </w:tc>
        <w:tc>
          <w:tcPr>
            <w:tcW w:w="1173"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747" w:type="dxa"/>
            <w:tcBorders/>
            <w:shd w:fill="CCEEFF" w:val="clear"/>
            <w:vAlign w:val="center"/>
          </w:tcPr>
          <w:p>
            <w:pPr>
              <w:pStyle w:val="TableContents"/>
              <w:bidi w:val="0"/>
              <w:spacing w:before="0" w:after="1"/>
              <w:ind w:left="0" w:right="0" w:hanging="0"/>
              <w:jc w:val="center"/>
              <w:rPr/>
            </w:pPr>
            <w:r>
              <w:rPr/>
              <w:t>​</w:t>
            </w:r>
          </w:p>
        </w:tc>
        <w:tc>
          <w:tcPr>
            <w:tcW w:w="203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736" w:type="dxa"/>
            <w:tcBorders/>
            <w:shd w:fill="CCEEFF" w:val="clear"/>
            <w:vAlign w:val="center"/>
          </w:tcPr>
          <w:p>
            <w:pPr>
              <w:pStyle w:val="TableContents"/>
              <w:bidi w:val="0"/>
              <w:spacing w:before="0" w:after="1"/>
              <w:ind w:left="0" w:right="0" w:hanging="0"/>
              <w:jc w:val="right"/>
              <w:rPr/>
            </w:pPr>
            <w:r>
              <w:rPr/>
              <w:t>​</w:t>
            </w:r>
          </w:p>
        </w:tc>
      </w:tr>
      <w:tr>
        <w:trPr/>
        <w:tc>
          <w:tcPr>
            <w:tcW w:w="472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Revenues</w:t>
            </w:r>
          </w:p>
        </w:tc>
        <w:tc>
          <w:tcPr>
            <w:tcW w:w="365" w:type="dxa"/>
            <w:tcBorders/>
            <w:vAlign w:val="center"/>
          </w:tcPr>
          <w:p>
            <w:pPr>
              <w:pStyle w:val="TableContents"/>
              <w:bidi w:val="0"/>
              <w:spacing w:before="0" w:after="1"/>
              <w:ind w:left="0" w:right="0" w:hanging="0"/>
              <w:jc w:val="center"/>
              <w:rPr/>
            </w:pPr>
            <w:r>
              <w:rPr/>
              <w:t>​</w:t>
            </w:r>
          </w:p>
        </w:tc>
        <w:tc>
          <w:tcPr>
            <w:tcW w:w="1173"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747" w:type="dxa"/>
            <w:tcBorders/>
            <w:vAlign w:val="center"/>
          </w:tcPr>
          <w:p>
            <w:pPr>
              <w:pStyle w:val="TableContents"/>
              <w:bidi w:val="0"/>
              <w:spacing w:before="0" w:after="1"/>
              <w:ind w:left="0" w:right="0" w:hanging="0"/>
              <w:jc w:val="center"/>
              <w:rPr/>
            </w:pPr>
            <w:r>
              <w:rPr/>
              <w:t>​</w:t>
            </w:r>
          </w:p>
        </w:tc>
        <w:tc>
          <w:tcPr>
            <w:tcW w:w="203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183</w:t>
            </w:r>
          </w:p>
        </w:tc>
      </w:tr>
      <w:tr>
        <w:trPr/>
        <w:tc>
          <w:tcPr>
            <w:tcW w:w="472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General and Administrative Expenses</w:t>
            </w:r>
          </w:p>
        </w:tc>
        <w:tc>
          <w:tcPr>
            <w:tcW w:w="365" w:type="dxa"/>
            <w:tcBorders/>
            <w:shd w:fill="CCEEFF" w:val="clear"/>
            <w:vAlign w:val="center"/>
          </w:tcPr>
          <w:p>
            <w:pPr>
              <w:pStyle w:val="TableContents"/>
              <w:bidi w:val="0"/>
              <w:spacing w:before="0" w:after="1"/>
              <w:ind w:left="0" w:right="0" w:hanging="0"/>
              <w:jc w:val="right"/>
              <w:rPr/>
            </w:pPr>
            <w:r>
              <w:rPr/>
              <w:t>​</w:t>
            </w:r>
          </w:p>
        </w:tc>
        <w:tc>
          <w:tcPr>
            <w:tcW w:w="1173"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747" w:type="dxa"/>
            <w:tcBorders/>
            <w:shd w:fill="CCEEFF" w:val="clear"/>
            <w:vAlign w:val="center"/>
          </w:tcPr>
          <w:p>
            <w:pPr>
              <w:pStyle w:val="TableContents"/>
              <w:bidi w:val="0"/>
              <w:spacing w:before="0" w:after="1"/>
              <w:ind w:left="0" w:right="0" w:hanging="0"/>
              <w:jc w:val="right"/>
              <w:rPr/>
            </w:pPr>
            <w:r>
              <w:rPr/>
              <w:t>​</w:t>
            </w:r>
          </w:p>
        </w:tc>
        <w:tc>
          <w:tcPr>
            <w:tcW w:w="203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(3,413)</w:t>
            </w:r>
          </w:p>
        </w:tc>
      </w:tr>
      <w:tr>
        <w:trPr/>
        <w:tc>
          <w:tcPr>
            <w:tcW w:w="472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Investment and Other Income</w:t>
            </w:r>
          </w:p>
        </w:tc>
        <w:tc>
          <w:tcPr>
            <w:tcW w:w="365" w:type="dxa"/>
            <w:tcBorders/>
            <w:vAlign w:val="center"/>
          </w:tcPr>
          <w:p>
            <w:pPr>
              <w:pStyle w:val="TableContents"/>
              <w:bidi w:val="0"/>
              <w:spacing w:before="0" w:after="1"/>
              <w:ind w:left="0" w:right="0" w:hanging="0"/>
              <w:jc w:val="right"/>
              <w:rPr/>
            </w:pPr>
            <w:r>
              <w:rPr/>
              <w:t>​</w:t>
            </w:r>
          </w:p>
        </w:tc>
        <w:tc>
          <w:tcPr>
            <w:tcW w:w="1173"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747" w:type="dxa"/>
            <w:tcBorders/>
            <w:vAlign w:val="center"/>
          </w:tcPr>
          <w:p>
            <w:pPr>
              <w:pStyle w:val="TableContents"/>
              <w:bidi w:val="0"/>
              <w:spacing w:before="0" w:after="1"/>
              <w:ind w:left="0" w:right="0" w:hanging="0"/>
              <w:jc w:val="right"/>
              <w:rPr/>
            </w:pPr>
            <w:r>
              <w:rPr/>
              <w:t>​</w:t>
            </w:r>
          </w:p>
        </w:tc>
        <w:tc>
          <w:tcPr>
            <w:tcW w:w="203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right"/>
              <w:rPr/>
            </w:pPr>
            <w:r>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w:t>
            </w:r>
          </w:p>
        </w:tc>
      </w:tr>
      <w:tr>
        <w:trPr/>
        <w:tc>
          <w:tcPr>
            <w:tcW w:w="472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65" w:type="dxa"/>
            <w:tcBorders/>
            <w:shd w:fill="CCEEFF" w:val="clear"/>
            <w:vAlign w:val="center"/>
          </w:tcPr>
          <w:p>
            <w:pPr>
              <w:pStyle w:val="TableContents"/>
              <w:bidi w:val="0"/>
              <w:spacing w:before="0" w:after="1"/>
              <w:ind w:left="0" w:right="0" w:hanging="0"/>
              <w:jc w:val="right"/>
              <w:rPr/>
            </w:pPr>
            <w:r>
              <w:rPr/>
              <w:t>​</w:t>
            </w:r>
          </w:p>
        </w:tc>
        <w:tc>
          <w:tcPr>
            <w:tcW w:w="1173"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747" w:type="dxa"/>
            <w:tcBorders/>
            <w:shd w:fill="CCEEFF" w:val="clear"/>
            <w:vAlign w:val="center"/>
          </w:tcPr>
          <w:p>
            <w:pPr>
              <w:pStyle w:val="TableContents"/>
              <w:bidi w:val="0"/>
              <w:spacing w:before="0" w:after="1"/>
              <w:ind w:left="0" w:right="0" w:hanging="0"/>
              <w:jc w:val="right"/>
              <w:rPr/>
            </w:pPr>
            <w:r>
              <w:rPr/>
              <w:t>​</w:t>
            </w:r>
          </w:p>
        </w:tc>
        <w:tc>
          <w:tcPr>
            <w:tcW w:w="203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(7,912)</w:t>
            </w:r>
          </w:p>
        </w:tc>
      </w:tr>
      <w:tr>
        <w:trPr/>
        <w:tc>
          <w:tcPr>
            <w:tcW w:w="472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Consolidated Net Loss</w:t>
            </w:r>
          </w:p>
        </w:tc>
        <w:tc>
          <w:tcPr>
            <w:tcW w:w="365" w:type="dxa"/>
            <w:tcBorders/>
            <w:vAlign w:val="center"/>
          </w:tcPr>
          <w:p>
            <w:pPr>
              <w:pStyle w:val="TableContents"/>
              <w:bidi w:val="0"/>
              <w:spacing w:before="0" w:after="1"/>
              <w:ind w:left="0" w:right="0" w:hanging="0"/>
              <w:jc w:val="right"/>
              <w:rPr/>
            </w:pPr>
            <w:r>
              <w:rPr/>
              <w:t>​</w:t>
            </w:r>
          </w:p>
        </w:tc>
        <w:tc>
          <w:tcPr>
            <w:tcW w:w="1173"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747" w:type="dxa"/>
            <w:tcBorders/>
            <w:vAlign w:val="center"/>
          </w:tcPr>
          <w:p>
            <w:pPr>
              <w:pStyle w:val="TableContents"/>
              <w:bidi w:val="0"/>
              <w:spacing w:before="0" w:after="1"/>
              <w:ind w:left="0" w:right="0" w:hanging="0"/>
              <w:jc w:val="right"/>
              <w:rPr/>
            </w:pPr>
            <w:r>
              <w:rPr/>
              <w:t>​</w:t>
            </w:r>
          </w:p>
        </w:tc>
        <w:tc>
          <w:tcPr>
            <w:tcW w:w="203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7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(3,060)</w:t>
            </w:r>
          </w:p>
        </w:tc>
      </w:tr>
    </w:tbl>
    <w:p>
      <w:pPr>
        <w:pStyle w:val="TextBody"/>
        <w:bidi w:val="0"/>
        <w:spacing w:before="0" w:after="240"/>
        <w:ind w:left="0" w:right="0" w:firstLine="36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Capital expenditures of each segment for the three and six months ended June 30, 2026 and 2025 are as follows (in thousands):</w:t>
      </w:r>
    </w:p>
    <w:tbl>
      <w:tblPr>
        <w:tblW w:w="8488" w:type="dxa"/>
        <w:jc w:val="left"/>
        <w:tblInd w:w="0" w:type="dxa"/>
        <w:tblLayout w:type="fixed"/>
        <w:tblCellMar>
          <w:top w:w="0" w:type="dxa"/>
          <w:left w:w="0" w:type="dxa"/>
          <w:bottom w:w="0" w:type="dxa"/>
          <w:right w:w="0" w:type="dxa"/>
        </w:tblCellMar>
      </w:tblPr>
      <w:tblGrid>
        <w:gridCol w:w="3016"/>
        <w:gridCol w:w="303"/>
        <w:gridCol w:w="972"/>
        <w:gridCol w:w="109"/>
        <w:gridCol w:w="303"/>
        <w:gridCol w:w="972"/>
        <w:gridCol w:w="109"/>
        <w:gridCol w:w="271"/>
        <w:gridCol w:w="1004"/>
        <w:gridCol w:w="109"/>
        <w:gridCol w:w="277"/>
        <w:gridCol w:w="1043"/>
      </w:tblGrid>
      <w:tr>
        <w:trPr/>
        <w:tc>
          <w:tcPr>
            <w:tcW w:w="3016"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192405" cy="175260"/>
                      <wp:effectExtent l="0" t="0" r="0" b="0"/>
                      <wp:wrapNone/>
                      <wp:docPr id="383" name="Frame383"/>
                      <a:graphic xmlns:a="http://schemas.openxmlformats.org/drawingml/2006/main">
                        <a:graphicData uri="http://schemas.microsoft.com/office/word/2010/wordprocessingShape">
                          <wps:wsp>
                            <wps:cNvSpPr txBox="1"/>
                            <wps:spPr>
                              <a:xfrm>
                                <a:off x="0" y="0"/>
                                <a:ext cx="1924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5">
                      <wp:simplePos x="0" y="0"/>
                      <wp:positionH relativeFrom="character">
                        <wp:align>left</wp:align>
                      </wp:positionH>
                      <wp:positionV relativeFrom="line">
                        <wp:posOffset>635</wp:posOffset>
                      </wp:positionV>
                      <wp:extent cx="617220" cy="175260"/>
                      <wp:effectExtent l="0" t="0" r="0" b="0"/>
                      <wp:wrapNone/>
                      <wp:docPr id="384" name="Frame384"/>
                      <a:graphic xmlns:a="http://schemas.openxmlformats.org/drawingml/2006/main">
                        <a:graphicData uri="http://schemas.microsoft.com/office/word/2010/wordprocessingShape">
                          <wps:wsp>
                            <wps:cNvSpPr txBox="1"/>
                            <wps:spPr>
                              <a:xfrm>
                                <a:off x="0" y="0"/>
                                <a:ext cx="6172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6">
                      <wp:simplePos x="0" y="0"/>
                      <wp:positionH relativeFrom="character">
                        <wp:align>left</wp:align>
                      </wp:positionH>
                      <wp:positionV relativeFrom="line">
                        <wp:posOffset>635</wp:posOffset>
                      </wp:positionV>
                      <wp:extent cx="69215" cy="175260"/>
                      <wp:effectExtent l="0" t="0" r="0" b="0"/>
                      <wp:wrapNone/>
                      <wp:docPr id="385" name="Frame38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192405" cy="175260"/>
                      <wp:effectExtent l="0" t="0" r="0" b="0"/>
                      <wp:wrapNone/>
                      <wp:docPr id="386" name="Frame386"/>
                      <a:graphic xmlns:a="http://schemas.openxmlformats.org/drawingml/2006/main">
                        <a:graphicData uri="http://schemas.microsoft.com/office/word/2010/wordprocessingShape">
                          <wps:wsp>
                            <wps:cNvSpPr txBox="1"/>
                            <wps:spPr>
                              <a:xfrm>
                                <a:off x="0" y="0"/>
                                <a:ext cx="1924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8">
                      <wp:simplePos x="0" y="0"/>
                      <wp:positionH relativeFrom="character">
                        <wp:align>left</wp:align>
                      </wp:positionH>
                      <wp:positionV relativeFrom="line">
                        <wp:posOffset>635</wp:posOffset>
                      </wp:positionV>
                      <wp:extent cx="617220" cy="175260"/>
                      <wp:effectExtent l="0" t="0" r="0" b="0"/>
                      <wp:wrapNone/>
                      <wp:docPr id="387" name="Frame387"/>
                      <a:graphic xmlns:a="http://schemas.openxmlformats.org/drawingml/2006/main">
                        <a:graphicData uri="http://schemas.microsoft.com/office/word/2010/wordprocessingShape">
                          <wps:wsp>
                            <wps:cNvSpPr txBox="1"/>
                            <wps:spPr>
                              <a:xfrm>
                                <a:off x="0" y="0"/>
                                <a:ext cx="6172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9">
                      <wp:simplePos x="0" y="0"/>
                      <wp:positionH relativeFrom="character">
                        <wp:align>left</wp:align>
                      </wp:positionH>
                      <wp:positionV relativeFrom="line">
                        <wp:posOffset>635</wp:posOffset>
                      </wp:positionV>
                      <wp:extent cx="69215" cy="175260"/>
                      <wp:effectExtent l="0" t="0" r="0" b="0"/>
                      <wp:wrapNone/>
                      <wp:docPr id="388" name="Frame38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0">
                      <wp:simplePos x="0" y="0"/>
                      <wp:positionH relativeFrom="character">
                        <wp:align>left</wp:align>
                      </wp:positionH>
                      <wp:positionV relativeFrom="line">
                        <wp:posOffset>635</wp:posOffset>
                      </wp:positionV>
                      <wp:extent cx="172085" cy="175260"/>
                      <wp:effectExtent l="0" t="0" r="0" b="0"/>
                      <wp:wrapNone/>
                      <wp:docPr id="389" name="Frame389"/>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1">
                      <wp:simplePos x="0" y="0"/>
                      <wp:positionH relativeFrom="character">
                        <wp:align>left</wp:align>
                      </wp:positionH>
                      <wp:positionV relativeFrom="line">
                        <wp:posOffset>635</wp:posOffset>
                      </wp:positionV>
                      <wp:extent cx="637540" cy="175260"/>
                      <wp:effectExtent l="0" t="0" r="0" b="0"/>
                      <wp:wrapNone/>
                      <wp:docPr id="390" name="Frame390"/>
                      <a:graphic xmlns:a="http://schemas.openxmlformats.org/drawingml/2006/main">
                        <a:graphicData uri="http://schemas.microsoft.com/office/word/2010/wordprocessingShape">
                          <wps:wsp>
                            <wps:cNvSpPr txBox="1"/>
                            <wps:spPr>
                              <a:xfrm>
                                <a:off x="0" y="0"/>
                                <a:ext cx="6375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2">
                      <wp:simplePos x="0" y="0"/>
                      <wp:positionH relativeFrom="character">
                        <wp:align>left</wp:align>
                      </wp:positionH>
                      <wp:positionV relativeFrom="line">
                        <wp:posOffset>635</wp:posOffset>
                      </wp:positionV>
                      <wp:extent cx="69215" cy="175260"/>
                      <wp:effectExtent l="0" t="0" r="0" b="0"/>
                      <wp:wrapNone/>
                      <wp:docPr id="391" name="Frame39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3">
                      <wp:simplePos x="0" y="0"/>
                      <wp:positionH relativeFrom="character">
                        <wp:align>left</wp:align>
                      </wp:positionH>
                      <wp:positionV relativeFrom="line">
                        <wp:posOffset>635</wp:posOffset>
                      </wp:positionV>
                      <wp:extent cx="175895" cy="175260"/>
                      <wp:effectExtent l="0" t="0" r="0" b="0"/>
                      <wp:wrapNone/>
                      <wp:docPr id="392" name="Frame392"/>
                      <a:graphic xmlns:a="http://schemas.openxmlformats.org/drawingml/2006/main">
                        <a:graphicData uri="http://schemas.microsoft.com/office/word/2010/wordprocessingShape">
                          <wps:wsp>
                            <wps:cNvSpPr txBox="1"/>
                            <wps:spPr>
                              <a:xfrm>
                                <a:off x="0" y="0"/>
                                <a:ext cx="1758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4">
                      <wp:simplePos x="0" y="0"/>
                      <wp:positionH relativeFrom="character">
                        <wp:align>left</wp:align>
                      </wp:positionH>
                      <wp:positionV relativeFrom="line">
                        <wp:posOffset>635</wp:posOffset>
                      </wp:positionV>
                      <wp:extent cx="662305" cy="175260"/>
                      <wp:effectExtent l="0" t="0" r="0" b="0"/>
                      <wp:wrapNone/>
                      <wp:docPr id="393" name="Frame393"/>
                      <a:graphic xmlns:a="http://schemas.openxmlformats.org/drawingml/2006/main">
                        <a:graphicData uri="http://schemas.microsoft.com/office/word/2010/wordprocessingShape">
                          <wps:wsp>
                            <wps:cNvSpPr txBox="1"/>
                            <wps:spPr>
                              <a:xfrm>
                                <a:off x="0" y="0"/>
                                <a:ext cx="6623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16" w:type="dxa"/>
            <w:tcBorders/>
            <w:vAlign w:val="center"/>
          </w:tcPr>
          <w:p>
            <w:pPr>
              <w:pStyle w:val="TableContents"/>
              <w:bidi w:val="0"/>
              <w:spacing w:before="0" w:after="0"/>
              <w:ind w:left="0" w:right="0" w:hanging="0"/>
              <w:jc w:val="left"/>
              <w:rPr/>
            </w:pPr>
            <w:r>
              <w:rPr/>
              <w:t>​</w:t>
            </w:r>
          </w:p>
        </w:tc>
        <w:tc>
          <w:tcPr>
            <w:tcW w:w="265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Three Months Ended</w:t>
            </w:r>
          </w:p>
        </w:tc>
        <w:tc>
          <w:tcPr>
            <w:tcW w:w="109" w:type="dxa"/>
            <w:tcBorders/>
            <w:vAlign w:val="center"/>
          </w:tcPr>
          <w:p>
            <w:pPr>
              <w:pStyle w:val="TableContents"/>
              <w:bidi w:val="0"/>
              <w:spacing w:before="0" w:after="0"/>
              <w:ind w:left="0" w:right="0" w:hanging="0"/>
              <w:jc w:val="center"/>
              <w:rPr/>
            </w:pPr>
            <w:r>
              <w:rPr/>
              <w:t>​</w:t>
            </w:r>
          </w:p>
        </w:tc>
        <w:tc>
          <w:tcPr>
            <w:tcW w:w="270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Six Months Ended</w:t>
            </w:r>
          </w:p>
        </w:tc>
      </w:tr>
      <w:tr>
        <w:trPr/>
        <w:tc>
          <w:tcPr>
            <w:tcW w:w="3016" w:type="dxa"/>
            <w:tcBorders/>
            <w:vAlign w:val="center"/>
          </w:tcPr>
          <w:p>
            <w:pPr>
              <w:pStyle w:val="TableContents"/>
              <w:bidi w:val="0"/>
              <w:spacing w:before="0" w:after="0"/>
              <w:ind w:left="0" w:right="0" w:hanging="0"/>
              <w:jc w:val="left"/>
              <w:rPr/>
            </w:pPr>
            <w:r>
              <w:rPr/>
              <w:t>​</w:t>
            </w:r>
          </w:p>
        </w:tc>
        <w:tc>
          <w:tcPr>
            <w:tcW w:w="12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2026</w:t>
            </w:r>
          </w:p>
        </w:tc>
        <w:tc>
          <w:tcPr>
            <w:tcW w:w="109" w:type="dxa"/>
            <w:tcBorders/>
            <w:vAlign w:val="center"/>
          </w:tcPr>
          <w:p>
            <w:pPr>
              <w:pStyle w:val="TableContents"/>
              <w:bidi w:val="0"/>
              <w:spacing w:before="0" w:after="0"/>
              <w:ind w:left="0" w:right="0" w:hanging="0"/>
              <w:jc w:val="center"/>
              <w:rPr/>
            </w:pPr>
            <w:r>
              <w:rPr/>
              <w:t>​</w:t>
            </w:r>
          </w:p>
        </w:tc>
        <w:tc>
          <w:tcPr>
            <w:tcW w:w="12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2025</w:t>
            </w:r>
          </w:p>
        </w:tc>
        <w:tc>
          <w:tcPr>
            <w:tcW w:w="109" w:type="dxa"/>
            <w:tcBorders/>
            <w:vAlign w:val="center"/>
          </w:tcPr>
          <w:p>
            <w:pPr>
              <w:pStyle w:val="TableContents"/>
              <w:bidi w:val="0"/>
              <w:spacing w:before="0" w:after="0"/>
              <w:ind w:left="0" w:right="0" w:hanging="0"/>
              <w:jc w:val="center"/>
              <w:rPr/>
            </w:pPr>
            <w:r>
              <w:rPr/>
              <w:t>​</w:t>
            </w:r>
          </w:p>
        </w:tc>
        <w:tc>
          <w:tcPr>
            <w:tcW w:w="12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2026</w:t>
            </w:r>
          </w:p>
        </w:tc>
        <w:tc>
          <w:tcPr>
            <w:tcW w:w="109" w:type="dxa"/>
            <w:tcBorders/>
            <w:vAlign w:val="center"/>
          </w:tcPr>
          <w:p>
            <w:pPr>
              <w:pStyle w:val="TableContents"/>
              <w:bidi w:val="0"/>
              <w:spacing w:before="0" w:after="0"/>
              <w:ind w:left="0" w:right="0" w:hanging="0"/>
              <w:jc w:val="center"/>
              <w:rPr/>
            </w:pPr>
            <w:r>
              <w:rPr/>
              <w:t>​</w:t>
            </w:r>
          </w:p>
        </w:tc>
        <w:tc>
          <w:tcPr>
            <w:tcW w:w="13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2025</w:t>
            </w:r>
          </w:p>
        </w:tc>
      </w:tr>
      <w:tr>
        <w:trPr/>
        <w:tc>
          <w:tcPr>
            <w:tcW w:w="301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Capital Expenditures:</w:t>
            </w:r>
          </w:p>
        </w:tc>
        <w:tc>
          <w:tcPr>
            <w:tcW w:w="303" w:type="dxa"/>
            <w:tcBorders/>
            <w:shd w:fill="CCEEFF" w:val="clear"/>
            <w:vAlign w:val="center"/>
          </w:tcPr>
          <w:p>
            <w:pPr>
              <w:pStyle w:val="TableContents"/>
              <w:bidi w:val="0"/>
              <w:spacing w:before="0" w:after="0"/>
              <w:ind w:left="0" w:right="0" w:hanging="0"/>
              <w:jc w:val="left"/>
              <w:rPr/>
            </w:pPr>
            <w:r>
              <w:rPr/>
              <w:t>​</w:t>
            </w:r>
          </w:p>
        </w:tc>
        <w:tc>
          <w:tcPr>
            <w:tcW w:w="972"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pPr>
            <w:r>
              <w:rPr/>
              <w:t>​</w:t>
            </w:r>
          </w:p>
        </w:tc>
        <w:tc>
          <w:tcPr>
            <w:tcW w:w="972"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1004"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77" w:type="dxa"/>
            <w:tcBorders/>
            <w:shd w:fill="CCEEFF" w:val="clear"/>
            <w:vAlign w:val="center"/>
          </w:tcPr>
          <w:p>
            <w:pPr>
              <w:pStyle w:val="TableContents"/>
              <w:bidi w:val="0"/>
              <w:spacing w:before="0" w:after="0"/>
              <w:ind w:left="0" w:right="0" w:hanging="0"/>
              <w:jc w:val="left"/>
              <w:rPr/>
            </w:pPr>
            <w:r>
              <w:rPr/>
              <w:t>​</w:t>
            </w:r>
          </w:p>
        </w:tc>
        <w:tc>
          <w:tcPr>
            <w:tcW w:w="1043" w:type="dxa"/>
            <w:tcBorders/>
            <w:shd w:fill="CCEEFF" w:val="clear"/>
            <w:vAlign w:val="center"/>
          </w:tcPr>
          <w:p>
            <w:pPr>
              <w:pStyle w:val="TableContents"/>
              <w:bidi w:val="0"/>
              <w:spacing w:before="0" w:after="0"/>
              <w:ind w:left="0" w:right="0" w:hanging="0"/>
              <w:jc w:val="left"/>
              <w:rPr/>
            </w:pPr>
            <w:r>
              <w:rPr/>
              <w:t>​</w:t>
            </w:r>
          </w:p>
        </w:tc>
      </w:tr>
      <w:tr>
        <w:trPr/>
        <w:tc>
          <w:tcPr>
            <w:tcW w:w="30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Properties</w:t>
            </w:r>
          </w:p>
        </w:tc>
        <w:tc>
          <w:tcPr>
            <w:tcW w:w="30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9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20,851</w:t>
            </w:r>
          </w:p>
        </w:tc>
        <w:tc>
          <w:tcPr>
            <w:tcW w:w="109" w:type="dxa"/>
            <w:tcBorders/>
            <w:vAlign w:val="center"/>
          </w:tcPr>
          <w:p>
            <w:pPr>
              <w:pStyle w:val="TableContents"/>
              <w:bidi w:val="0"/>
              <w:spacing w:before="0" w:after="0"/>
              <w:ind w:left="0" w:right="0" w:hanging="0"/>
              <w:jc w:val="right"/>
              <w:rPr/>
            </w:pPr>
            <w:r>
              <w:rPr/>
              <w:t>​</w:t>
            </w:r>
          </w:p>
        </w:tc>
        <w:tc>
          <w:tcPr>
            <w:tcW w:w="30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9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351</w:t>
            </w:r>
          </w:p>
        </w:tc>
        <w:tc>
          <w:tcPr>
            <w:tcW w:w="109" w:type="dxa"/>
            <w:tcBorders/>
            <w:vAlign w:val="center"/>
          </w:tcPr>
          <w:p>
            <w:pPr>
              <w:pStyle w:val="TableContents"/>
              <w:bidi w:val="0"/>
              <w:spacing w:before="0" w:after="0"/>
              <w:ind w:left="0" w:right="0" w:hanging="0"/>
              <w:jc w:val="right"/>
              <w:rPr/>
            </w:pPr>
            <w:r>
              <w:rPr/>
              <w:t>​</w:t>
            </w:r>
          </w:p>
        </w:tc>
        <w:tc>
          <w:tcPr>
            <w:tcW w:w="2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100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20,851</w:t>
            </w:r>
          </w:p>
        </w:tc>
        <w:tc>
          <w:tcPr>
            <w:tcW w:w="109" w:type="dxa"/>
            <w:tcBorders/>
            <w:vAlign w:val="center"/>
          </w:tcPr>
          <w:p>
            <w:pPr>
              <w:pStyle w:val="TableContents"/>
              <w:bidi w:val="0"/>
              <w:spacing w:before="0" w:after="0"/>
              <w:ind w:left="0" w:right="0" w:hanging="0"/>
              <w:jc w:val="center"/>
              <w:rPr/>
            </w:pPr>
            <w:r>
              <w:rPr/>
              <w:t>​</w:t>
            </w:r>
          </w:p>
        </w:tc>
        <w:tc>
          <w:tcPr>
            <w:tcW w:w="27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04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40,339</w:t>
            </w:r>
          </w:p>
        </w:tc>
      </w:tr>
      <w:tr>
        <w:trPr/>
        <w:tc>
          <w:tcPr>
            <w:tcW w:w="30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Commercial Loans and Investments</w:t>
            </w:r>
          </w:p>
        </w:tc>
        <w:tc>
          <w:tcPr>
            <w:tcW w:w="303"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97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29,713</w:t>
            </w:r>
          </w:p>
        </w:tc>
        <w:tc>
          <w:tcPr>
            <w:tcW w:w="109" w:type="dxa"/>
            <w:tcBorders/>
            <w:shd w:fill="CCEEFF" w:val="clear"/>
            <w:vAlign w:val="center"/>
          </w:tcPr>
          <w:p>
            <w:pPr>
              <w:pStyle w:val="TableContents"/>
              <w:bidi w:val="0"/>
              <w:spacing w:before="0" w:after="0"/>
              <w:ind w:left="0" w:right="0" w:hanging="0"/>
              <w:jc w:val="right"/>
              <w:rPr/>
            </w:pPr>
            <w:r>
              <w:rPr/>
              <w:t>​</w:t>
            </w:r>
          </w:p>
        </w:tc>
        <w:tc>
          <w:tcPr>
            <w:tcW w:w="30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97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11,715</w:t>
            </w:r>
          </w:p>
        </w:tc>
        <w:tc>
          <w:tcPr>
            <w:tcW w:w="109" w:type="dxa"/>
            <w:tcBorders/>
            <w:shd w:fill="CCEEFF" w:val="clear"/>
            <w:vAlign w:val="center"/>
          </w:tcPr>
          <w:p>
            <w:pPr>
              <w:pStyle w:val="TableContents"/>
              <w:bidi w:val="0"/>
              <w:spacing w:before="0" w:after="0"/>
              <w:ind w:left="0" w:right="0" w:hanging="0"/>
              <w:jc w:val="right"/>
              <w:rPr/>
            </w:pPr>
            <w:r>
              <w:rPr/>
              <w:t>​</w:t>
            </w:r>
          </w:p>
        </w:tc>
        <w:tc>
          <w:tcPr>
            <w:tcW w:w="271"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100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87,242</w:t>
            </w:r>
          </w:p>
        </w:tc>
        <w:tc>
          <w:tcPr>
            <w:tcW w:w="109" w:type="dxa"/>
            <w:tcBorders/>
            <w:shd w:fill="CCEEFF" w:val="clear"/>
            <w:vAlign w:val="center"/>
          </w:tcPr>
          <w:p>
            <w:pPr>
              <w:pStyle w:val="TableContents"/>
              <w:bidi w:val="0"/>
              <w:spacing w:before="0" w:after="0"/>
              <w:ind w:left="0" w:right="0" w:hanging="0"/>
              <w:jc w:val="center"/>
              <w:rPr/>
            </w:pPr>
            <w:r>
              <w:rPr/>
              <w:t>​</w:t>
            </w:r>
          </w:p>
        </w:tc>
        <w:tc>
          <w:tcPr>
            <w:tcW w:w="27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4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33,098</w:t>
            </w:r>
          </w:p>
        </w:tc>
      </w:tr>
      <w:tr>
        <w:trPr/>
        <w:tc>
          <w:tcPr>
            <w:tcW w:w="30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Capital Expenditures</w:t>
            </w:r>
          </w:p>
        </w:tc>
        <w:tc>
          <w:tcPr>
            <w:tcW w:w="303" w:type="dxa"/>
            <w:tcBorders>
              <w:bottom w:val="double" w:sz="6"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97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50,564</w:t>
            </w:r>
          </w:p>
        </w:tc>
        <w:tc>
          <w:tcPr>
            <w:tcW w:w="109" w:type="dxa"/>
            <w:tcBorders/>
            <w:vAlign w:val="center"/>
          </w:tcPr>
          <w:p>
            <w:pPr>
              <w:pStyle w:val="TableContents"/>
              <w:bidi w:val="0"/>
              <w:spacing w:before="0" w:after="0"/>
              <w:ind w:left="0" w:right="0" w:hanging="0"/>
              <w:jc w:val="right"/>
              <w:rPr/>
            </w:pPr>
            <w:r>
              <w:rPr/>
              <w:t>​</w:t>
            </w:r>
          </w:p>
        </w:tc>
        <w:tc>
          <w:tcPr>
            <w:tcW w:w="30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97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12,066</w:t>
            </w:r>
          </w:p>
        </w:tc>
        <w:tc>
          <w:tcPr>
            <w:tcW w:w="109" w:type="dxa"/>
            <w:tcBorders/>
            <w:vAlign w:val="center"/>
          </w:tcPr>
          <w:p>
            <w:pPr>
              <w:pStyle w:val="TableContents"/>
              <w:bidi w:val="0"/>
              <w:spacing w:before="0" w:after="0"/>
              <w:ind w:left="0" w:right="0" w:hanging="0"/>
              <w:jc w:val="right"/>
              <w:rPr/>
            </w:pPr>
            <w:r>
              <w:rPr/>
              <w:t>​</w:t>
            </w:r>
          </w:p>
        </w:tc>
        <w:tc>
          <w:tcPr>
            <w:tcW w:w="271" w:type="dxa"/>
            <w:tcBorders>
              <w:bottom w:val="double" w:sz="6"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100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108,093</w:t>
            </w:r>
          </w:p>
        </w:tc>
        <w:tc>
          <w:tcPr>
            <w:tcW w:w="109" w:type="dxa"/>
            <w:tcBorders/>
            <w:vAlign w:val="center"/>
          </w:tcPr>
          <w:p>
            <w:pPr>
              <w:pStyle w:val="TableContents"/>
              <w:bidi w:val="0"/>
              <w:spacing w:before="0" w:after="0"/>
              <w:ind w:left="0" w:right="0" w:hanging="0"/>
              <w:jc w:val="center"/>
              <w:rPr/>
            </w:pPr>
            <w:r>
              <w:rPr/>
              <w:t>​</w:t>
            </w:r>
          </w:p>
        </w:tc>
        <w:tc>
          <w:tcPr>
            <w:tcW w:w="27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043" w:type="dxa"/>
            <w:tcBorders>
              <w:bottom w:val="double" w:sz="6" w:space="0" w:color="000000"/>
            </w:tcBorders>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73,437</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bookmarkStart w:id="1735" w:name="Tc__dDmvqs4RkuA_Ngwxwqiww_8_5"/>
      <w:bookmarkStart w:id="1736" w:name="Tc_0iGiscP1wk2HDr1taTnz6Q_8_2"/>
      <w:bookmarkStart w:id="1737" w:name="Tc_3GWjrtj5D0S4yNRlifHblQ_8_0"/>
      <w:bookmarkStart w:id="1738" w:name="Tc_eANE62MX9EWQJ6-HeaWRHw_7_0"/>
      <w:bookmarkStart w:id="1739" w:name="Tc_AG0Yohv4pEqXkbwNeRXv1A_6_3"/>
      <w:bookmarkStart w:id="1740" w:name="Tc_tozyLSi-HECcaNJ51WMgWQ_6_0"/>
      <w:bookmarkStart w:id="1741" w:name="Tc_l8wtUbGTiE-BNqSAcJxXtw_5_0"/>
      <w:bookmarkStart w:id="1742" w:name="Tc_qd29oUZjbk6kU0m-_Qxq4Q_4_5"/>
      <w:bookmarkStart w:id="1743" w:name="Tc_CcsA2UBMO0Gze2bM1YZjMw_4_2"/>
      <w:bookmarkStart w:id="1744" w:name="Tc__t14kmkh5kSeCIL9M6YkPQ_4_0"/>
      <w:bookmarkStart w:id="1745" w:name="Tc_qHazEFVsdkuemBdvIQqgdQ_3_0"/>
      <w:bookmarkStart w:id="1746" w:name="Tc_MOJx41v1J0C7EvvoUs2yEw_2_5"/>
      <w:bookmarkStart w:id="1747" w:name="Tc_-TSizgCU4kuM9uA5k72xlg_2_2"/>
      <w:bookmarkStart w:id="1748" w:name="Tc_5Qy4VtDDhUOns0WSQLDQjg_1_2"/>
      <w:bookmarkStart w:id="1749" w:name="_6c0c659d_6ebf_4155_a98d_c909bf6d83ac"/>
      <w:bookmarkEnd w:id="1735"/>
      <w:bookmarkEnd w:id="1736"/>
      <w:bookmarkEnd w:id="1737"/>
      <w:bookmarkEnd w:id="1738"/>
      <w:bookmarkEnd w:id="1739"/>
      <w:bookmarkEnd w:id="1740"/>
      <w:bookmarkEnd w:id="1741"/>
      <w:bookmarkEnd w:id="1742"/>
      <w:bookmarkEnd w:id="1743"/>
      <w:bookmarkEnd w:id="1744"/>
      <w:bookmarkEnd w:id="1745"/>
      <w:bookmarkEnd w:id="1746"/>
      <w:bookmarkEnd w:id="1747"/>
      <w:bookmarkEnd w:id="1748"/>
      <w:bookmarkEnd w:id="1749"/>
      <w:r>
        <w:rPr>
          <w:rFonts w:ascii="Times New Roman;Times;serif" w:hAnsi="Times New Roman;Times;serif"/>
          <w:sz w:val="20"/>
        </w:rPr>
        <w:t>Identifiable assets of each segment as of June 30, 2026 and December 31, 2025 are as follows (in thousands):</w:t>
      </w:r>
    </w:p>
    <w:tbl>
      <w:tblPr>
        <w:tblW w:w="6279" w:type="dxa"/>
        <w:jc w:val="left"/>
        <w:tblInd w:w="0" w:type="dxa"/>
        <w:tblLayout w:type="fixed"/>
        <w:tblCellMar>
          <w:top w:w="0" w:type="dxa"/>
          <w:left w:w="0" w:type="dxa"/>
          <w:bottom w:w="0" w:type="dxa"/>
          <w:right w:w="0" w:type="dxa"/>
        </w:tblCellMar>
      </w:tblPr>
      <w:tblGrid>
        <w:gridCol w:w="3016"/>
        <w:gridCol w:w="109"/>
        <w:gridCol w:w="271"/>
        <w:gridCol w:w="1004"/>
        <w:gridCol w:w="109"/>
        <w:gridCol w:w="336"/>
        <w:gridCol w:w="1434"/>
      </w:tblGrid>
      <w:tr>
        <w:trPr/>
        <w:tc>
          <w:tcPr>
            <w:tcW w:w="301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5">
                      <wp:simplePos x="0" y="0"/>
                      <wp:positionH relativeFrom="character">
                        <wp:align>left</wp:align>
                      </wp:positionH>
                      <wp:positionV relativeFrom="line">
                        <wp:posOffset>635</wp:posOffset>
                      </wp:positionV>
                      <wp:extent cx="172085" cy="175260"/>
                      <wp:effectExtent l="0" t="0" r="0" b="0"/>
                      <wp:wrapNone/>
                      <wp:docPr id="394" name="Frame394"/>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6">
                      <wp:simplePos x="0" y="0"/>
                      <wp:positionH relativeFrom="character">
                        <wp:align>left</wp:align>
                      </wp:positionH>
                      <wp:positionV relativeFrom="line">
                        <wp:posOffset>635</wp:posOffset>
                      </wp:positionV>
                      <wp:extent cx="637540" cy="175260"/>
                      <wp:effectExtent l="0" t="0" r="0" b="0"/>
                      <wp:wrapNone/>
                      <wp:docPr id="395" name="Frame395"/>
                      <a:graphic xmlns:a="http://schemas.openxmlformats.org/drawingml/2006/main">
                        <a:graphicData uri="http://schemas.microsoft.com/office/word/2010/wordprocessingShape">
                          <wps:wsp>
                            <wps:cNvSpPr txBox="1"/>
                            <wps:spPr>
                              <a:xfrm>
                                <a:off x="0" y="0"/>
                                <a:ext cx="6375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7">
                      <wp:simplePos x="0" y="0"/>
                      <wp:positionH relativeFrom="character">
                        <wp:align>left</wp:align>
                      </wp:positionH>
                      <wp:positionV relativeFrom="line">
                        <wp:posOffset>635</wp:posOffset>
                      </wp:positionV>
                      <wp:extent cx="69215" cy="175260"/>
                      <wp:effectExtent l="0" t="0" r="0" b="0"/>
                      <wp:wrapNone/>
                      <wp:docPr id="396" name="Frame39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8">
                      <wp:simplePos x="0" y="0"/>
                      <wp:positionH relativeFrom="character">
                        <wp:align>left</wp:align>
                      </wp:positionH>
                      <wp:positionV relativeFrom="line">
                        <wp:posOffset>635</wp:posOffset>
                      </wp:positionV>
                      <wp:extent cx="213360" cy="175260"/>
                      <wp:effectExtent l="0" t="0" r="0" b="0"/>
                      <wp:wrapNone/>
                      <wp:docPr id="397" name="Frame397"/>
                      <a:graphic xmlns:a="http://schemas.openxmlformats.org/drawingml/2006/main">
                        <a:graphicData uri="http://schemas.microsoft.com/office/word/2010/wordprocessingShape">
                          <wps:wsp>
                            <wps:cNvSpPr txBox="1"/>
                            <wps:spPr>
                              <a:xfrm>
                                <a:off x="0" y="0"/>
                                <a:ext cx="213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9">
                      <wp:simplePos x="0" y="0"/>
                      <wp:positionH relativeFrom="character">
                        <wp:align>left</wp:align>
                      </wp:positionH>
                      <wp:positionV relativeFrom="line">
                        <wp:posOffset>635</wp:posOffset>
                      </wp:positionV>
                      <wp:extent cx="910590" cy="175260"/>
                      <wp:effectExtent l="0" t="0" r="0" b="0"/>
                      <wp:wrapNone/>
                      <wp:docPr id="398" name="Frame398"/>
                      <a:graphic xmlns:a="http://schemas.openxmlformats.org/drawingml/2006/main">
                        <a:graphicData uri="http://schemas.microsoft.com/office/word/2010/wordprocessingShape">
                          <wps:wsp>
                            <wps:cNvSpPr txBox="1"/>
                            <wps:spPr>
                              <a:xfrm>
                                <a:off x="0" y="0"/>
                                <a:ext cx="9105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01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154"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As of</w:t>
            </w:r>
          </w:p>
        </w:tc>
      </w:tr>
      <w:tr>
        <w:trPr/>
        <w:tc>
          <w:tcPr>
            <w:tcW w:w="301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27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June 30, 2026</w:t>
            </w:r>
          </w:p>
        </w:tc>
        <w:tc>
          <w:tcPr>
            <w:tcW w:w="109" w:type="dxa"/>
            <w:tcBorders/>
            <w:vAlign w:val="center"/>
          </w:tcPr>
          <w:p>
            <w:pPr>
              <w:pStyle w:val="TableContents"/>
              <w:bidi w:val="0"/>
              <w:spacing w:before="0" w:after="1"/>
              <w:ind w:left="0" w:right="0" w:hanging="0"/>
              <w:jc w:val="right"/>
              <w:rPr/>
            </w:pPr>
            <w:r>
              <w:rPr/>
              <w:t>​</w:t>
            </w:r>
          </w:p>
        </w:tc>
        <w:tc>
          <w:tcPr>
            <w:tcW w:w="177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 2025</w:t>
            </w:r>
          </w:p>
        </w:tc>
      </w:tr>
      <w:tr>
        <w:trPr/>
        <w:tc>
          <w:tcPr>
            <w:tcW w:w="301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Identifiable Assets:</w:t>
            </w:r>
          </w:p>
        </w:tc>
        <w:tc>
          <w:tcPr>
            <w:tcW w:w="109" w:type="dxa"/>
            <w:tcBorders/>
            <w:shd w:fill="CCEEFF" w:val="clear"/>
            <w:vAlign w:val="center"/>
          </w:tcPr>
          <w:p>
            <w:pPr>
              <w:pStyle w:val="TableContents"/>
              <w:bidi w:val="0"/>
              <w:spacing w:before="0" w:after="1"/>
              <w:ind w:left="0" w:right="0" w:hanging="0"/>
              <w:jc w:val="left"/>
              <w:rPr/>
            </w:pPr>
            <w:r>
              <w:rPr/>
              <w:t>​</w:t>
            </w:r>
          </w:p>
        </w:tc>
        <w:tc>
          <w:tcPr>
            <w:tcW w:w="271" w:type="dxa"/>
            <w:tcBorders/>
            <w:shd w:fill="CCEEFF" w:val="clear"/>
            <w:vAlign w:val="center"/>
          </w:tcPr>
          <w:p>
            <w:pPr>
              <w:pStyle w:val="TableContents"/>
              <w:bidi w:val="0"/>
              <w:spacing w:before="0" w:after="1"/>
              <w:ind w:left="0" w:right="0" w:hanging="0"/>
              <w:jc w:val="left"/>
              <w:rPr/>
            </w:pPr>
            <w:r>
              <w:rPr/>
              <w:t>​</w:t>
            </w:r>
          </w:p>
        </w:tc>
        <w:tc>
          <w:tcPr>
            <w:tcW w:w="1004"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336" w:type="dxa"/>
            <w:tcBorders/>
            <w:shd w:fill="CCEEFF" w:val="clear"/>
            <w:vAlign w:val="center"/>
          </w:tcPr>
          <w:p>
            <w:pPr>
              <w:pStyle w:val="TableContents"/>
              <w:bidi w:val="0"/>
              <w:spacing w:before="0" w:after="1"/>
              <w:ind w:left="0" w:right="0" w:hanging="0"/>
              <w:jc w:val="left"/>
              <w:rPr/>
            </w:pPr>
            <w:r>
              <w:rPr/>
              <w:t>​</w:t>
            </w:r>
          </w:p>
        </w:tc>
        <w:tc>
          <w:tcPr>
            <w:tcW w:w="1434" w:type="dxa"/>
            <w:tcBorders/>
            <w:shd w:fill="CCEEFF" w:val="clear"/>
            <w:vAlign w:val="center"/>
          </w:tcPr>
          <w:p>
            <w:pPr>
              <w:pStyle w:val="TableContents"/>
              <w:bidi w:val="0"/>
              <w:spacing w:before="0" w:after="1"/>
              <w:ind w:left="0" w:right="0" w:hanging="0"/>
              <w:jc w:val="right"/>
              <w:rPr/>
            </w:pPr>
            <w:r>
              <w:rPr/>
              <w:t>​</w:t>
            </w:r>
          </w:p>
        </w:tc>
      </w:tr>
      <w:tr>
        <w:trPr/>
        <w:tc>
          <w:tcPr>
            <w:tcW w:w="30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Properties</w:t>
            </w:r>
          </w:p>
        </w:tc>
        <w:tc>
          <w:tcPr>
            <w:tcW w:w="109" w:type="dxa"/>
            <w:tcBorders/>
            <w:vAlign w:val="center"/>
          </w:tcPr>
          <w:p>
            <w:pPr>
              <w:pStyle w:val="TableContents"/>
              <w:bidi w:val="0"/>
              <w:spacing w:before="0" w:after="1"/>
              <w:ind w:left="0" w:right="0" w:hanging="0"/>
              <w:jc w:val="left"/>
              <w:rPr/>
            </w:pPr>
            <w:r>
              <w:rPr/>
              <w:t>​</w:t>
            </w:r>
          </w:p>
        </w:tc>
        <w:tc>
          <w:tcPr>
            <w:tcW w:w="27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100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507,923</w:t>
            </w:r>
          </w:p>
        </w:tc>
        <w:tc>
          <w:tcPr>
            <w:tcW w:w="109" w:type="dxa"/>
            <w:tcBorders/>
            <w:vAlign w:val="center"/>
          </w:tcPr>
          <w:p>
            <w:pPr>
              <w:pStyle w:val="TableContents"/>
              <w:bidi w:val="0"/>
              <w:spacing w:before="0" w:after="1"/>
              <w:ind w:left="0" w:right="0" w:hanging="0"/>
              <w:jc w:val="right"/>
              <w:rPr/>
            </w:pPr>
            <w:r>
              <w:rPr/>
              <w:t>​</w:t>
            </w:r>
          </w:p>
        </w:tc>
        <w:tc>
          <w:tcPr>
            <w:tcW w:w="33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143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505,273</w:t>
            </w:r>
          </w:p>
        </w:tc>
      </w:tr>
      <w:tr>
        <w:trPr/>
        <w:tc>
          <w:tcPr>
            <w:tcW w:w="30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Commercial Loans and Investments</w:t>
            </w:r>
          </w:p>
        </w:tc>
        <w:tc>
          <w:tcPr>
            <w:tcW w:w="109" w:type="dxa"/>
            <w:tcBorders/>
            <w:shd w:fill="CCEEFF" w:val="clear"/>
            <w:vAlign w:val="center"/>
          </w:tcPr>
          <w:p>
            <w:pPr>
              <w:pStyle w:val="TableContents"/>
              <w:bidi w:val="0"/>
              <w:spacing w:before="0" w:after="1"/>
              <w:ind w:left="0" w:right="0" w:hanging="0"/>
              <w:jc w:val="left"/>
              <w:rPr/>
            </w:pPr>
            <w:r>
              <w:rPr/>
              <w:t>​</w:t>
            </w:r>
          </w:p>
        </w:tc>
        <w:tc>
          <w:tcPr>
            <w:tcW w:w="271" w:type="dxa"/>
            <w:tcBorders/>
            <w:shd w:fill="CCEEFF" w:val="clear"/>
            <w:vAlign w:val="center"/>
          </w:tcPr>
          <w:p>
            <w:pPr>
              <w:pStyle w:val="TableContents"/>
              <w:bidi w:val="0"/>
              <w:spacing w:before="0" w:after="1"/>
              <w:ind w:left="0" w:right="0" w:hanging="0"/>
              <w:jc w:val="left"/>
              <w:rPr/>
            </w:pPr>
            <w:r>
              <w:rPr/>
              <w:t>​</w:t>
            </w:r>
          </w:p>
        </w:tc>
        <w:tc>
          <w:tcPr>
            <w:tcW w:w="100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263,391</w:t>
            </w:r>
          </w:p>
        </w:tc>
        <w:tc>
          <w:tcPr>
            <w:tcW w:w="109" w:type="dxa"/>
            <w:tcBorders/>
            <w:shd w:fill="CCEEFF" w:val="clear"/>
            <w:vAlign w:val="center"/>
          </w:tcPr>
          <w:p>
            <w:pPr>
              <w:pStyle w:val="TableContents"/>
              <w:bidi w:val="0"/>
              <w:spacing w:before="0" w:after="1"/>
              <w:ind w:left="0" w:right="0" w:hanging="0"/>
              <w:jc w:val="left"/>
              <w:rPr/>
            </w:pPr>
            <w:r>
              <w:rPr/>
              <w:t>​</w:t>
            </w:r>
          </w:p>
        </w:tc>
        <w:tc>
          <w:tcPr>
            <w:tcW w:w="336" w:type="dxa"/>
            <w:tcBorders/>
            <w:shd w:fill="CCEEFF" w:val="clear"/>
            <w:vAlign w:val="center"/>
          </w:tcPr>
          <w:p>
            <w:pPr>
              <w:pStyle w:val="TableContents"/>
              <w:bidi w:val="0"/>
              <w:spacing w:before="0" w:after="1"/>
              <w:ind w:left="0" w:right="0" w:hanging="0"/>
              <w:jc w:val="left"/>
              <w:rPr/>
            </w:pPr>
            <w:r>
              <w:rPr/>
              <w:t>​</w:t>
            </w:r>
          </w:p>
        </w:tc>
        <w:tc>
          <w:tcPr>
            <w:tcW w:w="143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182,397</w:t>
            </w:r>
          </w:p>
        </w:tc>
      </w:tr>
      <w:tr>
        <w:trPr/>
        <w:tc>
          <w:tcPr>
            <w:tcW w:w="30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Revenue</w:t>
            </w:r>
          </w:p>
        </w:tc>
        <w:tc>
          <w:tcPr>
            <w:tcW w:w="109" w:type="dxa"/>
            <w:tcBorders/>
            <w:vAlign w:val="center"/>
          </w:tcPr>
          <w:p>
            <w:pPr>
              <w:pStyle w:val="TableContents"/>
              <w:bidi w:val="0"/>
              <w:spacing w:before="0" w:after="1"/>
              <w:ind w:left="0" w:right="0" w:hanging="0"/>
              <w:jc w:val="left"/>
              <w:rPr/>
            </w:pPr>
            <w:r>
              <w:rPr/>
              <w:t>​</w:t>
            </w:r>
          </w:p>
        </w:tc>
        <w:tc>
          <w:tcPr>
            <w:tcW w:w="271" w:type="dxa"/>
            <w:tcBorders/>
            <w:vAlign w:val="center"/>
          </w:tcPr>
          <w:p>
            <w:pPr>
              <w:pStyle w:val="TableContents"/>
              <w:bidi w:val="0"/>
              <w:spacing w:before="0" w:after="1"/>
              <w:ind w:left="0" w:right="0" w:hanging="0"/>
              <w:jc w:val="left"/>
              <w:rPr/>
            </w:pPr>
            <w:r>
              <w:rPr/>
              <w:t>​</w:t>
            </w:r>
          </w:p>
        </w:tc>
        <w:tc>
          <w:tcPr>
            <w:tcW w:w="1004"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336" w:type="dxa"/>
            <w:tcBorders/>
            <w:vAlign w:val="center"/>
          </w:tcPr>
          <w:p>
            <w:pPr>
              <w:pStyle w:val="TableContents"/>
              <w:bidi w:val="0"/>
              <w:spacing w:before="0" w:after="1"/>
              <w:ind w:left="0" w:right="0" w:hanging="0"/>
              <w:jc w:val="left"/>
              <w:rPr/>
            </w:pPr>
            <w:r>
              <w:rPr/>
              <w:t>​</w:t>
            </w:r>
          </w:p>
        </w:tc>
        <w:tc>
          <w:tcPr>
            <w:tcW w:w="143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w:t>
            </w:r>
          </w:p>
        </w:tc>
      </w:tr>
      <w:tr>
        <w:trPr/>
        <w:tc>
          <w:tcPr>
            <w:tcW w:w="30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Corporate and Other</w:t>
            </w:r>
          </w:p>
        </w:tc>
        <w:tc>
          <w:tcPr>
            <w:tcW w:w="109" w:type="dxa"/>
            <w:tcBorders/>
            <w:shd w:fill="CCEEFF" w:val="clear"/>
            <w:vAlign w:val="center"/>
          </w:tcPr>
          <w:p>
            <w:pPr>
              <w:pStyle w:val="TableContents"/>
              <w:bidi w:val="0"/>
              <w:spacing w:before="0" w:after="1"/>
              <w:ind w:left="0" w:right="0" w:hanging="0"/>
              <w:jc w:val="left"/>
              <w:rPr/>
            </w:pPr>
            <w:r>
              <w:rPr/>
              <w:t>​</w:t>
            </w:r>
          </w:p>
        </w:tc>
        <w:tc>
          <w:tcPr>
            <w:tcW w:w="27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0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10,199</w:t>
            </w:r>
          </w:p>
        </w:tc>
        <w:tc>
          <w:tcPr>
            <w:tcW w:w="109" w:type="dxa"/>
            <w:tcBorders/>
            <w:shd w:fill="CCEEFF" w:val="clear"/>
            <w:vAlign w:val="center"/>
          </w:tcPr>
          <w:p>
            <w:pPr>
              <w:pStyle w:val="TableContents"/>
              <w:bidi w:val="0"/>
              <w:spacing w:before="0" w:after="1"/>
              <w:ind w:left="0" w:right="0" w:hanging="0"/>
              <w:jc w:val="left"/>
              <w:rPr/>
            </w:pPr>
            <w:r>
              <w:rPr/>
              <w:t>​</w:t>
            </w:r>
          </w:p>
        </w:tc>
        <w:tc>
          <w:tcPr>
            <w:tcW w:w="33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43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28,157</w:t>
            </w:r>
          </w:p>
        </w:tc>
      </w:tr>
      <w:tr>
        <w:trPr/>
        <w:tc>
          <w:tcPr>
            <w:tcW w:w="30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109" w:type="dxa"/>
            <w:tcBorders/>
            <w:vAlign w:val="center"/>
          </w:tcPr>
          <w:p>
            <w:pPr>
              <w:pStyle w:val="TableContents"/>
              <w:bidi w:val="0"/>
              <w:spacing w:before="0" w:after="1"/>
              <w:ind w:left="0" w:right="0" w:hanging="0"/>
              <w:jc w:val="left"/>
              <w:rPr/>
            </w:pPr>
            <w:r>
              <w:rPr/>
              <w:t>​</w:t>
            </w:r>
          </w:p>
        </w:tc>
        <w:tc>
          <w:tcPr>
            <w:tcW w:w="271" w:type="dxa"/>
            <w:tcBorders>
              <w:bottom w:val="double" w:sz="6"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100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781,513</w:t>
            </w:r>
          </w:p>
        </w:tc>
        <w:tc>
          <w:tcPr>
            <w:tcW w:w="109" w:type="dxa"/>
            <w:tcBorders/>
            <w:vAlign w:val="center"/>
          </w:tcPr>
          <w:p>
            <w:pPr>
              <w:pStyle w:val="TableContents"/>
              <w:bidi w:val="0"/>
              <w:spacing w:before="0" w:after="1"/>
              <w:ind w:left="0" w:right="0" w:hanging="0"/>
              <w:jc w:val="right"/>
              <w:rPr/>
            </w:pPr>
            <w:r>
              <w:rPr/>
              <w:t>​</w:t>
            </w:r>
          </w:p>
        </w:tc>
        <w:tc>
          <w:tcPr>
            <w:tcW w:w="336" w:type="dxa"/>
            <w:tcBorders>
              <w:bottom w:val="double" w:sz="6"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1434" w:type="dxa"/>
            <w:tcBorders>
              <w:bottom w:val="double" w:sz="6" w:space="0" w:color="000000"/>
            </w:tcBorders>
            <w:tcMar>
              <w:bottom w:w="28" w:type="dxa"/>
            </w:tcMar>
            <w:vAlign w:val="center"/>
          </w:tcPr>
          <w:p>
            <w:pPr>
              <w:pStyle w:val="TableContents"/>
              <w:bidi w:val="0"/>
              <w:spacing w:before="0" w:after="1"/>
              <w:ind w:left="0" w:right="72" w:hanging="0"/>
              <w:jc w:val="right"/>
              <w:rPr>
                <w:rFonts w:ascii="Times New Roman;Times;serif" w:hAnsi="Times New Roman;Times;serif"/>
                <w:sz w:val="20"/>
              </w:rPr>
            </w:pPr>
            <w:r>
              <w:rPr>
                <w:rFonts w:ascii="Times New Roman;Times;serif" w:hAnsi="Times New Roman;Times;serif"/>
                <w:sz w:val="20"/>
              </w:rPr>
              <w:t>715,874</w:t>
            </w:r>
          </w:p>
        </w:tc>
      </w:tr>
    </w:tbl>
    <w:p>
      <w:pPr>
        <w:pStyle w:val="TextBody"/>
        <w:bidi w:val="0"/>
        <w:spacing w:before="0" w:after="0"/>
        <w:ind w:left="0" w:right="0" w:hanging="0"/>
        <w:jc w:val="left"/>
        <w:rPr/>
      </w:pPr>
      <w:r>
        <w:rPr/>
        <w:t>​</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Identifiable assets by segment are those assets that are used in the Company’s operations in each segment. Corporate and other assets consist primarily of cash and restricted cash as well as the interest rate swaps.</w:t>
      </w:r>
    </w:p>
    <w:p>
      <w:pPr>
        <w:pStyle w:val="TextBody"/>
        <w:bidi w:val="0"/>
        <w:spacing w:before="0" w:after="240"/>
        <w:ind w:left="0" w:right="0" w:hanging="0"/>
        <w:jc w:val="left"/>
        <w:rPr/>
      </w:pPr>
      <w:r>
        <w:rPr/>
        <w:t>​</w:t>
      </w:r>
    </w:p>
    <w:p>
      <w:pPr>
        <w:pStyle w:val="TextBody"/>
        <w:bidi w:val="0"/>
        <w:spacing w:before="8" w:after="8"/>
        <w:ind w:left="0" w:right="0" w:hanging="0"/>
        <w:jc w:val="left"/>
        <w:rPr>
          <w:rFonts w:ascii="Times New Roman;Times;serif" w:hAnsi="Times New Roman;Times;serif"/>
          <w:b/>
          <w:sz w:val="20"/>
        </w:rPr>
      </w:pPr>
      <w:r>
        <w:rPr>
          <w:rFonts w:ascii="Times New Roman;Times;serif" w:hAnsi="Times New Roman;Times;serif"/>
          <w:b/>
          <w:sz w:val="20"/>
        </w:rPr>
        <w:t>NOTE 22. SUBSEQUENT EVENTS</w:t>
      </w:r>
    </w:p>
    <w:p>
      <w:pPr>
        <w:pStyle w:val="TextBody"/>
        <w:bidi w:val="0"/>
        <w:spacing w:before="0" w:after="240"/>
        <w:ind w:left="0" w:right="0" w:hanging="0"/>
        <w:jc w:val="left"/>
        <w:rPr/>
      </w:pPr>
      <w:r>
        <w:rPr/>
        <w:t>​</w:t>
      </w:r>
    </w:p>
    <w:p>
      <w:pPr>
        <w:pStyle w:val="TextBody"/>
        <w:bidi w:val="0"/>
        <w:spacing w:before="4" w:after="4"/>
        <w:ind w:left="0" w:right="0" w:firstLine="360"/>
        <w:jc w:val="both"/>
        <w:rPr>
          <w:rFonts w:ascii="Times New Roman;Times;serif" w:hAnsi="Times New Roman;Times;serif"/>
          <w:sz w:val="20"/>
        </w:rPr>
      </w:pPr>
      <w:r>
        <w:rPr>
          <w:rFonts w:ascii="Times New Roman;Times;serif" w:hAnsi="Times New Roman;Times;serif"/>
          <w:sz w:val="20"/>
        </w:rPr>
        <w:t>Subsequent events and transactions were evaluated through July 23, 2026, the date the consolidated financial statements were issued. There were no reportable transactions.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bookmarkStart w:id="1750" w:name="ITEM2MANAGEMENTSDISCUSSIONANDANALYSIS"/>
      <w:bookmarkStart w:id="1751" w:name="_b52abb08_e44c_4ebb_b724_f3ce09476778"/>
      <w:bookmarkEnd w:id="1750"/>
      <w:bookmarkEnd w:id="1751"/>
      <w:r>
        <w:rPr>
          <w:rFonts w:ascii="Times New Roman;Times;serif" w:hAnsi="Times New Roman;Times;serif"/>
          <w:b/>
          <w:sz w:val="20"/>
        </w:rPr>
        <w:t>ITEM 2.              MANAGEMENT’S DISCUSSION AND ANALYSIS OF FINANCIAL CONDITION AND RESULTS OF OPERATIONS</w:t>
      </w:r>
      <w:r>
        <w:rPr>
          <w:rFonts w:ascii="Times New Roman;Times;serif" w:hAnsi="Times New Roman;Times;serif"/>
          <w:sz w:val="20"/>
        </w:rPr>
        <w:t xml:space="preserve"> </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i/>
          <w:sz w:val="20"/>
        </w:rPr>
      </w:pPr>
      <w:r>
        <w:rPr>
          <w:rFonts w:ascii="Times New Roman;Times;serif" w:hAnsi="Times New Roman;Times;serif"/>
          <w:i/>
          <w:sz w:val="20"/>
        </w:rPr>
        <w:t>When we refer to “we,” “us,” “our,” or “the Company,” we mean Alpine Income Property Trust, Inc. and its consolidated subsidiaries. References to “Notes to Financial Statements” refer to the Notes to the Consolidated Financial Statements of Alpine Income Property Trust, Inc. included in this Quarterly Report on Form 10-Q. Some of the comments we make in this section are forward-looking statements within the meaning of the federal securities laws. For a discussion of forward-looking statements, see the section below entitled “Special Note Regarding Forward-Looking Statements.” Certain factors that could cause actual results or events to differ materially from those the Company anticipates or projects are described in “Part I, Item 1A. Risk Factors” of the Company’s Annual Report on Form 10-K for the year ended December 31, 2025, and in “Part II, Item 1A. Risk Factors” of this Quarterly Report on Form 10-Q.</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Special Note Regarding Forward-Looking Statements</w:t>
      </w:r>
    </w:p>
    <w:p>
      <w:pPr>
        <w:pStyle w:val="TextBody"/>
        <w:bidi w:val="0"/>
        <w:spacing w:before="0" w:after="0"/>
        <w:ind w:left="0" w:right="0" w:hanging="0"/>
        <w:jc w:val="both"/>
        <w:rPr/>
      </w:pPr>
      <w:r>
        <w:rPr/>
        <w:t>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This Report contains “forward-looking statements” within the meaning of the Private Securities Litigation Reform Act of 1995 (set forth in Section 27A of the Securities Act of 1933, as amended, and Section 21E of the Securities Exchange Act of 1934, as amended (the “Exchange Act”)). The words “believe,” “estimate,” “expect,” “intend,” “anticipate,” “will,” “could,” “may,” “should,” “plan,” “potential,” “predict,” “forecast,” “project,” and similar expressions and variations thereof identify certain of such forward-looking statements, which speak only as of the dates on which they were made. Forward-looking statements are made based upon management’s expectations and beliefs concerning future developments and their potential effect upon the Company. There can be no assurance that future developments will be in accordance with management’s expectations or that the effect of future developments on the Company will be those anticipated by management.</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Because forward-looking statements relate to the future, by their nature, they are subject to inherent uncertainties, risks and changes in circumstances that are difficult to predict. These risks and uncertainties include, but are not limited to, the strength of the real estate market; the impact of a recession or downturn in economic conditions; our ability to successfully execute acquisition or development strategies; credit risk associated with us investing in commercial loans and investments; any loss of key management personnel; changes in local, regional, national and global economic conditions affecting the real estate development business and properties, including unstable macroeconomic conditions due to, among other things, geopolitical conflicts, inflation, higher interest rates, and tariffs and international trade policies; the impact of competitive real estate activity; the loss of any major property tenants; the ultimate geographic spread, severity and duration of pandemics, actions that may be taken by governmental authorities to contain or address the impact of such pandemics, and the potential negative impacts of such pandemics on the global economy and our financial condition and results of operations; and the availability of capital. These risks and uncertainties may cause our actual future results to be materially different than those expressed in our forward-looking statements.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See “Part I, Item 1A. Risk Factors” of the Company’s Annual Report on Form 10-K for the year ended December 31, 2025 and “Part II, Item 1A. Risk Factors” of this Quarterly Report on Form 10-Q for further discussion of these risks, as well as additional risks and uncertainties that could cause actual results or events to differ materially from those described in the Company’s forward-looking statements. Given these risks and uncertainties, readers are cautioned not to place undue reliance on such statements, which speak only as of the date of this Quarterly Report on Form 10-Q. The Company undertakes no obligation to publicly release any revisions to these forward-looking statements that may be made to reflect events or circumstances after the date of this Quarterly Report on Form 10-Q.</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OVERVIEW</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Alpine Income Property Trust, Inc. is a Maryland corporation that conducts its operations so as to qualify as a REIT for U.S. federal income tax purposes. Substantially all of our operations are conducted through our Operating Partnership.</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We seek to acquire, own and operate primarily freestanding, commercial retail real estate properties located in the United States primarily leased pursuant to long-term net leases. We target tenants in industries that we believe are favorably impacted by macroeconomic trends that support consumer spending, stable and growing employment, and positive consumer sentiment, as well as tenants in industries that have demonstrated resistance to the impact of the e-commerce retail sector or who use a physical presence as a component of their omnichannel strategy. We also seek to invest in properties that are net leased to tenants that we believe have attractive credit characteristics, stable operating histories, healthy rent coverage levels, are well-located within their respective markets and/or have rents at-or-below market rent levels. Furthermore, we believe that the size of our company allows us, for at least the near term, to focus our investment activities on the acquisition of single properties or smaller portfolios of properties that represent a transaction size that most of our publicly-traded net lease REIT peers will not pursue on a consistent basis.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Our strategy for investing in income-producing properties is focused on factors including, but not limited to, long-term real estate fundamentals, including those markets experiencing significant economic growth. We employ a methodology for evaluating targeted investments in income-producing properties which includes an evaluation of: (i) the attributes of the real estate (e.g., location, market demographics, comparable properties in the market, etc.); (ii) an evaluation of the existing tenant(s) (e.g., credit-worthiness, property level sales, tenant rent levels compared to the market, etc.); (iii) other market-specific conditions (e.g., tenant industry, job and population growth in the market, local economy, etc.); and (iv) considerations relating to the Company’s business and strategy (e.g., strategic fit of the asset type, property management needs, alignment with the Company’s structure, etc.).</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During the six months ended June 30, 2026, the Company acquired four properties for a combined purchase price of $46.8 million, including capitalized acquisition costs. Of the total acquisitions, the Company acquired two properties for a combined purchase price of $20.5 million, including capitalized acquisition costs. The remaining $26.3 million of total acquisition costs are attributable to (i) the acquisition of one property for a purchase price of $10.0 million through a sale-leaseback transaction that includes a tenant repurchase option (the “2026 Sale-Leaseback Property”) and (ii) the acquisition of a property subject to a ground lease for $16.3 million which qualifies as a sales-type lease (the “2026 Sales-Type Lease”). Pursuant to FASB ASC Topic 842, Leases, GAAP requires that the 2026 Sale-Leaseback Property and the 2026 Sales-Type Lease be accounted for as financing arrangements, and accordingly the related assets and corresponding revenue are included in the Company’s commercial loans and investments in the accompanying consolidated balance sheets and consolidated statement of operations. However, as the 2026 Sale-Leaseback Property and the 2026 Sales-Type Lease both constitute real estate assets for both legal and tax purposes, we include them in the property portfolio when describing our property portfolio and for purposes of providing statistics related thereto. During the six months ended June 30, 2026, the Company sold three properties for an aggregate sales price of $5.8 million, generating aggregate gains on sale of $0.1 million.</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As of June 30, 2026, we owned 128 properties, including the five properties classified as commercial loans and investments, with an aggregate gross leasable area of 4.5 million square feet, located in 31 states, with a weighted average remaining lease term of 9.2 years. Our portfolio was 100% occupied as of June 30, 2026.</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We also acquire or originate commercial loans and investments associated with commercial real estate located in the United States. Our investments in commercial loans are generally secured by real estate or the borrower’s pledge of its ownership interest in an entity that owns real estate. As of June 30, 2026, the Company’s portfolio of commercial loans and investments had a total carrying value of $238.6 million and was comprised of nine construction/redevelopment loans, four mortgage notes, four properties acquired pursuant to sale-leaseback transactions whereby the tenants have a future repurchase rights, and one sales-type lease.</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 has no employees and is externally managed by Alpine Income Property Manager, LLC, a Delaware limited liability company and a wholly owned subsidiary of CTO (our “Manager”). CTO is a Maryland corporation that is a publicly traded diversified REIT and the sole member of our Manager.</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0"/>
        </w:rPr>
      </w:pPr>
      <w:bookmarkStart w:id="1752" w:name="_6bb8fbf0_2e1d_4f42_af31_27d8b3b89e88"/>
      <w:bookmarkEnd w:id="1752"/>
      <w:r>
        <w:rPr>
          <w:rFonts w:ascii="Times New Roman;Times;serif" w:hAnsi="Times New Roman;Times;serif"/>
          <w:b/>
          <w:sz w:val="20"/>
        </w:rPr>
        <w:t>COMPARISON OF THE THREE MONTHS ENDED JUNE 30, 2026 AND 2025</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following presents the Company’s results of operations for the three months ended June 30, 2026, as compared to the three months ended June 30, 2025 (in thousands): </w:t>
      </w:r>
    </w:p>
    <w:p>
      <w:pPr>
        <w:pStyle w:val="TextBody"/>
        <w:bidi w:val="0"/>
        <w:spacing w:before="0" w:after="0"/>
        <w:ind w:left="0" w:right="0" w:firstLine="360"/>
        <w:jc w:val="both"/>
        <w:rPr/>
      </w:pPr>
      <w:r>
        <w:rPr/>
        <w:t>​</w:t>
      </w:r>
    </w:p>
    <w:tbl>
      <w:tblPr>
        <w:tblW w:w="10205" w:type="dxa"/>
        <w:jc w:val="left"/>
        <w:tblInd w:w="0" w:type="dxa"/>
        <w:tblLayout w:type="fixed"/>
        <w:tblCellMar>
          <w:top w:w="0" w:type="dxa"/>
          <w:left w:w="0" w:type="dxa"/>
          <w:bottom w:w="0" w:type="dxa"/>
          <w:right w:w="0" w:type="dxa"/>
        </w:tblCellMar>
      </w:tblPr>
      <w:tblGrid>
        <w:gridCol w:w="4671"/>
        <w:gridCol w:w="109"/>
        <w:gridCol w:w="286"/>
        <w:gridCol w:w="1000"/>
        <w:gridCol w:w="109"/>
        <w:gridCol w:w="286"/>
        <w:gridCol w:w="1000"/>
        <w:gridCol w:w="109"/>
        <w:gridCol w:w="283"/>
        <w:gridCol w:w="903"/>
        <w:gridCol w:w="109"/>
        <w:gridCol w:w="1340"/>
      </w:tblGrid>
      <w:tr>
        <w:trPr/>
        <w:tc>
          <w:tcPr>
            <w:tcW w:w="46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0">
                      <wp:simplePos x="0" y="0"/>
                      <wp:positionH relativeFrom="character">
                        <wp:align>left</wp:align>
                      </wp:positionH>
                      <wp:positionV relativeFrom="line">
                        <wp:posOffset>635</wp:posOffset>
                      </wp:positionV>
                      <wp:extent cx="69215" cy="175260"/>
                      <wp:effectExtent l="0" t="0" r="0" b="0"/>
                      <wp:wrapNone/>
                      <wp:docPr id="399" name="Frame39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1">
                      <wp:simplePos x="0" y="0"/>
                      <wp:positionH relativeFrom="character">
                        <wp:align>left</wp:align>
                      </wp:positionH>
                      <wp:positionV relativeFrom="line">
                        <wp:posOffset>635</wp:posOffset>
                      </wp:positionV>
                      <wp:extent cx="181610" cy="175260"/>
                      <wp:effectExtent l="0" t="0" r="0" b="0"/>
                      <wp:wrapNone/>
                      <wp:docPr id="400" name="Frame400"/>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2">
                      <wp:simplePos x="0" y="0"/>
                      <wp:positionH relativeFrom="character">
                        <wp:align>left</wp:align>
                      </wp:positionH>
                      <wp:positionV relativeFrom="line">
                        <wp:posOffset>635</wp:posOffset>
                      </wp:positionV>
                      <wp:extent cx="635000" cy="175260"/>
                      <wp:effectExtent l="0" t="0" r="0" b="0"/>
                      <wp:wrapNone/>
                      <wp:docPr id="401" name="Frame401"/>
                      <a:graphic xmlns:a="http://schemas.openxmlformats.org/drawingml/2006/main">
                        <a:graphicData uri="http://schemas.microsoft.com/office/word/2010/wordprocessingShape">
                          <wps:wsp>
                            <wps:cNvSpPr txBox="1"/>
                            <wps:spPr>
                              <a:xfrm>
                                <a:off x="0" y="0"/>
                                <a:ext cx="6350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3">
                      <wp:simplePos x="0" y="0"/>
                      <wp:positionH relativeFrom="character">
                        <wp:align>left</wp:align>
                      </wp:positionH>
                      <wp:positionV relativeFrom="line">
                        <wp:posOffset>635</wp:posOffset>
                      </wp:positionV>
                      <wp:extent cx="69215" cy="175260"/>
                      <wp:effectExtent l="0" t="0" r="0" b="0"/>
                      <wp:wrapNone/>
                      <wp:docPr id="402" name="Frame40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4">
                      <wp:simplePos x="0" y="0"/>
                      <wp:positionH relativeFrom="character">
                        <wp:align>left</wp:align>
                      </wp:positionH>
                      <wp:positionV relativeFrom="line">
                        <wp:posOffset>635</wp:posOffset>
                      </wp:positionV>
                      <wp:extent cx="181610" cy="175260"/>
                      <wp:effectExtent l="0" t="0" r="0" b="0"/>
                      <wp:wrapNone/>
                      <wp:docPr id="403" name="Frame403"/>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5">
                      <wp:simplePos x="0" y="0"/>
                      <wp:positionH relativeFrom="character">
                        <wp:align>left</wp:align>
                      </wp:positionH>
                      <wp:positionV relativeFrom="line">
                        <wp:posOffset>635</wp:posOffset>
                      </wp:positionV>
                      <wp:extent cx="635000" cy="175260"/>
                      <wp:effectExtent l="0" t="0" r="0" b="0"/>
                      <wp:wrapNone/>
                      <wp:docPr id="404" name="Frame404"/>
                      <a:graphic xmlns:a="http://schemas.openxmlformats.org/drawingml/2006/main">
                        <a:graphicData uri="http://schemas.microsoft.com/office/word/2010/wordprocessingShape">
                          <wps:wsp>
                            <wps:cNvSpPr txBox="1"/>
                            <wps:spPr>
                              <a:xfrm>
                                <a:off x="0" y="0"/>
                                <a:ext cx="6350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6">
                      <wp:simplePos x="0" y="0"/>
                      <wp:positionH relativeFrom="character">
                        <wp:align>left</wp:align>
                      </wp:positionH>
                      <wp:positionV relativeFrom="line">
                        <wp:posOffset>635</wp:posOffset>
                      </wp:positionV>
                      <wp:extent cx="69215" cy="175260"/>
                      <wp:effectExtent l="0" t="0" r="0" b="0"/>
                      <wp:wrapNone/>
                      <wp:docPr id="405" name="Frame40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7">
                      <wp:simplePos x="0" y="0"/>
                      <wp:positionH relativeFrom="character">
                        <wp:align>left</wp:align>
                      </wp:positionH>
                      <wp:positionV relativeFrom="line">
                        <wp:posOffset>635</wp:posOffset>
                      </wp:positionV>
                      <wp:extent cx="179705" cy="175260"/>
                      <wp:effectExtent l="0" t="0" r="0" b="0"/>
                      <wp:wrapNone/>
                      <wp:docPr id="406" name="Frame406"/>
                      <a:graphic xmlns:a="http://schemas.openxmlformats.org/drawingml/2006/main">
                        <a:graphicData uri="http://schemas.microsoft.com/office/word/2010/wordprocessingShape">
                          <wps:wsp>
                            <wps:cNvSpPr txBox="1"/>
                            <wps:spPr>
                              <a:xfrm>
                                <a:off x="0" y="0"/>
                                <a:ext cx="1797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8">
                      <wp:simplePos x="0" y="0"/>
                      <wp:positionH relativeFrom="character">
                        <wp:align>left</wp:align>
                      </wp:positionH>
                      <wp:positionV relativeFrom="line">
                        <wp:posOffset>635</wp:posOffset>
                      </wp:positionV>
                      <wp:extent cx="573405" cy="175260"/>
                      <wp:effectExtent l="0" t="0" r="0" b="0"/>
                      <wp:wrapNone/>
                      <wp:docPr id="407" name="Frame407"/>
                      <a:graphic xmlns:a="http://schemas.openxmlformats.org/drawingml/2006/main">
                        <a:graphicData uri="http://schemas.microsoft.com/office/word/2010/wordprocessingShape">
                          <wps:wsp>
                            <wps:cNvSpPr txBox="1"/>
                            <wps:spPr>
                              <a:xfrm>
                                <a:off x="0" y="0"/>
                                <a:ext cx="5734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9">
                      <wp:simplePos x="0" y="0"/>
                      <wp:positionH relativeFrom="character">
                        <wp:align>left</wp:align>
                      </wp:positionH>
                      <wp:positionV relativeFrom="line">
                        <wp:posOffset>635</wp:posOffset>
                      </wp:positionV>
                      <wp:extent cx="69215" cy="175260"/>
                      <wp:effectExtent l="0" t="0" r="0" b="0"/>
                      <wp:wrapNone/>
                      <wp:docPr id="408" name="Frame40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0">
                      <wp:simplePos x="0" y="0"/>
                      <wp:positionH relativeFrom="character">
                        <wp:align>left</wp:align>
                      </wp:positionH>
                      <wp:positionV relativeFrom="line">
                        <wp:posOffset>635</wp:posOffset>
                      </wp:positionV>
                      <wp:extent cx="850900" cy="175260"/>
                      <wp:effectExtent l="0" t="0" r="0" b="0"/>
                      <wp:wrapNone/>
                      <wp:docPr id="409" name="Frame409"/>
                      <a:graphic xmlns:a="http://schemas.openxmlformats.org/drawingml/2006/main">
                        <a:graphicData uri="http://schemas.microsoft.com/office/word/2010/wordprocessingShape">
                          <wps:wsp>
                            <wps:cNvSpPr txBox="1"/>
                            <wps:spPr>
                              <a:xfrm>
                                <a:off x="0" y="0"/>
                                <a:ext cx="8509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6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681"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Three Months Ended</w:t>
            </w:r>
          </w:p>
        </w:tc>
        <w:tc>
          <w:tcPr>
            <w:tcW w:w="109" w:type="dxa"/>
            <w:tcBorders/>
            <w:vAlign w:val="center"/>
          </w:tcPr>
          <w:p>
            <w:pPr>
              <w:pStyle w:val="TableContents"/>
              <w:bidi w:val="0"/>
              <w:spacing w:before="0" w:after="0"/>
              <w:ind w:left="0" w:right="0" w:hanging="0"/>
              <w:jc w:val="left"/>
              <w:rPr/>
            </w:pPr>
            <w:r>
              <w:rPr/>
              <w:t>​</w:t>
            </w:r>
          </w:p>
        </w:tc>
        <w:tc>
          <w:tcPr>
            <w:tcW w:w="2635" w:type="dxa"/>
            <w:gridSpan w:val="4"/>
            <w:tcBorders/>
            <w:vAlign w:val="center"/>
          </w:tcPr>
          <w:p>
            <w:pPr>
              <w:pStyle w:val="TableContents"/>
              <w:bidi w:val="0"/>
              <w:spacing w:before="0" w:after="0"/>
              <w:ind w:left="0" w:right="0" w:hanging="0"/>
              <w:jc w:val="center"/>
              <w:rPr/>
            </w:pPr>
            <w:r>
              <w:rPr/>
              <w:t>​</w:t>
            </w:r>
          </w:p>
        </w:tc>
      </w:tr>
      <w:tr>
        <w:trPr/>
        <w:tc>
          <w:tcPr>
            <w:tcW w:w="4671" w:type="dxa"/>
            <w:tcBorders/>
            <w:vAlign w:val="center"/>
          </w:tcPr>
          <w:p>
            <w:pPr>
              <w:pStyle w:val="TableContents"/>
              <w:bidi w:val="0"/>
              <w:spacing w:before="0" w:after="0"/>
              <w:ind w:left="0" w:right="0" w:hanging="0"/>
              <w:jc w:val="left"/>
              <w:rPr>
                <w:color w:val="FF0000"/>
              </w:rPr>
            </w:pPr>
            <w:r>
              <w:rPr>
                <w:color w:val="FF0000"/>
              </w:rPr>
              <w:t>​</w:t>
            </w:r>
          </w:p>
        </w:tc>
        <w:tc>
          <w:tcPr>
            <w:tcW w:w="109" w:type="dxa"/>
            <w:tcBorders/>
            <w:vAlign w:val="center"/>
          </w:tcPr>
          <w:p>
            <w:pPr>
              <w:pStyle w:val="TableContents"/>
              <w:bidi w:val="0"/>
              <w:spacing w:before="0" w:after="0"/>
              <w:ind w:left="0" w:right="0" w:hanging="0"/>
              <w:jc w:val="left"/>
              <w:rPr/>
            </w:pPr>
            <w:r>
              <w:rPr/>
              <w:t>​</w:t>
            </w:r>
          </w:p>
        </w:tc>
        <w:tc>
          <w:tcPr>
            <w:tcW w:w="12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June 30, 2026</w:t>
            </w:r>
          </w:p>
        </w:tc>
        <w:tc>
          <w:tcPr>
            <w:tcW w:w="109" w:type="dxa"/>
            <w:tcBorders/>
            <w:vAlign w:val="center"/>
          </w:tcPr>
          <w:p>
            <w:pPr>
              <w:pStyle w:val="TableContents"/>
              <w:bidi w:val="0"/>
              <w:spacing w:before="0" w:after="0"/>
              <w:ind w:left="0" w:right="0" w:hanging="0"/>
              <w:jc w:val="left"/>
              <w:rPr/>
            </w:pPr>
            <w:r>
              <w:rPr/>
              <w:t>​</w:t>
            </w:r>
          </w:p>
        </w:tc>
        <w:tc>
          <w:tcPr>
            <w:tcW w:w="12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June 30, 2025</w:t>
            </w:r>
          </w:p>
        </w:tc>
        <w:tc>
          <w:tcPr>
            <w:tcW w:w="109" w:type="dxa"/>
            <w:tcBorders/>
            <w:vAlign w:val="center"/>
          </w:tcPr>
          <w:p>
            <w:pPr>
              <w:pStyle w:val="TableContents"/>
              <w:bidi w:val="0"/>
              <w:spacing w:before="0" w:after="0"/>
              <w:ind w:left="0" w:right="0" w:hanging="0"/>
              <w:jc w:val="center"/>
              <w:rPr/>
            </w:pPr>
            <w:r>
              <w:rPr/>
              <w:t>​</w:t>
            </w:r>
          </w:p>
        </w:tc>
        <w:tc>
          <w:tcPr>
            <w:tcW w:w="11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 Variance</w:t>
            </w:r>
          </w:p>
        </w:tc>
        <w:tc>
          <w:tcPr>
            <w:tcW w:w="109" w:type="dxa"/>
            <w:tcBorders/>
            <w:vAlign w:val="center"/>
          </w:tcPr>
          <w:p>
            <w:pPr>
              <w:pStyle w:val="TableContents"/>
              <w:bidi w:val="0"/>
              <w:spacing w:before="0" w:after="0"/>
              <w:ind w:left="0" w:right="0" w:hanging="0"/>
              <w:jc w:val="center"/>
              <w:rPr/>
            </w:pPr>
            <w:r>
              <w:rPr/>
              <w:t>​</w:t>
            </w:r>
          </w:p>
        </w:tc>
        <w:tc>
          <w:tcPr>
            <w:tcW w:w="134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 Variance</w:t>
            </w:r>
          </w:p>
        </w:tc>
      </w:tr>
      <w:tr>
        <w:trPr/>
        <w:tc>
          <w:tcPr>
            <w:tcW w:w="4671" w:type="dxa"/>
            <w:tcBorders/>
            <w:shd w:fill="CCEEFF"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Revenues:</w:t>
            </w:r>
          </w:p>
        </w:tc>
        <w:tc>
          <w:tcPr>
            <w:tcW w:w="109" w:type="dxa"/>
            <w:tcBorders/>
            <w:shd w:fill="CCEEFF" w:val="clear"/>
            <w:vAlign w:val="center"/>
          </w:tcPr>
          <w:p>
            <w:pPr>
              <w:pStyle w:val="TableContents"/>
              <w:bidi w:val="0"/>
              <w:spacing w:before="0" w:after="0"/>
              <w:ind w:left="0" w:right="0" w:hanging="0"/>
              <w:jc w:val="left"/>
              <w:rPr/>
            </w:pPr>
            <w:r>
              <w:rPr/>
              <w:t>​</w:t>
            </w:r>
          </w:p>
        </w:tc>
        <w:tc>
          <w:tcPr>
            <w:tcW w:w="286" w:type="dxa"/>
            <w:tcBorders/>
            <w:shd w:fill="CCEEFF" w:val="clear"/>
            <w:vAlign w:val="center"/>
          </w:tcPr>
          <w:p>
            <w:pPr>
              <w:pStyle w:val="TableContents"/>
              <w:bidi w:val="0"/>
              <w:spacing w:before="0" w:after="0"/>
              <w:ind w:left="0" w:right="0" w:hanging="0"/>
              <w:jc w:val="center"/>
              <w:rPr/>
            </w:pPr>
            <w:r>
              <w:rPr/>
              <w:t>​</w:t>
            </w:r>
          </w:p>
        </w:tc>
        <w:tc>
          <w:tcPr>
            <w:tcW w:w="1000"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86" w:type="dxa"/>
            <w:tcBorders/>
            <w:shd w:fill="CCEEFF" w:val="clear"/>
            <w:vAlign w:val="center"/>
          </w:tcPr>
          <w:p>
            <w:pPr>
              <w:pStyle w:val="TableContents"/>
              <w:bidi w:val="0"/>
              <w:spacing w:before="0" w:after="0"/>
              <w:ind w:left="0" w:right="0" w:hanging="0"/>
              <w:jc w:val="center"/>
              <w:rPr/>
            </w:pPr>
            <w:r>
              <w:rPr/>
              <w:t>​</w:t>
            </w:r>
          </w:p>
        </w:tc>
        <w:tc>
          <w:tcPr>
            <w:tcW w:w="1000"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83" w:type="dxa"/>
            <w:tcBorders/>
            <w:shd w:fill="CCEEFF" w:val="clear"/>
            <w:vAlign w:val="center"/>
          </w:tcPr>
          <w:p>
            <w:pPr>
              <w:pStyle w:val="TableContents"/>
              <w:bidi w:val="0"/>
              <w:spacing w:before="0" w:after="0"/>
              <w:ind w:left="0" w:right="0" w:hanging="0"/>
              <w:jc w:val="center"/>
              <w:rPr/>
            </w:pPr>
            <w:r>
              <w:rPr/>
              <w:t>​</w:t>
            </w:r>
          </w:p>
        </w:tc>
        <w:tc>
          <w:tcPr>
            <w:tcW w:w="903"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340" w:type="dxa"/>
            <w:tcBorders/>
            <w:shd w:fill="CCEEFF" w:val="clear"/>
            <w:vAlign w:val="center"/>
          </w:tcPr>
          <w:p>
            <w:pPr>
              <w:pStyle w:val="TableContents"/>
              <w:bidi w:val="0"/>
              <w:spacing w:before="0" w:after="0"/>
              <w:ind w:left="0" w:right="0" w:hanging="0"/>
              <w:jc w:val="left"/>
              <w:rPr/>
            </w:pPr>
            <w:r>
              <w:rPr/>
              <w:t>​</w:t>
            </w:r>
          </w:p>
        </w:tc>
      </w:tr>
      <w:tr>
        <w:trPr/>
        <w:tc>
          <w:tcPr>
            <w:tcW w:w="467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Lease Income</w:t>
            </w:r>
          </w:p>
        </w:tc>
        <w:tc>
          <w:tcPr>
            <w:tcW w:w="109"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w:t>
            </w:r>
          </w:p>
        </w:tc>
        <w:tc>
          <w:tcPr>
            <w:tcW w:w="1000"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12,637</w:t>
            </w:r>
          </w:p>
        </w:tc>
        <w:tc>
          <w:tcPr>
            <w:tcW w:w="109"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w:t>
            </w:r>
          </w:p>
        </w:tc>
        <w:tc>
          <w:tcPr>
            <w:tcW w:w="1000"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12,022</w:t>
            </w:r>
          </w:p>
        </w:tc>
        <w:tc>
          <w:tcPr>
            <w:tcW w:w="109" w:type="dxa"/>
            <w:tcBorders/>
            <w:vAlign w:val="center"/>
          </w:tcPr>
          <w:p>
            <w:pPr>
              <w:pStyle w:val="TableContents"/>
              <w:bidi w:val="0"/>
              <w:spacing w:before="0" w:after="0"/>
              <w:ind w:left="0" w:right="0" w:hanging="0"/>
              <w:jc w:val="right"/>
              <w:rPr/>
            </w:pPr>
            <w:r>
              <w:rPr/>
              <w:t>​</w:t>
            </w:r>
          </w:p>
        </w:tc>
        <w:tc>
          <w:tcPr>
            <w:tcW w:w="283"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w:t>
            </w:r>
          </w:p>
        </w:tc>
        <w:tc>
          <w:tcPr>
            <w:tcW w:w="903"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615</w:t>
            </w:r>
          </w:p>
        </w:tc>
        <w:tc>
          <w:tcPr>
            <w:tcW w:w="109" w:type="dxa"/>
            <w:tcBorders/>
            <w:vAlign w:val="center"/>
          </w:tcPr>
          <w:p>
            <w:pPr>
              <w:pStyle w:val="TableContents"/>
              <w:bidi w:val="0"/>
              <w:spacing w:before="0" w:after="0"/>
              <w:ind w:left="0" w:right="0" w:hanging="0"/>
              <w:jc w:val="left"/>
              <w:rPr/>
            </w:pPr>
            <w:r>
              <w:rPr/>
              <w:t>​</w:t>
            </w:r>
          </w:p>
        </w:tc>
        <w:tc>
          <w:tcPr>
            <w:tcW w:w="1340"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5.1%</w:t>
            </w:r>
          </w:p>
        </w:tc>
      </w:tr>
      <w:tr>
        <w:trPr/>
        <w:tc>
          <w:tcPr>
            <w:tcW w:w="4671" w:type="dxa"/>
            <w:tcBorders/>
            <w:shd w:fill="CCEEFF"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Interest Income from Commercial Loans and Investments</w:t>
            </w:r>
          </w:p>
        </w:tc>
        <w:tc>
          <w:tcPr>
            <w:tcW w:w="109" w:type="dxa"/>
            <w:tcBorders/>
            <w:shd w:fill="CCEEFF" w:val="clear"/>
            <w:vAlign w:val="center"/>
          </w:tcPr>
          <w:p>
            <w:pPr>
              <w:pStyle w:val="TableContents"/>
              <w:bidi w:val="0"/>
              <w:spacing w:before="0" w:after="0"/>
              <w:ind w:left="0" w:right="0" w:hanging="0"/>
              <w:jc w:val="lef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000"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7,331</w:t>
            </w:r>
          </w:p>
        </w:tc>
        <w:tc>
          <w:tcPr>
            <w:tcW w:w="109" w:type="dxa"/>
            <w:tcBorders/>
            <w:shd w:fill="CCEEFF" w:val="clear"/>
            <w:vAlign w:val="center"/>
          </w:tcPr>
          <w:p>
            <w:pPr>
              <w:pStyle w:val="TableContents"/>
              <w:bidi w:val="0"/>
              <w:spacing w:before="0" w:after="0"/>
              <w:ind w:left="0" w:right="0" w:hanging="0"/>
              <w:jc w:val="lef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000"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2,737</w:t>
            </w:r>
          </w:p>
        </w:tc>
        <w:tc>
          <w:tcPr>
            <w:tcW w:w="109" w:type="dxa"/>
            <w:tcBorders/>
            <w:shd w:fill="CCEEFF" w:val="clear"/>
            <w:vAlign w:val="center"/>
          </w:tcPr>
          <w:p>
            <w:pPr>
              <w:pStyle w:val="TableContents"/>
              <w:bidi w:val="0"/>
              <w:spacing w:before="0" w:after="0"/>
              <w:ind w:left="0" w:right="0" w:hanging="0"/>
              <w:jc w:val="right"/>
              <w:rPr/>
            </w:pPr>
            <w:r>
              <w:rPr/>
              <w:t>​</w:t>
            </w:r>
          </w:p>
        </w:tc>
        <w:tc>
          <w:tcPr>
            <w:tcW w:w="283" w:type="dxa"/>
            <w:tcBorders/>
            <w:shd w:fill="CCEEFF" w:val="clear"/>
            <w:vAlign w:val="center"/>
          </w:tcPr>
          <w:p>
            <w:pPr>
              <w:pStyle w:val="TableContents"/>
              <w:bidi w:val="0"/>
              <w:spacing w:before="0" w:after="0"/>
              <w:ind w:left="0" w:right="0" w:hanging="0"/>
              <w:jc w:val="left"/>
              <w:rPr/>
            </w:pPr>
            <w:r>
              <w:rPr/>
              <w:t>​</w:t>
            </w:r>
          </w:p>
        </w:tc>
        <w:tc>
          <w:tcPr>
            <w:tcW w:w="903"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4,594</w:t>
            </w:r>
          </w:p>
        </w:tc>
        <w:tc>
          <w:tcPr>
            <w:tcW w:w="109" w:type="dxa"/>
            <w:tcBorders/>
            <w:shd w:fill="CCEEFF" w:val="clear"/>
            <w:vAlign w:val="center"/>
          </w:tcPr>
          <w:p>
            <w:pPr>
              <w:pStyle w:val="TableContents"/>
              <w:bidi w:val="0"/>
              <w:spacing w:before="0" w:after="0"/>
              <w:ind w:left="0" w:right="0" w:hanging="0"/>
              <w:jc w:val="left"/>
              <w:rPr/>
            </w:pPr>
            <w:r>
              <w:rPr/>
              <w:t>​</w:t>
            </w:r>
          </w:p>
        </w:tc>
        <w:tc>
          <w:tcPr>
            <w:tcW w:w="1340"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167.8%</w:t>
            </w:r>
          </w:p>
        </w:tc>
      </w:tr>
      <w:tr>
        <w:trPr/>
        <w:tc>
          <w:tcPr>
            <w:tcW w:w="467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Other Revenue</w:t>
            </w:r>
          </w:p>
        </w:tc>
        <w:tc>
          <w:tcPr>
            <w:tcW w:w="109" w:type="dxa"/>
            <w:tcBorders/>
            <w:vAlign w:val="center"/>
          </w:tcPr>
          <w:p>
            <w:pPr>
              <w:pStyle w:val="TableContents"/>
              <w:bidi w:val="0"/>
              <w:spacing w:before="0" w:after="0"/>
              <w:ind w:left="0" w:right="0" w:hanging="0"/>
              <w:jc w:val="left"/>
              <w:rPr/>
            </w:pPr>
            <w:r>
              <w:rPr/>
              <w:t>​</w:t>
            </w:r>
          </w:p>
        </w:tc>
        <w:tc>
          <w:tcPr>
            <w:tcW w:w="28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0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34</w:t>
            </w:r>
          </w:p>
        </w:tc>
        <w:tc>
          <w:tcPr>
            <w:tcW w:w="109" w:type="dxa"/>
            <w:tcBorders/>
            <w:vAlign w:val="center"/>
          </w:tcPr>
          <w:p>
            <w:pPr>
              <w:pStyle w:val="TableContents"/>
              <w:bidi w:val="0"/>
              <w:spacing w:before="0" w:after="0"/>
              <w:ind w:left="0" w:right="0" w:hanging="0"/>
              <w:jc w:val="left"/>
              <w:rPr/>
            </w:pPr>
            <w:r>
              <w:rPr/>
              <w:t>​</w:t>
            </w:r>
          </w:p>
        </w:tc>
        <w:tc>
          <w:tcPr>
            <w:tcW w:w="28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0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104</w:t>
            </w:r>
          </w:p>
        </w:tc>
        <w:tc>
          <w:tcPr>
            <w:tcW w:w="109" w:type="dxa"/>
            <w:tcBorders/>
            <w:vAlign w:val="center"/>
          </w:tcPr>
          <w:p>
            <w:pPr>
              <w:pStyle w:val="TableContents"/>
              <w:bidi w:val="0"/>
              <w:spacing w:before="0" w:after="0"/>
              <w:ind w:left="0" w:right="0" w:hanging="0"/>
              <w:jc w:val="right"/>
              <w:rPr/>
            </w:pPr>
            <w:r>
              <w:rPr/>
              <w:t>​</w:t>
            </w:r>
          </w:p>
        </w:tc>
        <w:tc>
          <w:tcPr>
            <w:tcW w:w="28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(70)</w:t>
            </w:r>
          </w:p>
        </w:tc>
        <w:tc>
          <w:tcPr>
            <w:tcW w:w="109" w:type="dxa"/>
            <w:tcBorders/>
            <w:vAlign w:val="center"/>
          </w:tcPr>
          <w:p>
            <w:pPr>
              <w:pStyle w:val="TableContents"/>
              <w:bidi w:val="0"/>
              <w:spacing w:before="0" w:after="0"/>
              <w:ind w:left="0" w:right="0" w:hanging="0"/>
              <w:jc w:val="left"/>
              <w:rPr/>
            </w:pPr>
            <w:r>
              <w:rPr/>
              <w:t>​</w:t>
            </w:r>
          </w:p>
        </w:tc>
        <w:tc>
          <w:tcPr>
            <w:tcW w:w="134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(67.3)%</w:t>
            </w:r>
          </w:p>
        </w:tc>
      </w:tr>
      <w:tr>
        <w:trPr/>
        <w:tc>
          <w:tcPr>
            <w:tcW w:w="4671" w:type="dxa"/>
            <w:tcBorders/>
            <w:shd w:fill="CCEEFF"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Total Revenues</w:t>
            </w:r>
          </w:p>
        </w:tc>
        <w:tc>
          <w:tcPr>
            <w:tcW w:w="109" w:type="dxa"/>
            <w:tcBorders/>
            <w:shd w:fill="CCEEFF" w:val="clear"/>
            <w:vAlign w:val="center"/>
          </w:tcPr>
          <w:p>
            <w:pPr>
              <w:pStyle w:val="TableContents"/>
              <w:bidi w:val="0"/>
              <w:spacing w:before="0" w:after="0"/>
              <w:ind w:left="0" w:right="0" w:hanging="0"/>
              <w:jc w:val="left"/>
              <w:rPr/>
            </w:pPr>
            <w:r>
              <w:rPr/>
              <w:t>​</w:t>
            </w:r>
          </w:p>
        </w:tc>
        <w:tc>
          <w:tcPr>
            <w:tcW w:w="28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0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20,002</w:t>
            </w:r>
          </w:p>
        </w:tc>
        <w:tc>
          <w:tcPr>
            <w:tcW w:w="109" w:type="dxa"/>
            <w:tcBorders/>
            <w:shd w:fill="CCEEFF" w:val="clear"/>
            <w:vAlign w:val="center"/>
          </w:tcPr>
          <w:p>
            <w:pPr>
              <w:pStyle w:val="TableContents"/>
              <w:bidi w:val="0"/>
              <w:spacing w:before="0" w:after="0"/>
              <w:ind w:left="0" w:right="0" w:hanging="0"/>
              <w:jc w:val="left"/>
              <w:rPr/>
            </w:pPr>
            <w:r>
              <w:rPr/>
              <w:t>​</w:t>
            </w:r>
          </w:p>
        </w:tc>
        <w:tc>
          <w:tcPr>
            <w:tcW w:w="28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0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14,863</w:t>
            </w:r>
          </w:p>
        </w:tc>
        <w:tc>
          <w:tcPr>
            <w:tcW w:w="109" w:type="dxa"/>
            <w:tcBorders/>
            <w:shd w:fill="CCEEFF" w:val="clear"/>
            <w:vAlign w:val="center"/>
          </w:tcPr>
          <w:p>
            <w:pPr>
              <w:pStyle w:val="TableContents"/>
              <w:bidi w:val="0"/>
              <w:spacing w:before="0" w:after="0"/>
              <w:ind w:left="0" w:right="0" w:hanging="0"/>
              <w:jc w:val="right"/>
              <w:rPr/>
            </w:pPr>
            <w:r>
              <w:rPr/>
              <w:t>​</w:t>
            </w:r>
          </w:p>
        </w:tc>
        <w:tc>
          <w:tcPr>
            <w:tcW w:w="28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0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5,139</w:t>
            </w:r>
          </w:p>
        </w:tc>
        <w:tc>
          <w:tcPr>
            <w:tcW w:w="109" w:type="dxa"/>
            <w:tcBorders/>
            <w:shd w:fill="CCEEFF" w:val="clear"/>
            <w:vAlign w:val="center"/>
          </w:tcPr>
          <w:p>
            <w:pPr>
              <w:pStyle w:val="TableContents"/>
              <w:bidi w:val="0"/>
              <w:spacing w:before="0" w:after="0"/>
              <w:ind w:left="0" w:right="0" w:hanging="0"/>
              <w:jc w:val="left"/>
              <w:rPr/>
            </w:pPr>
            <w:r>
              <w:rPr/>
              <w:t>​</w:t>
            </w:r>
          </w:p>
        </w:tc>
        <w:tc>
          <w:tcPr>
            <w:tcW w:w="134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34.6%</w:t>
            </w:r>
          </w:p>
        </w:tc>
      </w:tr>
      <w:tr>
        <w:trPr/>
        <w:tc>
          <w:tcPr>
            <w:tcW w:w="467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Operating Expenses:</w:t>
            </w:r>
          </w:p>
        </w:tc>
        <w:tc>
          <w:tcPr>
            <w:tcW w:w="109"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000"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000"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83" w:type="dxa"/>
            <w:tcBorders/>
            <w:vAlign w:val="center"/>
          </w:tcPr>
          <w:p>
            <w:pPr>
              <w:pStyle w:val="TableContents"/>
              <w:bidi w:val="0"/>
              <w:spacing w:before="0" w:after="0"/>
              <w:ind w:left="0" w:right="0" w:hanging="0"/>
              <w:jc w:val="left"/>
              <w:rPr/>
            </w:pPr>
            <w:r>
              <w:rPr/>
              <w:t>​</w:t>
            </w:r>
          </w:p>
        </w:tc>
        <w:tc>
          <w:tcPr>
            <w:tcW w:w="903"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340" w:type="dxa"/>
            <w:tcBorders/>
            <w:vAlign w:val="center"/>
          </w:tcPr>
          <w:p>
            <w:pPr>
              <w:pStyle w:val="TableContents"/>
              <w:bidi w:val="0"/>
              <w:spacing w:before="0" w:after="0"/>
              <w:ind w:left="0" w:right="0" w:hanging="0"/>
              <w:jc w:val="left"/>
              <w:rPr/>
            </w:pPr>
            <w:r>
              <w:rPr/>
              <w:t>​</w:t>
            </w:r>
          </w:p>
        </w:tc>
      </w:tr>
      <w:tr>
        <w:trPr/>
        <w:tc>
          <w:tcPr>
            <w:tcW w:w="4671" w:type="dxa"/>
            <w:tcBorders/>
            <w:shd w:fill="CCEEFF"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Real Estate Expenses</w:t>
            </w:r>
          </w:p>
        </w:tc>
        <w:tc>
          <w:tcPr>
            <w:tcW w:w="109" w:type="dxa"/>
            <w:tcBorders/>
            <w:shd w:fill="CCEEFF" w:val="clear"/>
            <w:vAlign w:val="center"/>
          </w:tcPr>
          <w:p>
            <w:pPr>
              <w:pStyle w:val="TableContents"/>
              <w:bidi w:val="0"/>
              <w:spacing w:before="0" w:after="0"/>
              <w:ind w:left="0" w:right="0" w:hanging="0"/>
              <w:jc w:val="lef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000"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2,085</w:t>
            </w:r>
          </w:p>
        </w:tc>
        <w:tc>
          <w:tcPr>
            <w:tcW w:w="109" w:type="dxa"/>
            <w:tcBorders/>
            <w:shd w:fill="CCEEFF" w:val="clear"/>
            <w:vAlign w:val="center"/>
          </w:tcPr>
          <w:p>
            <w:pPr>
              <w:pStyle w:val="TableContents"/>
              <w:bidi w:val="0"/>
              <w:spacing w:before="0" w:after="0"/>
              <w:ind w:left="0" w:right="0" w:hanging="0"/>
              <w:jc w:val="lef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000"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2,105</w:t>
            </w:r>
          </w:p>
        </w:tc>
        <w:tc>
          <w:tcPr>
            <w:tcW w:w="109" w:type="dxa"/>
            <w:tcBorders/>
            <w:shd w:fill="CCEEFF" w:val="clear"/>
            <w:vAlign w:val="center"/>
          </w:tcPr>
          <w:p>
            <w:pPr>
              <w:pStyle w:val="TableContents"/>
              <w:bidi w:val="0"/>
              <w:spacing w:before="0" w:after="0"/>
              <w:ind w:left="0" w:right="0" w:hanging="0"/>
              <w:jc w:val="right"/>
              <w:rPr/>
            </w:pPr>
            <w:r>
              <w:rPr/>
              <w:t>​</w:t>
            </w:r>
          </w:p>
        </w:tc>
        <w:tc>
          <w:tcPr>
            <w:tcW w:w="283" w:type="dxa"/>
            <w:tcBorders/>
            <w:shd w:fill="CCEEFF" w:val="clear"/>
            <w:vAlign w:val="center"/>
          </w:tcPr>
          <w:p>
            <w:pPr>
              <w:pStyle w:val="TableContents"/>
              <w:bidi w:val="0"/>
              <w:spacing w:before="0" w:after="0"/>
              <w:ind w:left="0" w:right="0" w:hanging="0"/>
              <w:jc w:val="left"/>
              <w:rPr/>
            </w:pPr>
            <w:r>
              <w:rPr/>
              <w:t>​</w:t>
            </w:r>
          </w:p>
        </w:tc>
        <w:tc>
          <w:tcPr>
            <w:tcW w:w="903"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(20)</w:t>
            </w:r>
          </w:p>
        </w:tc>
        <w:tc>
          <w:tcPr>
            <w:tcW w:w="109" w:type="dxa"/>
            <w:tcBorders/>
            <w:shd w:fill="CCEEFF" w:val="clear"/>
            <w:vAlign w:val="center"/>
          </w:tcPr>
          <w:p>
            <w:pPr>
              <w:pStyle w:val="TableContents"/>
              <w:bidi w:val="0"/>
              <w:spacing w:before="0" w:after="0"/>
              <w:ind w:left="0" w:right="0" w:hanging="0"/>
              <w:jc w:val="left"/>
              <w:rPr/>
            </w:pPr>
            <w:r>
              <w:rPr/>
              <w:t>​</w:t>
            </w:r>
          </w:p>
        </w:tc>
        <w:tc>
          <w:tcPr>
            <w:tcW w:w="1340"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(1.0)%</w:t>
            </w:r>
          </w:p>
        </w:tc>
      </w:tr>
      <w:tr>
        <w:trPr/>
        <w:tc>
          <w:tcPr>
            <w:tcW w:w="467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General and Administrative Expenses</w:t>
            </w:r>
          </w:p>
        </w:tc>
        <w:tc>
          <w:tcPr>
            <w:tcW w:w="109"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000"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2,028</w:t>
            </w:r>
          </w:p>
        </w:tc>
        <w:tc>
          <w:tcPr>
            <w:tcW w:w="109"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000"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1,697</w:t>
            </w:r>
          </w:p>
        </w:tc>
        <w:tc>
          <w:tcPr>
            <w:tcW w:w="109" w:type="dxa"/>
            <w:tcBorders/>
            <w:vAlign w:val="center"/>
          </w:tcPr>
          <w:p>
            <w:pPr>
              <w:pStyle w:val="TableContents"/>
              <w:bidi w:val="0"/>
              <w:spacing w:before="0" w:after="0"/>
              <w:ind w:left="0" w:right="0" w:hanging="0"/>
              <w:jc w:val="right"/>
              <w:rPr/>
            </w:pPr>
            <w:r>
              <w:rPr/>
              <w:t>​</w:t>
            </w:r>
          </w:p>
        </w:tc>
        <w:tc>
          <w:tcPr>
            <w:tcW w:w="283" w:type="dxa"/>
            <w:tcBorders/>
            <w:vAlign w:val="center"/>
          </w:tcPr>
          <w:p>
            <w:pPr>
              <w:pStyle w:val="TableContents"/>
              <w:bidi w:val="0"/>
              <w:spacing w:before="0" w:after="0"/>
              <w:ind w:left="0" w:right="0" w:hanging="0"/>
              <w:jc w:val="left"/>
              <w:rPr/>
            </w:pPr>
            <w:r>
              <w:rPr/>
              <w:t>​</w:t>
            </w:r>
          </w:p>
        </w:tc>
        <w:tc>
          <w:tcPr>
            <w:tcW w:w="903"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331</w:t>
            </w:r>
          </w:p>
        </w:tc>
        <w:tc>
          <w:tcPr>
            <w:tcW w:w="109" w:type="dxa"/>
            <w:tcBorders/>
            <w:vAlign w:val="center"/>
          </w:tcPr>
          <w:p>
            <w:pPr>
              <w:pStyle w:val="TableContents"/>
              <w:bidi w:val="0"/>
              <w:spacing w:before="0" w:after="0"/>
              <w:ind w:left="0" w:right="0" w:hanging="0"/>
              <w:jc w:val="left"/>
              <w:rPr/>
            </w:pPr>
            <w:r>
              <w:rPr/>
              <w:t>​</w:t>
            </w:r>
          </w:p>
        </w:tc>
        <w:tc>
          <w:tcPr>
            <w:tcW w:w="1340"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19.5%</w:t>
            </w:r>
          </w:p>
        </w:tc>
      </w:tr>
      <w:tr>
        <w:trPr/>
        <w:tc>
          <w:tcPr>
            <w:tcW w:w="4671" w:type="dxa"/>
            <w:tcBorders/>
            <w:shd w:fill="CCEEFF"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Provision for Impairment</w:t>
            </w:r>
          </w:p>
        </w:tc>
        <w:tc>
          <w:tcPr>
            <w:tcW w:w="109" w:type="dxa"/>
            <w:tcBorders/>
            <w:shd w:fill="CCEEFF" w:val="clear"/>
            <w:vAlign w:val="center"/>
          </w:tcPr>
          <w:p>
            <w:pPr>
              <w:pStyle w:val="TableContents"/>
              <w:bidi w:val="0"/>
              <w:spacing w:before="0" w:after="0"/>
              <w:ind w:left="0" w:right="0" w:hanging="0"/>
              <w:jc w:val="lef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000"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377</w:t>
            </w:r>
          </w:p>
        </w:tc>
        <w:tc>
          <w:tcPr>
            <w:tcW w:w="109" w:type="dxa"/>
            <w:tcBorders/>
            <w:shd w:fill="CCEEFF" w:val="clear"/>
            <w:vAlign w:val="center"/>
          </w:tcPr>
          <w:p>
            <w:pPr>
              <w:pStyle w:val="TableContents"/>
              <w:bidi w:val="0"/>
              <w:spacing w:before="0" w:after="0"/>
              <w:ind w:left="0" w:right="0" w:hanging="0"/>
              <w:jc w:val="lef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000"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2,803</w:t>
            </w:r>
          </w:p>
        </w:tc>
        <w:tc>
          <w:tcPr>
            <w:tcW w:w="109" w:type="dxa"/>
            <w:tcBorders/>
            <w:shd w:fill="CCEEFF" w:val="clear"/>
            <w:vAlign w:val="center"/>
          </w:tcPr>
          <w:p>
            <w:pPr>
              <w:pStyle w:val="TableContents"/>
              <w:bidi w:val="0"/>
              <w:spacing w:before="0" w:after="0"/>
              <w:ind w:left="0" w:right="0" w:hanging="0"/>
              <w:jc w:val="right"/>
              <w:rPr/>
            </w:pPr>
            <w:r>
              <w:rPr/>
              <w:t>​</w:t>
            </w:r>
          </w:p>
        </w:tc>
        <w:tc>
          <w:tcPr>
            <w:tcW w:w="283" w:type="dxa"/>
            <w:tcBorders/>
            <w:shd w:fill="CCEEFF" w:val="clear"/>
            <w:vAlign w:val="center"/>
          </w:tcPr>
          <w:p>
            <w:pPr>
              <w:pStyle w:val="TableContents"/>
              <w:bidi w:val="0"/>
              <w:spacing w:before="0" w:after="0"/>
              <w:ind w:left="0" w:right="0" w:hanging="0"/>
              <w:jc w:val="left"/>
              <w:rPr/>
            </w:pPr>
            <w:r>
              <w:rPr/>
              <w:t>​</w:t>
            </w:r>
          </w:p>
        </w:tc>
        <w:tc>
          <w:tcPr>
            <w:tcW w:w="903"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(2,426)</w:t>
            </w:r>
          </w:p>
        </w:tc>
        <w:tc>
          <w:tcPr>
            <w:tcW w:w="109" w:type="dxa"/>
            <w:tcBorders/>
            <w:shd w:fill="CCEEFF" w:val="clear"/>
            <w:vAlign w:val="center"/>
          </w:tcPr>
          <w:p>
            <w:pPr>
              <w:pStyle w:val="TableContents"/>
              <w:bidi w:val="0"/>
              <w:spacing w:before="0" w:after="0"/>
              <w:ind w:left="0" w:right="0" w:hanging="0"/>
              <w:jc w:val="left"/>
              <w:rPr/>
            </w:pPr>
            <w:r>
              <w:rPr/>
              <w:t>​</w:t>
            </w:r>
          </w:p>
        </w:tc>
        <w:tc>
          <w:tcPr>
            <w:tcW w:w="1340"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(86.6)%</w:t>
            </w:r>
          </w:p>
        </w:tc>
      </w:tr>
      <w:tr>
        <w:trPr/>
        <w:tc>
          <w:tcPr>
            <w:tcW w:w="467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Depreciation and Amortization</w:t>
            </w:r>
          </w:p>
        </w:tc>
        <w:tc>
          <w:tcPr>
            <w:tcW w:w="109" w:type="dxa"/>
            <w:tcBorders/>
            <w:vAlign w:val="center"/>
          </w:tcPr>
          <w:p>
            <w:pPr>
              <w:pStyle w:val="TableContents"/>
              <w:bidi w:val="0"/>
              <w:spacing w:before="0" w:after="0"/>
              <w:ind w:left="0" w:right="0" w:hanging="0"/>
              <w:jc w:val="left"/>
              <w:rPr/>
            </w:pPr>
            <w:r>
              <w:rPr/>
              <w:t>​</w:t>
            </w:r>
          </w:p>
        </w:tc>
        <w:tc>
          <w:tcPr>
            <w:tcW w:w="28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0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6,805</w:t>
            </w:r>
          </w:p>
        </w:tc>
        <w:tc>
          <w:tcPr>
            <w:tcW w:w="109" w:type="dxa"/>
            <w:tcBorders/>
            <w:vAlign w:val="center"/>
          </w:tcPr>
          <w:p>
            <w:pPr>
              <w:pStyle w:val="TableContents"/>
              <w:bidi w:val="0"/>
              <w:spacing w:before="0" w:after="0"/>
              <w:ind w:left="0" w:right="0" w:hanging="0"/>
              <w:jc w:val="left"/>
              <w:rPr/>
            </w:pPr>
            <w:r>
              <w:rPr/>
              <w:t>​</w:t>
            </w:r>
          </w:p>
        </w:tc>
        <w:tc>
          <w:tcPr>
            <w:tcW w:w="28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0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6,705</w:t>
            </w:r>
          </w:p>
        </w:tc>
        <w:tc>
          <w:tcPr>
            <w:tcW w:w="109" w:type="dxa"/>
            <w:tcBorders/>
            <w:vAlign w:val="center"/>
          </w:tcPr>
          <w:p>
            <w:pPr>
              <w:pStyle w:val="TableContents"/>
              <w:bidi w:val="0"/>
              <w:spacing w:before="0" w:after="0"/>
              <w:ind w:left="0" w:right="0" w:hanging="0"/>
              <w:jc w:val="right"/>
              <w:rPr/>
            </w:pPr>
            <w:r>
              <w:rPr/>
              <w:t>​</w:t>
            </w:r>
          </w:p>
        </w:tc>
        <w:tc>
          <w:tcPr>
            <w:tcW w:w="28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100</w:t>
            </w:r>
          </w:p>
        </w:tc>
        <w:tc>
          <w:tcPr>
            <w:tcW w:w="109" w:type="dxa"/>
            <w:tcBorders/>
            <w:vAlign w:val="center"/>
          </w:tcPr>
          <w:p>
            <w:pPr>
              <w:pStyle w:val="TableContents"/>
              <w:bidi w:val="0"/>
              <w:spacing w:before="0" w:after="0"/>
              <w:ind w:left="0" w:right="0" w:hanging="0"/>
              <w:jc w:val="left"/>
              <w:rPr/>
            </w:pPr>
            <w:r>
              <w:rPr/>
              <w:t>​</w:t>
            </w:r>
          </w:p>
        </w:tc>
        <w:tc>
          <w:tcPr>
            <w:tcW w:w="134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1.5%</w:t>
            </w:r>
          </w:p>
        </w:tc>
      </w:tr>
      <w:tr>
        <w:trPr/>
        <w:tc>
          <w:tcPr>
            <w:tcW w:w="4671" w:type="dxa"/>
            <w:tcBorders/>
            <w:shd w:fill="CCEEFF"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Total Operating Expenses</w:t>
            </w:r>
          </w:p>
        </w:tc>
        <w:tc>
          <w:tcPr>
            <w:tcW w:w="109" w:type="dxa"/>
            <w:tcBorders/>
            <w:shd w:fill="CCEEFF" w:val="clear"/>
            <w:vAlign w:val="center"/>
          </w:tcPr>
          <w:p>
            <w:pPr>
              <w:pStyle w:val="TableContents"/>
              <w:bidi w:val="0"/>
              <w:spacing w:before="0" w:after="0"/>
              <w:ind w:left="0" w:right="0" w:hanging="0"/>
              <w:jc w:val="lef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000"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11,295</w:t>
            </w:r>
          </w:p>
        </w:tc>
        <w:tc>
          <w:tcPr>
            <w:tcW w:w="109" w:type="dxa"/>
            <w:tcBorders/>
            <w:shd w:fill="CCEEFF" w:val="clear"/>
            <w:vAlign w:val="center"/>
          </w:tcPr>
          <w:p>
            <w:pPr>
              <w:pStyle w:val="TableContents"/>
              <w:bidi w:val="0"/>
              <w:spacing w:before="0" w:after="0"/>
              <w:ind w:left="0" w:right="0" w:hanging="0"/>
              <w:jc w:val="lef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000"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13,310</w:t>
            </w:r>
          </w:p>
        </w:tc>
        <w:tc>
          <w:tcPr>
            <w:tcW w:w="109" w:type="dxa"/>
            <w:tcBorders/>
            <w:shd w:fill="CCEEFF" w:val="clear"/>
            <w:vAlign w:val="center"/>
          </w:tcPr>
          <w:p>
            <w:pPr>
              <w:pStyle w:val="TableContents"/>
              <w:bidi w:val="0"/>
              <w:spacing w:before="0" w:after="0"/>
              <w:ind w:left="0" w:right="0" w:hanging="0"/>
              <w:jc w:val="right"/>
              <w:rPr/>
            </w:pPr>
            <w:r>
              <w:rPr/>
              <w:t>​</w:t>
            </w:r>
          </w:p>
        </w:tc>
        <w:tc>
          <w:tcPr>
            <w:tcW w:w="283" w:type="dxa"/>
            <w:tcBorders/>
            <w:shd w:fill="CCEEFF" w:val="clear"/>
            <w:vAlign w:val="center"/>
          </w:tcPr>
          <w:p>
            <w:pPr>
              <w:pStyle w:val="TableContents"/>
              <w:bidi w:val="0"/>
              <w:spacing w:before="0" w:after="0"/>
              <w:ind w:left="0" w:right="0" w:hanging="0"/>
              <w:jc w:val="left"/>
              <w:rPr/>
            </w:pPr>
            <w:r>
              <w:rPr/>
              <w:t>​</w:t>
            </w:r>
          </w:p>
        </w:tc>
        <w:tc>
          <w:tcPr>
            <w:tcW w:w="903"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(2,015)</w:t>
            </w:r>
          </w:p>
        </w:tc>
        <w:tc>
          <w:tcPr>
            <w:tcW w:w="109" w:type="dxa"/>
            <w:tcBorders/>
            <w:shd w:fill="CCEEFF" w:val="clear"/>
            <w:vAlign w:val="center"/>
          </w:tcPr>
          <w:p>
            <w:pPr>
              <w:pStyle w:val="TableContents"/>
              <w:bidi w:val="0"/>
              <w:spacing w:before="0" w:after="0"/>
              <w:ind w:left="0" w:right="0" w:hanging="0"/>
              <w:jc w:val="left"/>
              <w:rPr/>
            </w:pPr>
            <w:r>
              <w:rPr/>
              <w:t>​</w:t>
            </w:r>
          </w:p>
        </w:tc>
        <w:tc>
          <w:tcPr>
            <w:tcW w:w="1340"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(15.1)%</w:t>
            </w:r>
          </w:p>
        </w:tc>
      </w:tr>
      <w:tr>
        <w:trPr/>
        <w:tc>
          <w:tcPr>
            <w:tcW w:w="467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Gain on Disposition of Assets</w:t>
            </w:r>
          </w:p>
        </w:tc>
        <w:tc>
          <w:tcPr>
            <w:tcW w:w="109" w:type="dxa"/>
            <w:tcBorders/>
            <w:vAlign w:val="center"/>
          </w:tcPr>
          <w:p>
            <w:pPr>
              <w:pStyle w:val="TableContents"/>
              <w:bidi w:val="0"/>
              <w:spacing w:before="0" w:after="0"/>
              <w:ind w:left="0" w:right="0" w:hanging="0"/>
              <w:jc w:val="left"/>
              <w:rPr/>
            </w:pPr>
            <w:r>
              <w:rPr/>
              <w:t>​</w:t>
            </w:r>
          </w:p>
        </w:tc>
        <w:tc>
          <w:tcPr>
            <w:tcW w:w="28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0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8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0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938</w:t>
            </w:r>
          </w:p>
        </w:tc>
        <w:tc>
          <w:tcPr>
            <w:tcW w:w="109" w:type="dxa"/>
            <w:tcBorders/>
            <w:vAlign w:val="center"/>
          </w:tcPr>
          <w:p>
            <w:pPr>
              <w:pStyle w:val="TableContents"/>
              <w:bidi w:val="0"/>
              <w:spacing w:before="0" w:after="0"/>
              <w:ind w:left="0" w:right="0" w:hanging="0"/>
              <w:jc w:val="right"/>
              <w:rPr/>
            </w:pPr>
            <w:r>
              <w:rPr/>
              <w:t>​</w:t>
            </w:r>
          </w:p>
        </w:tc>
        <w:tc>
          <w:tcPr>
            <w:tcW w:w="28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(938)</w:t>
            </w:r>
          </w:p>
        </w:tc>
        <w:tc>
          <w:tcPr>
            <w:tcW w:w="109" w:type="dxa"/>
            <w:tcBorders/>
            <w:vAlign w:val="center"/>
          </w:tcPr>
          <w:p>
            <w:pPr>
              <w:pStyle w:val="TableContents"/>
              <w:bidi w:val="0"/>
              <w:spacing w:before="0" w:after="0"/>
              <w:ind w:left="0" w:right="0" w:hanging="0"/>
              <w:jc w:val="left"/>
              <w:rPr/>
            </w:pPr>
            <w:r>
              <w:rPr/>
              <w:t>​</w:t>
            </w:r>
          </w:p>
        </w:tc>
        <w:tc>
          <w:tcPr>
            <w:tcW w:w="134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(100.0)%</w:t>
            </w:r>
          </w:p>
        </w:tc>
      </w:tr>
      <w:tr>
        <w:trPr/>
        <w:tc>
          <w:tcPr>
            <w:tcW w:w="4671" w:type="dxa"/>
            <w:tcBorders/>
            <w:shd w:fill="CCEEFF"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Net Income from Operations</w:t>
            </w:r>
          </w:p>
        </w:tc>
        <w:tc>
          <w:tcPr>
            <w:tcW w:w="109" w:type="dxa"/>
            <w:tcBorders/>
            <w:shd w:fill="CCEEFF" w:val="clear"/>
            <w:vAlign w:val="center"/>
          </w:tcPr>
          <w:p>
            <w:pPr>
              <w:pStyle w:val="TableContents"/>
              <w:bidi w:val="0"/>
              <w:spacing w:before="0" w:after="0"/>
              <w:ind w:left="0" w:right="0" w:hanging="0"/>
              <w:jc w:val="lef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000"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8,707</w:t>
            </w:r>
          </w:p>
        </w:tc>
        <w:tc>
          <w:tcPr>
            <w:tcW w:w="109" w:type="dxa"/>
            <w:tcBorders/>
            <w:shd w:fill="CCEEFF" w:val="clear"/>
            <w:vAlign w:val="center"/>
          </w:tcPr>
          <w:p>
            <w:pPr>
              <w:pStyle w:val="TableContents"/>
              <w:bidi w:val="0"/>
              <w:spacing w:before="0" w:after="0"/>
              <w:ind w:left="0" w:right="0" w:hanging="0"/>
              <w:jc w:val="lef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000"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2,491</w:t>
            </w:r>
          </w:p>
        </w:tc>
        <w:tc>
          <w:tcPr>
            <w:tcW w:w="109" w:type="dxa"/>
            <w:tcBorders/>
            <w:shd w:fill="CCEEFF" w:val="clear"/>
            <w:vAlign w:val="center"/>
          </w:tcPr>
          <w:p>
            <w:pPr>
              <w:pStyle w:val="TableContents"/>
              <w:bidi w:val="0"/>
              <w:spacing w:before="0" w:after="0"/>
              <w:ind w:left="0" w:right="0" w:hanging="0"/>
              <w:jc w:val="right"/>
              <w:rPr/>
            </w:pPr>
            <w:r>
              <w:rPr/>
              <w:t>​</w:t>
            </w:r>
          </w:p>
        </w:tc>
        <w:tc>
          <w:tcPr>
            <w:tcW w:w="283" w:type="dxa"/>
            <w:tcBorders/>
            <w:shd w:fill="CCEEFF" w:val="clear"/>
            <w:vAlign w:val="center"/>
          </w:tcPr>
          <w:p>
            <w:pPr>
              <w:pStyle w:val="TableContents"/>
              <w:bidi w:val="0"/>
              <w:spacing w:before="0" w:after="0"/>
              <w:ind w:left="0" w:right="0" w:hanging="0"/>
              <w:jc w:val="left"/>
              <w:rPr/>
            </w:pPr>
            <w:r>
              <w:rPr/>
              <w:t>​</w:t>
            </w:r>
          </w:p>
        </w:tc>
        <w:tc>
          <w:tcPr>
            <w:tcW w:w="903"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6,216</w:t>
            </w:r>
          </w:p>
        </w:tc>
        <w:tc>
          <w:tcPr>
            <w:tcW w:w="109" w:type="dxa"/>
            <w:tcBorders/>
            <w:shd w:fill="CCEEFF" w:val="clear"/>
            <w:vAlign w:val="center"/>
          </w:tcPr>
          <w:p>
            <w:pPr>
              <w:pStyle w:val="TableContents"/>
              <w:bidi w:val="0"/>
              <w:spacing w:before="0" w:after="0"/>
              <w:ind w:left="0" w:right="0" w:hanging="0"/>
              <w:jc w:val="left"/>
              <w:rPr/>
            </w:pPr>
            <w:r>
              <w:rPr/>
              <w:t>​</w:t>
            </w:r>
          </w:p>
        </w:tc>
        <w:tc>
          <w:tcPr>
            <w:tcW w:w="1340"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249.5%</w:t>
            </w:r>
          </w:p>
        </w:tc>
      </w:tr>
      <w:tr>
        <w:trPr/>
        <w:tc>
          <w:tcPr>
            <w:tcW w:w="467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Investment and Other Income</w:t>
            </w:r>
          </w:p>
        </w:tc>
        <w:tc>
          <w:tcPr>
            <w:tcW w:w="109"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000"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364</w:t>
            </w:r>
          </w:p>
        </w:tc>
        <w:tc>
          <w:tcPr>
            <w:tcW w:w="109"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000"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47</w:t>
            </w:r>
          </w:p>
        </w:tc>
        <w:tc>
          <w:tcPr>
            <w:tcW w:w="109" w:type="dxa"/>
            <w:tcBorders/>
            <w:vAlign w:val="center"/>
          </w:tcPr>
          <w:p>
            <w:pPr>
              <w:pStyle w:val="TableContents"/>
              <w:bidi w:val="0"/>
              <w:spacing w:before="0" w:after="0"/>
              <w:ind w:left="0" w:right="0" w:hanging="0"/>
              <w:jc w:val="right"/>
              <w:rPr/>
            </w:pPr>
            <w:r>
              <w:rPr/>
              <w:t>​</w:t>
            </w:r>
          </w:p>
        </w:tc>
        <w:tc>
          <w:tcPr>
            <w:tcW w:w="283" w:type="dxa"/>
            <w:tcBorders/>
            <w:vAlign w:val="center"/>
          </w:tcPr>
          <w:p>
            <w:pPr>
              <w:pStyle w:val="TableContents"/>
              <w:bidi w:val="0"/>
              <w:spacing w:before="0" w:after="0"/>
              <w:ind w:left="0" w:right="0" w:hanging="0"/>
              <w:jc w:val="left"/>
              <w:rPr/>
            </w:pPr>
            <w:r>
              <w:rPr/>
              <w:t>​</w:t>
            </w:r>
          </w:p>
        </w:tc>
        <w:tc>
          <w:tcPr>
            <w:tcW w:w="903"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317</w:t>
            </w:r>
          </w:p>
        </w:tc>
        <w:tc>
          <w:tcPr>
            <w:tcW w:w="109" w:type="dxa"/>
            <w:tcBorders/>
            <w:vAlign w:val="center"/>
          </w:tcPr>
          <w:p>
            <w:pPr>
              <w:pStyle w:val="TableContents"/>
              <w:bidi w:val="0"/>
              <w:spacing w:before="0" w:after="0"/>
              <w:ind w:left="0" w:right="0" w:hanging="0"/>
              <w:jc w:val="left"/>
              <w:rPr/>
            </w:pPr>
            <w:r>
              <w:rPr/>
              <w:t>​</w:t>
            </w:r>
          </w:p>
        </w:tc>
        <w:tc>
          <w:tcPr>
            <w:tcW w:w="1340"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674.5%</w:t>
            </w:r>
          </w:p>
        </w:tc>
      </w:tr>
      <w:tr>
        <w:trPr/>
        <w:tc>
          <w:tcPr>
            <w:tcW w:w="4671" w:type="dxa"/>
            <w:tcBorders/>
            <w:shd w:fill="CCEEFF"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Interest Expense</w:t>
            </w:r>
          </w:p>
        </w:tc>
        <w:tc>
          <w:tcPr>
            <w:tcW w:w="109" w:type="dxa"/>
            <w:tcBorders/>
            <w:shd w:fill="CCEEFF" w:val="clear"/>
            <w:vAlign w:val="center"/>
          </w:tcPr>
          <w:p>
            <w:pPr>
              <w:pStyle w:val="TableContents"/>
              <w:bidi w:val="0"/>
              <w:spacing w:before="0" w:after="0"/>
              <w:ind w:left="0" w:right="0" w:hanging="0"/>
              <w:jc w:val="left"/>
              <w:rPr/>
            </w:pPr>
            <w:r>
              <w:rPr/>
              <w:t>​</w:t>
            </w:r>
          </w:p>
        </w:tc>
        <w:tc>
          <w:tcPr>
            <w:tcW w:w="28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0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(4,579)</w:t>
            </w:r>
          </w:p>
        </w:tc>
        <w:tc>
          <w:tcPr>
            <w:tcW w:w="109" w:type="dxa"/>
            <w:tcBorders/>
            <w:shd w:fill="CCEEFF" w:val="clear"/>
            <w:vAlign w:val="center"/>
          </w:tcPr>
          <w:p>
            <w:pPr>
              <w:pStyle w:val="TableContents"/>
              <w:bidi w:val="0"/>
              <w:spacing w:before="0" w:after="0"/>
              <w:ind w:left="0" w:right="0" w:hanging="0"/>
              <w:jc w:val="left"/>
              <w:rPr/>
            </w:pPr>
            <w:r>
              <w:rPr/>
              <w:t>​</w:t>
            </w:r>
          </w:p>
        </w:tc>
        <w:tc>
          <w:tcPr>
            <w:tcW w:w="28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0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(4,320)</w:t>
            </w:r>
          </w:p>
        </w:tc>
        <w:tc>
          <w:tcPr>
            <w:tcW w:w="109" w:type="dxa"/>
            <w:tcBorders/>
            <w:shd w:fill="CCEEFF" w:val="clear"/>
            <w:vAlign w:val="center"/>
          </w:tcPr>
          <w:p>
            <w:pPr>
              <w:pStyle w:val="TableContents"/>
              <w:bidi w:val="0"/>
              <w:spacing w:before="0" w:after="0"/>
              <w:ind w:left="0" w:right="0" w:hanging="0"/>
              <w:jc w:val="right"/>
              <w:rPr/>
            </w:pPr>
            <w:r>
              <w:rPr/>
              <w:t>​</w:t>
            </w:r>
          </w:p>
        </w:tc>
        <w:tc>
          <w:tcPr>
            <w:tcW w:w="28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0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(259)</w:t>
            </w:r>
          </w:p>
        </w:tc>
        <w:tc>
          <w:tcPr>
            <w:tcW w:w="109" w:type="dxa"/>
            <w:tcBorders/>
            <w:shd w:fill="CCEEFF" w:val="clear"/>
            <w:vAlign w:val="center"/>
          </w:tcPr>
          <w:p>
            <w:pPr>
              <w:pStyle w:val="TableContents"/>
              <w:bidi w:val="0"/>
              <w:spacing w:before="0" w:after="0"/>
              <w:ind w:left="0" w:right="0" w:hanging="0"/>
              <w:jc w:val="left"/>
              <w:rPr/>
            </w:pPr>
            <w:r>
              <w:rPr/>
              <w:t>​</w:t>
            </w:r>
          </w:p>
        </w:tc>
        <w:tc>
          <w:tcPr>
            <w:tcW w:w="134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(6.0)%</w:t>
            </w:r>
          </w:p>
        </w:tc>
      </w:tr>
      <w:tr>
        <w:trPr/>
        <w:tc>
          <w:tcPr>
            <w:tcW w:w="467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Net Income (Loss)</w:t>
            </w:r>
          </w:p>
        </w:tc>
        <w:tc>
          <w:tcPr>
            <w:tcW w:w="109"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000"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4,492</w:t>
            </w:r>
          </w:p>
        </w:tc>
        <w:tc>
          <w:tcPr>
            <w:tcW w:w="109"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000"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(1,782)</w:t>
            </w:r>
          </w:p>
        </w:tc>
        <w:tc>
          <w:tcPr>
            <w:tcW w:w="109" w:type="dxa"/>
            <w:tcBorders/>
            <w:vAlign w:val="center"/>
          </w:tcPr>
          <w:p>
            <w:pPr>
              <w:pStyle w:val="TableContents"/>
              <w:bidi w:val="0"/>
              <w:spacing w:before="0" w:after="0"/>
              <w:ind w:left="0" w:right="0" w:hanging="0"/>
              <w:jc w:val="right"/>
              <w:rPr/>
            </w:pPr>
            <w:r>
              <w:rPr/>
              <w:t>​</w:t>
            </w:r>
          </w:p>
        </w:tc>
        <w:tc>
          <w:tcPr>
            <w:tcW w:w="283" w:type="dxa"/>
            <w:tcBorders/>
            <w:vAlign w:val="center"/>
          </w:tcPr>
          <w:p>
            <w:pPr>
              <w:pStyle w:val="TableContents"/>
              <w:bidi w:val="0"/>
              <w:spacing w:before="0" w:after="0"/>
              <w:ind w:left="0" w:right="0" w:hanging="0"/>
              <w:jc w:val="left"/>
              <w:rPr/>
            </w:pPr>
            <w:r>
              <w:rPr/>
              <w:t>​</w:t>
            </w:r>
          </w:p>
        </w:tc>
        <w:tc>
          <w:tcPr>
            <w:tcW w:w="903"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6,274</w:t>
            </w:r>
          </w:p>
        </w:tc>
        <w:tc>
          <w:tcPr>
            <w:tcW w:w="109" w:type="dxa"/>
            <w:tcBorders/>
            <w:vAlign w:val="center"/>
          </w:tcPr>
          <w:p>
            <w:pPr>
              <w:pStyle w:val="TableContents"/>
              <w:bidi w:val="0"/>
              <w:spacing w:before="0" w:after="0"/>
              <w:ind w:left="0" w:right="0" w:hanging="0"/>
              <w:jc w:val="left"/>
              <w:rPr/>
            </w:pPr>
            <w:r>
              <w:rPr/>
              <w:t>​</w:t>
            </w:r>
          </w:p>
        </w:tc>
        <w:tc>
          <w:tcPr>
            <w:tcW w:w="1340"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352.1%</w:t>
            </w:r>
          </w:p>
        </w:tc>
      </w:tr>
      <w:tr>
        <w:trPr/>
        <w:tc>
          <w:tcPr>
            <w:tcW w:w="4671" w:type="dxa"/>
            <w:tcBorders/>
            <w:shd w:fill="CCEEFF"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Less: Net Loss (Income) Attributable to Noncontrolling Interest</w:t>
            </w:r>
          </w:p>
        </w:tc>
        <w:tc>
          <w:tcPr>
            <w:tcW w:w="109" w:type="dxa"/>
            <w:tcBorders/>
            <w:shd w:fill="CCEEFF" w:val="clear"/>
            <w:vAlign w:val="center"/>
          </w:tcPr>
          <w:p>
            <w:pPr>
              <w:pStyle w:val="TableContents"/>
              <w:bidi w:val="0"/>
              <w:spacing w:before="0" w:after="0"/>
              <w:ind w:left="0" w:right="0" w:hanging="0"/>
              <w:jc w:val="left"/>
              <w:rPr/>
            </w:pPr>
            <w:r>
              <w:rPr/>
              <w:t>​</w:t>
            </w:r>
          </w:p>
        </w:tc>
        <w:tc>
          <w:tcPr>
            <w:tcW w:w="28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0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(301)</w:t>
            </w:r>
          </w:p>
        </w:tc>
        <w:tc>
          <w:tcPr>
            <w:tcW w:w="109" w:type="dxa"/>
            <w:tcBorders/>
            <w:shd w:fill="CCEEFF" w:val="clear"/>
            <w:vAlign w:val="center"/>
          </w:tcPr>
          <w:p>
            <w:pPr>
              <w:pStyle w:val="TableContents"/>
              <w:bidi w:val="0"/>
              <w:spacing w:before="0" w:after="0"/>
              <w:ind w:left="0" w:right="0" w:hanging="0"/>
              <w:jc w:val="left"/>
              <w:rPr/>
            </w:pPr>
            <w:r>
              <w:rPr/>
              <w:t>​</w:t>
            </w:r>
          </w:p>
        </w:tc>
        <w:tc>
          <w:tcPr>
            <w:tcW w:w="28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0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141</w:t>
            </w:r>
          </w:p>
        </w:tc>
        <w:tc>
          <w:tcPr>
            <w:tcW w:w="109" w:type="dxa"/>
            <w:tcBorders/>
            <w:shd w:fill="CCEEFF" w:val="clear"/>
            <w:vAlign w:val="center"/>
          </w:tcPr>
          <w:p>
            <w:pPr>
              <w:pStyle w:val="TableContents"/>
              <w:bidi w:val="0"/>
              <w:spacing w:before="0" w:after="0"/>
              <w:ind w:left="0" w:right="0" w:hanging="0"/>
              <w:jc w:val="right"/>
              <w:rPr/>
            </w:pPr>
            <w:r>
              <w:rPr/>
              <w:t>​</w:t>
            </w:r>
          </w:p>
        </w:tc>
        <w:tc>
          <w:tcPr>
            <w:tcW w:w="28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0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(442)</w:t>
            </w:r>
          </w:p>
        </w:tc>
        <w:tc>
          <w:tcPr>
            <w:tcW w:w="109" w:type="dxa"/>
            <w:tcBorders/>
            <w:shd w:fill="CCEEFF" w:val="clear"/>
            <w:vAlign w:val="center"/>
          </w:tcPr>
          <w:p>
            <w:pPr>
              <w:pStyle w:val="TableContents"/>
              <w:bidi w:val="0"/>
              <w:spacing w:before="0" w:after="0"/>
              <w:ind w:left="0" w:right="0" w:hanging="0"/>
              <w:jc w:val="left"/>
              <w:rPr/>
            </w:pPr>
            <w:r>
              <w:rPr/>
              <w:t>​</w:t>
            </w:r>
          </w:p>
        </w:tc>
        <w:tc>
          <w:tcPr>
            <w:tcW w:w="134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(313.5)%</w:t>
            </w:r>
          </w:p>
        </w:tc>
      </w:tr>
      <w:tr>
        <w:trPr/>
        <w:tc>
          <w:tcPr>
            <w:tcW w:w="467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Net Income (Loss) Attributable to Alpine Income Property Trust, Inc.</w:t>
            </w:r>
          </w:p>
        </w:tc>
        <w:tc>
          <w:tcPr>
            <w:tcW w:w="109" w:type="dxa"/>
            <w:tcBorders/>
            <w:vAlign w:val="center"/>
          </w:tcPr>
          <w:p>
            <w:pPr>
              <w:pStyle w:val="TableContents"/>
              <w:bidi w:val="0"/>
              <w:spacing w:before="0" w:after="0"/>
              <w:ind w:left="0" w:right="0" w:hanging="0"/>
              <w:jc w:val="left"/>
              <w:rPr/>
            </w:pPr>
            <w:r>
              <w:rPr/>
              <w:t>​</w:t>
            </w:r>
          </w:p>
        </w:tc>
        <w:tc>
          <w:tcPr>
            <w:tcW w:w="28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w:t>
            </w:r>
          </w:p>
        </w:tc>
        <w:tc>
          <w:tcPr>
            <w:tcW w:w="100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4,191</w:t>
            </w:r>
          </w:p>
        </w:tc>
        <w:tc>
          <w:tcPr>
            <w:tcW w:w="109" w:type="dxa"/>
            <w:tcBorders/>
            <w:vAlign w:val="center"/>
          </w:tcPr>
          <w:p>
            <w:pPr>
              <w:pStyle w:val="TableContents"/>
              <w:bidi w:val="0"/>
              <w:spacing w:before="0" w:after="0"/>
              <w:ind w:left="0" w:right="0" w:hanging="0"/>
              <w:jc w:val="left"/>
              <w:rPr/>
            </w:pPr>
            <w:r>
              <w:rPr/>
              <w:t>​</w:t>
            </w:r>
          </w:p>
        </w:tc>
        <w:tc>
          <w:tcPr>
            <w:tcW w:w="28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w:t>
            </w:r>
          </w:p>
        </w:tc>
        <w:tc>
          <w:tcPr>
            <w:tcW w:w="100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(1,641)</w:t>
            </w:r>
          </w:p>
        </w:tc>
        <w:tc>
          <w:tcPr>
            <w:tcW w:w="109" w:type="dxa"/>
            <w:tcBorders/>
            <w:vAlign w:val="center"/>
          </w:tcPr>
          <w:p>
            <w:pPr>
              <w:pStyle w:val="TableContents"/>
              <w:bidi w:val="0"/>
              <w:spacing w:before="0" w:after="0"/>
              <w:ind w:left="0" w:right="0" w:hanging="0"/>
              <w:jc w:val="right"/>
              <w:rPr/>
            </w:pPr>
            <w:r>
              <w:rPr/>
              <w:t>​</w:t>
            </w:r>
          </w:p>
        </w:tc>
        <w:tc>
          <w:tcPr>
            <w:tcW w:w="28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w:t>
            </w:r>
          </w:p>
        </w:tc>
        <w:tc>
          <w:tcPr>
            <w:tcW w:w="90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5,832</w:t>
            </w:r>
          </w:p>
        </w:tc>
        <w:tc>
          <w:tcPr>
            <w:tcW w:w="109" w:type="dxa"/>
            <w:tcBorders/>
            <w:vAlign w:val="center"/>
          </w:tcPr>
          <w:p>
            <w:pPr>
              <w:pStyle w:val="TableContents"/>
              <w:bidi w:val="0"/>
              <w:spacing w:before="0" w:after="0"/>
              <w:ind w:left="0" w:right="0" w:hanging="0"/>
              <w:jc w:val="left"/>
              <w:rPr/>
            </w:pPr>
            <w:r>
              <w:rPr/>
              <w:t>​</w:t>
            </w:r>
          </w:p>
        </w:tc>
        <w:tc>
          <w:tcPr>
            <w:tcW w:w="1340" w:type="dxa"/>
            <w:tcBorders>
              <w:bottom w:val="double" w:sz="6" w:space="0" w:color="000000"/>
            </w:tcBorders>
            <w:tcMar>
              <w:bottom w:w="28" w:type="dxa"/>
            </w:tcMar>
            <w:vAlign w:val="center"/>
          </w:tcPr>
          <w:p>
            <w:pPr>
              <w:pStyle w:val="TableContents"/>
              <w:bidi w:val="0"/>
              <w:spacing w:before="0" w:after="0"/>
              <w:ind w:left="0" w:right="72" w:hanging="0"/>
              <w:jc w:val="right"/>
              <w:rPr>
                <w:rFonts w:ascii="Times New Roman;Times;serif" w:hAnsi="Times New Roman;Times;serif"/>
                <w:sz w:val="22"/>
              </w:rPr>
            </w:pPr>
            <w:r>
              <w:rPr>
                <w:rFonts w:ascii="Times New Roman;Times;serif" w:hAnsi="Times New Roman;Times;serif"/>
                <w:sz w:val="22"/>
              </w:rPr>
              <w:t>355.4%</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Lease Income and Real Estate Expenses</w:t>
      </w:r>
    </w:p>
    <w:p>
      <w:pPr>
        <w:pStyle w:val="TextBody"/>
        <w:bidi w:val="0"/>
        <w:spacing w:before="0" w:after="0"/>
        <w:ind w:left="0" w:right="0" w:hanging="0"/>
        <w:jc w:val="both"/>
        <w:rPr/>
      </w:pPr>
      <w:r>
        <w:rPr/>
        <w:t>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Revenue from our property operations totaled $12.6 million and $12.0 million during the three months ended June 30, 2026 and 2025, respectively. The $0.6 million increase in lease income is primarily attributable to an increase in rents due to the volume of property acquisitions versus dispositions. The direct costs of revenues for our income properties totaled $2.1 million during the three months ended June 30, 2026 and 2025, respectively. </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Commercial Loans and Investments </w:t>
      </w:r>
    </w:p>
    <w:p>
      <w:pPr>
        <w:pStyle w:val="TextBody"/>
        <w:bidi w:val="0"/>
        <w:spacing w:before="0" w:after="0"/>
        <w:ind w:left="0" w:right="0" w:firstLine="360"/>
        <w:jc w:val="both"/>
        <w:rPr/>
      </w:pPr>
      <w:r>
        <w:rPr/>
        <w:t>​</w:t>
      </w:r>
    </w:p>
    <w:p>
      <w:pPr>
        <w:pStyle w:val="TextBody"/>
        <w:bidi w:val="0"/>
        <w:spacing w:before="0" w:after="0"/>
        <w:ind w:left="0" w:right="0" w:firstLine="432"/>
        <w:jc w:val="both"/>
        <w:rPr>
          <w:rFonts w:ascii="Times New Roman;Times;serif" w:hAnsi="Times New Roman;Times;serif"/>
          <w:sz w:val="20"/>
        </w:rPr>
      </w:pPr>
      <w:r>
        <w:rPr>
          <w:rFonts w:ascii="Times New Roman;Times;serif" w:hAnsi="Times New Roman;Times;serif"/>
          <w:sz w:val="20"/>
        </w:rPr>
        <w:t xml:space="preserve">Interest income from commercial loans and investments totaled $7.3 million and $2.7 million for the three months ended June 30, 2026 and 2025, respectively. The $4.6 million increase in income is attributable to the expanded portfolio of commercial loans and investments which, as of June 30, 2026, was comprised of nine construction/redevelopment loans, four mortgage notes, four properties acquired pursuant to sale-leaseback transactions whereby the tenants have future repurchase rights, and one sales-type lease. As of June 30, 2025, the Company’s portfolio of commercial loans and investments was comprised of six construction loans, five mortgage notes, and three properties acquired pursuant to sale-leaseback transactions whereby the tenants have future repurchase rights. </w:t>
      </w:r>
    </w:p>
    <w:p>
      <w:pPr>
        <w:pStyle w:val="TextBody"/>
        <w:bidi w:val="0"/>
        <w:spacing w:before="0" w:after="0"/>
        <w:ind w:left="0" w:right="0" w:firstLine="432"/>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Other Revenue</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Other revenue totaled less than $0.1 million and $0.1 million for the three months ended June 30, 2026 and 2025, respectively. The revenue is attributable to fees earned from a revenue sharing agreement the Company entered into with CTO as further described in Note 19, “Related Party Management Company” in the Notes to the Financial Statements.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General and Administrative Expenses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following table represents the Company’s general and administrative expenses for the three months ended June 30, 2026, as compared to the three months ended June 30, 2025 (in thousands):</w:t>
      </w:r>
    </w:p>
    <w:p>
      <w:pPr>
        <w:pStyle w:val="TextBody"/>
        <w:bidi w:val="0"/>
        <w:spacing w:before="0" w:after="0"/>
        <w:ind w:left="0" w:right="0" w:hanging="0"/>
        <w:jc w:val="left"/>
        <w:rPr/>
      </w:pPr>
      <w:r>
        <w:rPr/>
        <w:t>​</w:t>
      </w:r>
    </w:p>
    <w:tbl>
      <w:tblPr>
        <w:tblW w:w="9227" w:type="dxa"/>
        <w:jc w:val="left"/>
        <w:tblInd w:w="0" w:type="dxa"/>
        <w:tblLayout w:type="fixed"/>
        <w:tblCellMar>
          <w:top w:w="0" w:type="dxa"/>
          <w:left w:w="0" w:type="dxa"/>
          <w:bottom w:w="0" w:type="dxa"/>
          <w:right w:w="0" w:type="dxa"/>
        </w:tblCellMar>
      </w:tblPr>
      <w:tblGrid>
        <w:gridCol w:w="4021"/>
        <w:gridCol w:w="109"/>
        <w:gridCol w:w="343"/>
        <w:gridCol w:w="932"/>
        <w:gridCol w:w="122"/>
        <w:gridCol w:w="343"/>
        <w:gridCol w:w="932"/>
        <w:gridCol w:w="109"/>
        <w:gridCol w:w="345"/>
        <w:gridCol w:w="691"/>
        <w:gridCol w:w="109"/>
        <w:gridCol w:w="1171"/>
      </w:tblGrid>
      <w:tr>
        <w:trPr/>
        <w:tc>
          <w:tcPr>
            <w:tcW w:w="40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1">
                      <wp:simplePos x="0" y="0"/>
                      <wp:positionH relativeFrom="character">
                        <wp:align>left</wp:align>
                      </wp:positionH>
                      <wp:positionV relativeFrom="line">
                        <wp:posOffset>635</wp:posOffset>
                      </wp:positionV>
                      <wp:extent cx="69215" cy="175260"/>
                      <wp:effectExtent l="0" t="0" r="0" b="0"/>
                      <wp:wrapNone/>
                      <wp:docPr id="410" name="Frame41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2">
                      <wp:simplePos x="0" y="0"/>
                      <wp:positionH relativeFrom="character">
                        <wp:align>left</wp:align>
                      </wp:positionH>
                      <wp:positionV relativeFrom="line">
                        <wp:posOffset>635</wp:posOffset>
                      </wp:positionV>
                      <wp:extent cx="217805" cy="175260"/>
                      <wp:effectExtent l="0" t="0" r="0" b="0"/>
                      <wp:wrapNone/>
                      <wp:docPr id="411" name="Frame411"/>
                      <a:graphic xmlns:a="http://schemas.openxmlformats.org/drawingml/2006/main">
                        <a:graphicData uri="http://schemas.microsoft.com/office/word/2010/wordprocessingShape">
                          <wps:wsp>
                            <wps:cNvSpPr txBox="1"/>
                            <wps:spPr>
                              <a:xfrm>
                                <a:off x="0" y="0"/>
                                <a:ext cx="2178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3">
                      <wp:simplePos x="0" y="0"/>
                      <wp:positionH relativeFrom="character">
                        <wp:align>left</wp:align>
                      </wp:positionH>
                      <wp:positionV relativeFrom="line">
                        <wp:posOffset>635</wp:posOffset>
                      </wp:positionV>
                      <wp:extent cx="591820" cy="175260"/>
                      <wp:effectExtent l="0" t="0" r="0" b="0"/>
                      <wp:wrapNone/>
                      <wp:docPr id="412" name="Frame412"/>
                      <a:graphic xmlns:a="http://schemas.openxmlformats.org/drawingml/2006/main">
                        <a:graphicData uri="http://schemas.microsoft.com/office/word/2010/wordprocessingShape">
                          <wps:wsp>
                            <wps:cNvSpPr txBox="1"/>
                            <wps:spPr>
                              <a:xfrm>
                                <a:off x="0" y="0"/>
                                <a:ext cx="5918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4">
                      <wp:simplePos x="0" y="0"/>
                      <wp:positionH relativeFrom="character">
                        <wp:align>left</wp:align>
                      </wp:positionH>
                      <wp:positionV relativeFrom="line">
                        <wp:posOffset>635</wp:posOffset>
                      </wp:positionV>
                      <wp:extent cx="77470" cy="175260"/>
                      <wp:effectExtent l="0" t="0" r="0" b="0"/>
                      <wp:wrapNone/>
                      <wp:docPr id="413" name="Frame413"/>
                      <a:graphic xmlns:a="http://schemas.openxmlformats.org/drawingml/2006/main">
                        <a:graphicData uri="http://schemas.microsoft.com/office/word/2010/wordprocessingShape">
                          <wps:wsp>
                            <wps:cNvSpPr txBox="1"/>
                            <wps:spPr>
                              <a:xfrm>
                                <a:off x="0" y="0"/>
                                <a:ext cx="774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5">
                      <wp:simplePos x="0" y="0"/>
                      <wp:positionH relativeFrom="character">
                        <wp:align>left</wp:align>
                      </wp:positionH>
                      <wp:positionV relativeFrom="line">
                        <wp:posOffset>635</wp:posOffset>
                      </wp:positionV>
                      <wp:extent cx="217805" cy="175260"/>
                      <wp:effectExtent l="0" t="0" r="0" b="0"/>
                      <wp:wrapNone/>
                      <wp:docPr id="414" name="Frame414"/>
                      <a:graphic xmlns:a="http://schemas.openxmlformats.org/drawingml/2006/main">
                        <a:graphicData uri="http://schemas.microsoft.com/office/word/2010/wordprocessingShape">
                          <wps:wsp>
                            <wps:cNvSpPr txBox="1"/>
                            <wps:spPr>
                              <a:xfrm>
                                <a:off x="0" y="0"/>
                                <a:ext cx="2178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6">
                      <wp:simplePos x="0" y="0"/>
                      <wp:positionH relativeFrom="character">
                        <wp:align>left</wp:align>
                      </wp:positionH>
                      <wp:positionV relativeFrom="line">
                        <wp:posOffset>635</wp:posOffset>
                      </wp:positionV>
                      <wp:extent cx="591820" cy="175260"/>
                      <wp:effectExtent l="0" t="0" r="0" b="0"/>
                      <wp:wrapNone/>
                      <wp:docPr id="415" name="Frame415"/>
                      <a:graphic xmlns:a="http://schemas.openxmlformats.org/drawingml/2006/main">
                        <a:graphicData uri="http://schemas.microsoft.com/office/word/2010/wordprocessingShape">
                          <wps:wsp>
                            <wps:cNvSpPr txBox="1"/>
                            <wps:spPr>
                              <a:xfrm>
                                <a:off x="0" y="0"/>
                                <a:ext cx="5918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7">
                      <wp:simplePos x="0" y="0"/>
                      <wp:positionH relativeFrom="character">
                        <wp:align>left</wp:align>
                      </wp:positionH>
                      <wp:positionV relativeFrom="line">
                        <wp:posOffset>635</wp:posOffset>
                      </wp:positionV>
                      <wp:extent cx="69215" cy="175260"/>
                      <wp:effectExtent l="0" t="0" r="0" b="0"/>
                      <wp:wrapNone/>
                      <wp:docPr id="416" name="Frame41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8">
                      <wp:simplePos x="0" y="0"/>
                      <wp:positionH relativeFrom="character">
                        <wp:align>left</wp:align>
                      </wp:positionH>
                      <wp:positionV relativeFrom="line">
                        <wp:posOffset>635</wp:posOffset>
                      </wp:positionV>
                      <wp:extent cx="219075" cy="175260"/>
                      <wp:effectExtent l="0" t="0" r="0" b="0"/>
                      <wp:wrapNone/>
                      <wp:docPr id="417" name="Frame417"/>
                      <a:graphic xmlns:a="http://schemas.openxmlformats.org/drawingml/2006/main">
                        <a:graphicData uri="http://schemas.microsoft.com/office/word/2010/wordprocessingShape">
                          <wps:wsp>
                            <wps:cNvSpPr txBox="1"/>
                            <wps:spPr>
                              <a:xfrm>
                                <a:off x="0" y="0"/>
                                <a:ext cx="2190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9">
                      <wp:simplePos x="0" y="0"/>
                      <wp:positionH relativeFrom="character">
                        <wp:align>left</wp:align>
                      </wp:positionH>
                      <wp:positionV relativeFrom="line">
                        <wp:posOffset>635</wp:posOffset>
                      </wp:positionV>
                      <wp:extent cx="438785" cy="175260"/>
                      <wp:effectExtent l="0" t="0" r="0" b="0"/>
                      <wp:wrapNone/>
                      <wp:docPr id="418" name="Frame418"/>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0">
                      <wp:simplePos x="0" y="0"/>
                      <wp:positionH relativeFrom="character">
                        <wp:align>left</wp:align>
                      </wp:positionH>
                      <wp:positionV relativeFrom="line">
                        <wp:posOffset>635</wp:posOffset>
                      </wp:positionV>
                      <wp:extent cx="69215" cy="175260"/>
                      <wp:effectExtent l="0" t="0" r="0" b="0"/>
                      <wp:wrapNone/>
                      <wp:docPr id="419" name="Frame41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1">
                      <wp:simplePos x="0" y="0"/>
                      <wp:positionH relativeFrom="character">
                        <wp:align>left</wp:align>
                      </wp:positionH>
                      <wp:positionV relativeFrom="line">
                        <wp:posOffset>635</wp:posOffset>
                      </wp:positionV>
                      <wp:extent cx="743585" cy="175260"/>
                      <wp:effectExtent l="0" t="0" r="0" b="0"/>
                      <wp:wrapNone/>
                      <wp:docPr id="420" name="Frame420"/>
                      <a:graphic xmlns:a="http://schemas.openxmlformats.org/drawingml/2006/main">
                        <a:graphicData uri="http://schemas.microsoft.com/office/word/2010/wordprocessingShape">
                          <wps:wsp>
                            <wps:cNvSpPr txBox="1"/>
                            <wps:spPr>
                              <a:xfrm>
                                <a:off x="0" y="0"/>
                                <a:ext cx="743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0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672"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Three Months Ended</w:t>
            </w:r>
          </w:p>
        </w:tc>
        <w:tc>
          <w:tcPr>
            <w:tcW w:w="109" w:type="dxa"/>
            <w:tcBorders/>
            <w:vAlign w:val="center"/>
          </w:tcPr>
          <w:p>
            <w:pPr>
              <w:pStyle w:val="TableContents"/>
              <w:bidi w:val="0"/>
              <w:spacing w:before="0" w:after="0"/>
              <w:ind w:left="0" w:right="0" w:hanging="0"/>
              <w:jc w:val="left"/>
              <w:rPr/>
            </w:pPr>
            <w:r>
              <w:rPr/>
              <w:t>​</w:t>
            </w:r>
          </w:p>
        </w:tc>
        <w:tc>
          <w:tcPr>
            <w:tcW w:w="345"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0"/>
              <w:ind w:left="0" w:right="0" w:hanging="0"/>
              <w:jc w:val="left"/>
              <w:rPr/>
            </w:pPr>
            <w:r>
              <w:rPr/>
              <w:t>​</w:t>
            </w:r>
          </w:p>
        </w:tc>
      </w:tr>
      <w:tr>
        <w:trPr/>
        <w:tc>
          <w:tcPr>
            <w:tcW w:w="40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2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2026</w:t>
            </w:r>
          </w:p>
        </w:tc>
        <w:tc>
          <w:tcPr>
            <w:tcW w:w="122" w:type="dxa"/>
            <w:tcBorders/>
            <w:vAlign w:val="center"/>
          </w:tcPr>
          <w:p>
            <w:pPr>
              <w:pStyle w:val="TableContents"/>
              <w:bidi w:val="0"/>
              <w:spacing w:before="0" w:after="0"/>
              <w:ind w:left="0" w:right="0" w:hanging="0"/>
              <w:jc w:val="left"/>
              <w:rPr/>
            </w:pPr>
            <w:r>
              <w:rPr/>
              <w:t>​</w:t>
            </w:r>
          </w:p>
        </w:tc>
        <w:tc>
          <w:tcPr>
            <w:tcW w:w="12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2025</w:t>
            </w:r>
          </w:p>
        </w:tc>
        <w:tc>
          <w:tcPr>
            <w:tcW w:w="109" w:type="dxa"/>
            <w:tcBorders/>
            <w:vAlign w:val="center"/>
          </w:tcPr>
          <w:p>
            <w:pPr>
              <w:pStyle w:val="TableContents"/>
              <w:bidi w:val="0"/>
              <w:spacing w:before="0" w:after="0"/>
              <w:ind w:left="0" w:right="0" w:hanging="0"/>
              <w:jc w:val="center"/>
              <w:rPr/>
            </w:pPr>
            <w:r>
              <w:rPr/>
              <w:t>​</w:t>
            </w:r>
          </w:p>
        </w:tc>
        <w:tc>
          <w:tcPr>
            <w:tcW w:w="103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Variance</w:t>
            </w:r>
          </w:p>
        </w:tc>
        <w:tc>
          <w:tcPr>
            <w:tcW w:w="109" w:type="dxa"/>
            <w:tcBorders/>
            <w:vAlign w:val="center"/>
          </w:tcPr>
          <w:p>
            <w:pPr>
              <w:pStyle w:val="TableContents"/>
              <w:bidi w:val="0"/>
              <w:spacing w:before="0" w:after="0"/>
              <w:ind w:left="0" w:right="0" w:hanging="0"/>
              <w:jc w:val="center"/>
              <w:rPr/>
            </w:pPr>
            <w:r>
              <w:rPr/>
              <w:t>​</w:t>
            </w:r>
          </w:p>
        </w:tc>
        <w:tc>
          <w:tcPr>
            <w:tcW w:w="11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Variance</w:t>
            </w:r>
          </w:p>
        </w:tc>
      </w:tr>
      <w:tr>
        <w:trPr/>
        <w:tc>
          <w:tcPr>
            <w:tcW w:w="40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Management Fee to Manager</w:t>
            </w:r>
          </w:p>
        </w:tc>
        <w:tc>
          <w:tcPr>
            <w:tcW w:w="109" w:type="dxa"/>
            <w:tcBorders/>
            <w:shd w:fill="CCEEFF" w:val="clear"/>
            <w:vAlign w:val="center"/>
          </w:tcPr>
          <w:p>
            <w:pPr>
              <w:pStyle w:val="TableContents"/>
              <w:bidi w:val="0"/>
              <w:spacing w:before="0" w:after="0"/>
              <w:ind w:left="0" w:right="0" w:hanging="0"/>
              <w:jc w:val="left"/>
              <w:rPr/>
            </w:pPr>
            <w:r>
              <w:rPr/>
              <w:t>​</w:t>
            </w:r>
          </w:p>
        </w:tc>
        <w:tc>
          <w:tcPr>
            <w:tcW w:w="34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1,389</w:t>
            </w:r>
          </w:p>
        </w:tc>
        <w:tc>
          <w:tcPr>
            <w:tcW w:w="122" w:type="dxa"/>
            <w:tcBorders/>
            <w:shd w:fill="CCEEFF" w:val="clear"/>
            <w:vAlign w:val="center"/>
          </w:tcPr>
          <w:p>
            <w:pPr>
              <w:pStyle w:val="TableContents"/>
              <w:bidi w:val="0"/>
              <w:spacing w:before="0" w:after="0"/>
              <w:ind w:left="0" w:right="0" w:hanging="0"/>
              <w:jc w:val="left"/>
              <w:rPr/>
            </w:pPr>
            <w:r>
              <w:rPr/>
              <w:t>​</w:t>
            </w:r>
          </w:p>
        </w:tc>
        <w:tc>
          <w:tcPr>
            <w:tcW w:w="34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1,085</w:t>
            </w:r>
          </w:p>
        </w:tc>
        <w:tc>
          <w:tcPr>
            <w:tcW w:w="109" w:type="dxa"/>
            <w:tcBorders/>
            <w:shd w:fill="CCEEFF" w:val="clear"/>
            <w:vAlign w:val="center"/>
          </w:tcPr>
          <w:p>
            <w:pPr>
              <w:pStyle w:val="TableContents"/>
              <w:bidi w:val="0"/>
              <w:spacing w:before="0" w:after="0"/>
              <w:ind w:left="0" w:right="0" w:hanging="0"/>
              <w:jc w:val="center"/>
              <w:rPr/>
            </w:pPr>
            <w:r>
              <w:rPr/>
              <w:t>​</w:t>
            </w:r>
          </w:p>
        </w:tc>
        <w:tc>
          <w:tcPr>
            <w:tcW w:w="3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304</w:t>
            </w:r>
          </w:p>
        </w:tc>
        <w:tc>
          <w:tcPr>
            <w:tcW w:w="109" w:type="dxa"/>
            <w:tcBorders/>
            <w:shd w:fill="CCEEFF" w:val="clear"/>
            <w:vAlign w:val="center"/>
          </w:tcPr>
          <w:p>
            <w:pPr>
              <w:pStyle w:val="TableContents"/>
              <w:bidi w:val="0"/>
              <w:spacing w:before="0" w:after="0"/>
              <w:ind w:left="0" w:right="0" w:hanging="0"/>
              <w:jc w:val="left"/>
              <w:rPr/>
            </w:pPr>
            <w:r>
              <w:rPr/>
              <w:t>​</w:t>
            </w:r>
          </w:p>
        </w:tc>
        <w:tc>
          <w:tcPr>
            <w:tcW w:w="11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28.0%</w:t>
            </w:r>
          </w:p>
        </w:tc>
      </w:tr>
      <w:tr>
        <w:trPr/>
        <w:tc>
          <w:tcPr>
            <w:tcW w:w="4021"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Director Compensation Expense </w:t>
            </w:r>
          </w:p>
        </w:tc>
        <w:tc>
          <w:tcPr>
            <w:tcW w:w="109" w:type="dxa"/>
            <w:tcBorders/>
            <w:vAlign w:val="center"/>
          </w:tcPr>
          <w:p>
            <w:pPr>
              <w:pStyle w:val="TableContents"/>
              <w:bidi w:val="0"/>
              <w:spacing w:before="0" w:after="0"/>
              <w:ind w:left="0" w:right="0" w:hanging="0"/>
              <w:jc w:val="left"/>
              <w:rPr/>
            </w:pPr>
            <w:r>
              <w:rPr/>
              <w:t>​</w:t>
            </w:r>
          </w:p>
        </w:tc>
        <w:tc>
          <w:tcPr>
            <w:tcW w:w="343" w:type="dxa"/>
            <w:tcBorders/>
            <w:vAlign w:val="center"/>
          </w:tcPr>
          <w:p>
            <w:pPr>
              <w:pStyle w:val="TableContents"/>
              <w:bidi w:val="0"/>
              <w:spacing w:before="0" w:after="0"/>
              <w:ind w:left="0" w:right="0" w:hanging="0"/>
              <w:jc w:val="left"/>
              <w:rPr/>
            </w:pPr>
            <w:r>
              <w:rPr/>
              <w:t>​</w:t>
            </w:r>
          </w:p>
        </w:tc>
        <w:tc>
          <w:tcPr>
            <w:tcW w:w="93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w:t>
            </w:r>
          </w:p>
        </w:tc>
        <w:tc>
          <w:tcPr>
            <w:tcW w:w="122" w:type="dxa"/>
            <w:tcBorders/>
            <w:vAlign w:val="center"/>
          </w:tcPr>
          <w:p>
            <w:pPr>
              <w:pStyle w:val="TableContents"/>
              <w:bidi w:val="0"/>
              <w:spacing w:before="0" w:after="0"/>
              <w:ind w:left="0" w:right="0" w:hanging="0"/>
              <w:jc w:val="left"/>
              <w:rPr/>
            </w:pPr>
            <w:r>
              <w:rPr/>
              <w:t>​</w:t>
            </w:r>
          </w:p>
        </w:tc>
        <w:tc>
          <w:tcPr>
            <w:tcW w:w="343" w:type="dxa"/>
            <w:tcBorders/>
            <w:vAlign w:val="center"/>
          </w:tcPr>
          <w:p>
            <w:pPr>
              <w:pStyle w:val="TableContents"/>
              <w:bidi w:val="0"/>
              <w:spacing w:before="0" w:after="0"/>
              <w:ind w:left="0" w:right="0" w:hanging="0"/>
              <w:jc w:val="left"/>
              <w:rPr/>
            </w:pPr>
            <w:r>
              <w:rPr/>
              <w:t>​</w:t>
            </w:r>
          </w:p>
        </w:tc>
        <w:tc>
          <w:tcPr>
            <w:tcW w:w="93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w:t>
            </w:r>
          </w:p>
        </w:tc>
        <w:tc>
          <w:tcPr>
            <w:tcW w:w="109" w:type="dxa"/>
            <w:tcBorders/>
            <w:vAlign w:val="center"/>
          </w:tcPr>
          <w:p>
            <w:pPr>
              <w:pStyle w:val="TableContents"/>
              <w:bidi w:val="0"/>
              <w:spacing w:before="0" w:after="0"/>
              <w:ind w:left="0" w:right="0" w:hanging="0"/>
              <w:jc w:val="center"/>
              <w:rPr/>
            </w:pPr>
            <w:r>
              <w:rPr/>
              <w:t>​</w:t>
            </w:r>
          </w:p>
        </w:tc>
        <w:tc>
          <w:tcPr>
            <w:tcW w:w="345"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109" w:type="dxa"/>
            <w:tcBorders/>
            <w:vAlign w:val="center"/>
          </w:tcPr>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(0.8%)</w:t>
            </w:r>
          </w:p>
        </w:tc>
      </w:tr>
      <w:tr>
        <w:trPr/>
        <w:tc>
          <w:tcPr>
            <w:tcW w:w="40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 &amp; Officer Insurance Expense</w:t>
            </w:r>
          </w:p>
        </w:tc>
        <w:tc>
          <w:tcPr>
            <w:tcW w:w="109" w:type="dxa"/>
            <w:tcBorders/>
            <w:shd w:fill="CCEEFF" w:val="clear"/>
            <w:vAlign w:val="center"/>
          </w:tcPr>
          <w:p>
            <w:pPr>
              <w:pStyle w:val="TableContents"/>
              <w:bidi w:val="0"/>
              <w:spacing w:before="0" w:after="0"/>
              <w:ind w:left="0" w:right="0" w:hanging="0"/>
              <w:jc w:val="left"/>
              <w:rPr/>
            </w:pPr>
            <w:r>
              <w:rPr/>
              <w:t>​</w:t>
            </w:r>
          </w:p>
        </w:tc>
        <w:tc>
          <w:tcPr>
            <w:tcW w:w="343" w:type="dxa"/>
            <w:tcBorders/>
            <w:shd w:fill="CCEEFF" w:val="clear"/>
            <w:vAlign w:val="center"/>
          </w:tcPr>
          <w:p>
            <w:pPr>
              <w:pStyle w:val="TableContents"/>
              <w:bidi w:val="0"/>
              <w:spacing w:before="0" w:after="0"/>
              <w:ind w:left="0" w:right="0" w:hanging="0"/>
              <w:jc w:val="left"/>
              <w:rPr/>
            </w:pPr>
            <w:r>
              <w:rPr/>
              <w:t>​</w:t>
            </w:r>
          </w:p>
        </w:tc>
        <w:tc>
          <w:tcPr>
            <w:tcW w:w="93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w:t>
            </w:r>
          </w:p>
        </w:tc>
        <w:tc>
          <w:tcPr>
            <w:tcW w:w="122" w:type="dxa"/>
            <w:tcBorders/>
            <w:shd w:fill="CCEEFF" w:val="clear"/>
            <w:vAlign w:val="center"/>
          </w:tcPr>
          <w:p>
            <w:pPr>
              <w:pStyle w:val="TableContents"/>
              <w:bidi w:val="0"/>
              <w:spacing w:before="0" w:after="0"/>
              <w:ind w:left="0" w:right="0" w:hanging="0"/>
              <w:jc w:val="left"/>
              <w:rPr/>
            </w:pPr>
            <w:r>
              <w:rPr/>
              <w:t>​</w:t>
            </w:r>
          </w:p>
        </w:tc>
        <w:tc>
          <w:tcPr>
            <w:tcW w:w="343" w:type="dxa"/>
            <w:tcBorders/>
            <w:shd w:fill="CCEEFF" w:val="clear"/>
            <w:vAlign w:val="center"/>
          </w:tcPr>
          <w:p>
            <w:pPr>
              <w:pStyle w:val="TableContents"/>
              <w:bidi w:val="0"/>
              <w:spacing w:before="0" w:after="0"/>
              <w:ind w:left="0" w:right="0" w:hanging="0"/>
              <w:jc w:val="left"/>
              <w:rPr/>
            </w:pPr>
            <w:r>
              <w:rPr/>
              <w:t>​</w:t>
            </w:r>
          </w:p>
        </w:tc>
        <w:tc>
          <w:tcPr>
            <w:tcW w:w="93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w:t>
            </w:r>
          </w:p>
        </w:tc>
        <w:tc>
          <w:tcPr>
            <w:tcW w:w="109" w:type="dxa"/>
            <w:tcBorders/>
            <w:shd w:fill="CCEEFF" w:val="clear"/>
            <w:vAlign w:val="center"/>
          </w:tcPr>
          <w:p>
            <w:pPr>
              <w:pStyle w:val="TableContents"/>
              <w:bidi w:val="0"/>
              <w:spacing w:before="0" w:after="0"/>
              <w:ind w:left="0" w:right="0" w:hanging="0"/>
              <w:jc w:val="right"/>
              <w:rPr/>
            </w:pPr>
            <w:r>
              <w:rPr/>
              <w:t>​</w:t>
            </w:r>
          </w:p>
        </w:tc>
        <w:tc>
          <w:tcPr>
            <w:tcW w:w="345"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171" w:type="dxa"/>
            <w:tcBorders/>
            <w:shd w:fill="CCEEFF" w:val="clear"/>
            <w:vAlign w:val="center"/>
          </w:tcPr>
          <w:p>
            <w:pPr>
              <w:pStyle w:val="TableContents"/>
              <w:bidi w:val="0"/>
              <w:spacing w:before="0" w:after="0"/>
              <w:ind w:left="0" w:right="0" w:hanging="0"/>
              <w:jc w:val="right"/>
              <w:rPr/>
            </w:pPr>
            <w:r>
              <w:rPr/>
              <w:t xml:space="preserve">— </w:t>
            </w:r>
            <w:r>
              <w:rPr>
                <w:rFonts w:ascii="Times New Roman;Times;serif" w:hAnsi="Times New Roman;Times;serif"/>
                <w:sz w:val="20"/>
              </w:rPr>
              <w:t>%</w:t>
            </w:r>
          </w:p>
        </w:tc>
      </w:tr>
      <w:tr>
        <w:trPr/>
        <w:tc>
          <w:tcPr>
            <w:tcW w:w="40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Additional General and Administrative Expense</w:t>
            </w:r>
          </w:p>
        </w:tc>
        <w:tc>
          <w:tcPr>
            <w:tcW w:w="109" w:type="dxa"/>
            <w:tcBorders/>
            <w:vAlign w:val="center"/>
          </w:tcPr>
          <w:p>
            <w:pPr>
              <w:pStyle w:val="TableContents"/>
              <w:bidi w:val="0"/>
              <w:spacing w:before="0" w:after="0"/>
              <w:ind w:left="0" w:right="0" w:hanging="0"/>
              <w:jc w:val="left"/>
              <w:rPr/>
            </w:pPr>
            <w:r>
              <w:rPr/>
              <w:t>​</w:t>
            </w:r>
          </w:p>
        </w:tc>
        <w:tc>
          <w:tcPr>
            <w:tcW w:w="34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444</w:t>
            </w:r>
          </w:p>
        </w:tc>
        <w:tc>
          <w:tcPr>
            <w:tcW w:w="122" w:type="dxa"/>
            <w:tcBorders/>
            <w:vAlign w:val="center"/>
          </w:tcPr>
          <w:p>
            <w:pPr>
              <w:pStyle w:val="TableContents"/>
              <w:bidi w:val="0"/>
              <w:spacing w:before="0" w:after="0"/>
              <w:ind w:left="0" w:right="0" w:hanging="0"/>
              <w:jc w:val="left"/>
              <w:rPr/>
            </w:pPr>
            <w:r>
              <w:rPr/>
              <w:t>​</w:t>
            </w:r>
          </w:p>
        </w:tc>
        <w:tc>
          <w:tcPr>
            <w:tcW w:w="34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416</w:t>
            </w:r>
          </w:p>
        </w:tc>
        <w:tc>
          <w:tcPr>
            <w:tcW w:w="109" w:type="dxa"/>
            <w:tcBorders/>
            <w:vAlign w:val="center"/>
          </w:tcPr>
          <w:p>
            <w:pPr>
              <w:pStyle w:val="TableContents"/>
              <w:bidi w:val="0"/>
              <w:spacing w:before="0" w:after="0"/>
              <w:ind w:left="0" w:right="0" w:hanging="0"/>
              <w:jc w:val="right"/>
              <w:rPr/>
            </w:pPr>
            <w:r>
              <w:rPr/>
              <w:t>​</w:t>
            </w:r>
          </w:p>
        </w:tc>
        <w:tc>
          <w:tcPr>
            <w:tcW w:w="34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c>
          <w:tcPr>
            <w:tcW w:w="109" w:type="dxa"/>
            <w:tcBorders/>
            <w:vAlign w:val="center"/>
          </w:tcPr>
          <w:p>
            <w:pPr>
              <w:pStyle w:val="TableContents"/>
              <w:bidi w:val="0"/>
              <w:spacing w:before="0" w:after="0"/>
              <w:ind w:left="0" w:right="0" w:hanging="0"/>
              <w:jc w:val="left"/>
              <w:rPr/>
            </w:pPr>
            <w:r>
              <w:rPr/>
              <w:t>​</w:t>
            </w:r>
          </w:p>
        </w:tc>
        <w:tc>
          <w:tcPr>
            <w:tcW w:w="11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w:t>
            </w:r>
          </w:p>
        </w:tc>
      </w:tr>
      <w:tr>
        <w:trPr/>
        <w:tc>
          <w:tcPr>
            <w:tcW w:w="40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General and Administrative Expenses</w:t>
            </w:r>
          </w:p>
        </w:tc>
        <w:tc>
          <w:tcPr>
            <w:tcW w:w="109" w:type="dxa"/>
            <w:tcBorders/>
            <w:shd w:fill="CCEEFF" w:val="clear"/>
            <w:vAlign w:val="center"/>
          </w:tcPr>
          <w:p>
            <w:pPr>
              <w:pStyle w:val="TableContents"/>
              <w:bidi w:val="0"/>
              <w:spacing w:before="0" w:after="0"/>
              <w:ind w:left="0" w:right="0" w:hanging="0"/>
              <w:jc w:val="left"/>
              <w:rPr/>
            </w:pPr>
            <w:r>
              <w:rPr/>
              <w:t>​</w:t>
            </w:r>
          </w:p>
        </w:tc>
        <w:tc>
          <w:tcPr>
            <w:tcW w:w="34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2,028</w:t>
            </w:r>
          </w:p>
        </w:tc>
        <w:tc>
          <w:tcPr>
            <w:tcW w:w="122" w:type="dxa"/>
            <w:tcBorders/>
            <w:shd w:fill="CCEEFF" w:val="clear"/>
            <w:vAlign w:val="center"/>
          </w:tcPr>
          <w:p>
            <w:pPr>
              <w:pStyle w:val="TableContents"/>
              <w:bidi w:val="0"/>
              <w:spacing w:before="0" w:after="0"/>
              <w:ind w:left="0" w:right="0" w:hanging="0"/>
              <w:jc w:val="left"/>
              <w:rPr/>
            </w:pPr>
            <w:r>
              <w:rPr/>
              <w:t>​</w:t>
            </w:r>
          </w:p>
        </w:tc>
        <w:tc>
          <w:tcPr>
            <w:tcW w:w="34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1,697</w:t>
            </w:r>
          </w:p>
        </w:tc>
        <w:tc>
          <w:tcPr>
            <w:tcW w:w="109" w:type="dxa"/>
            <w:tcBorders/>
            <w:shd w:fill="CCEEFF" w:val="clear"/>
            <w:vAlign w:val="center"/>
          </w:tcPr>
          <w:p>
            <w:pPr>
              <w:pStyle w:val="TableContents"/>
              <w:bidi w:val="0"/>
              <w:spacing w:before="0" w:after="0"/>
              <w:ind w:left="0" w:right="0" w:hanging="0"/>
              <w:jc w:val="right"/>
              <w:rPr/>
            </w:pPr>
            <w:r>
              <w:rPr/>
              <w:t>​</w:t>
            </w:r>
          </w:p>
        </w:tc>
        <w:tc>
          <w:tcPr>
            <w:tcW w:w="34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331</w:t>
            </w:r>
          </w:p>
        </w:tc>
        <w:tc>
          <w:tcPr>
            <w:tcW w:w="109" w:type="dxa"/>
            <w:tcBorders/>
            <w:shd w:fill="CCEEFF" w:val="clear"/>
            <w:vAlign w:val="center"/>
          </w:tcPr>
          <w:p>
            <w:pPr>
              <w:pStyle w:val="TableContents"/>
              <w:bidi w:val="0"/>
              <w:spacing w:before="0" w:after="0"/>
              <w:ind w:left="0" w:right="0" w:hanging="0"/>
              <w:jc w:val="left"/>
              <w:rPr/>
            </w:pPr>
            <w:r>
              <w:rPr/>
              <w:t>​</w:t>
            </w:r>
          </w:p>
        </w:tc>
        <w:tc>
          <w:tcPr>
            <w:tcW w:w="1171"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19.5%</w:t>
            </w:r>
          </w:p>
        </w:tc>
      </w:tr>
    </w:tbl>
    <w:p>
      <w:pPr>
        <w:pStyle w:val="TextBody"/>
        <w:bidi w:val="0"/>
        <w:spacing w:before="0" w:after="0"/>
        <w:ind w:left="0" w:right="0" w:hanging="0"/>
        <w:jc w:val="both"/>
        <w:rPr/>
      </w:pPr>
      <w:r>
        <w:rPr/>
        <w:t>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General and administrative expenses totaled $2.0 million and $1.7 million during the three months ended June 30, 2026 and 2025, respectively. The $0.3 million increase is primarily the result of an increase in the management fee due to an increase in the weighted average of the Company’s equity base.</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P</w:t>
      </w:r>
      <w:r>
        <w:rPr>
          <w:rFonts w:ascii="Times New Roman;Times;serif" w:hAnsi="Times New Roman;Times;serif"/>
          <w:b/>
          <w:sz w:val="20"/>
        </w:rPr>
        <w:t>rovision for Impairment</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As further described in Note 7, “Provision for Impairment,” during the three months ended June 30, 2026 and 2025, the Company recorded impairment charges of $0.2 million and $2.8 million, respectively, representing the provision for losses related to certain income properties, for which the Company’s current intent is to dispose of such properties in order to facilitate the re-investment of the proceeds therefrom into new investment opportunities. During the three months ended June 30, 2026, the Company recorded a $0.2 million impairment charge representing the current expected credit losses (“CECL”) reserve related to our commercial loans and investments.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 xml:space="preserve">Depreciation and Amortization </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Depreciation and amortization expense totaled $6.8 million and $6.7 million during the three months ended June 30, 2026 and 2025, respectively. The $0.1 million increase in depreciation and amortization expense is reflective of the increase in asset cost basis of the Company’s income property portfolio, which is partially offset by the impact of less depreciation due to certain recent acquisitions completed under a ground lease structure.</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 xml:space="preserve">Gain on Disposition of Assets </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 did not sell any properties during the three months ended June 30, 2026. During the three months ended June 30, 2025, the Company sold five properties for an aggregate sales price of $16.5 million, generating aggregate gains on sale of $0.9 million.</w:t>
      </w:r>
    </w:p>
    <w:p>
      <w:pPr>
        <w:pStyle w:val="TextBody"/>
        <w:bidi w:val="0"/>
        <w:spacing w:before="0" w:after="0"/>
        <w:ind w:left="0" w:right="0" w:firstLine="36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Investment and Other Income</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Investment and other income totaled $0.4 million and less than $0.1 million during the three months ended June 30, 2026 and 2025, respectively. The increase is primarily due to the receipt of a $0.3 million nonrefundable deposit forfeited by a potential buyer on a property that was previously under contract for sale.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Interest Expense</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Interest expense totaled $4.6 million and $4.3 million during the three months ended June 30, 2026 and 2025, respectively. The $0.3 million increase in interest expense is primarily attributable to interest expense resulting from the sale of participation interest in the Company’s $24.0 million Mortgage Note as defined and further described in Note 4, “Commercial Loans and Investments” in the Notes to the Financial Statements.</w:t>
      </w:r>
    </w:p>
    <w:p>
      <w:pPr>
        <w:pStyle w:val="TextBody"/>
        <w:bidi w:val="0"/>
        <w:spacing w:before="0" w:after="0"/>
        <w:ind w:left="0" w:right="0" w:firstLine="360"/>
        <w:jc w:val="both"/>
        <w:rPr/>
      </w:pPr>
      <w:r>
        <w:rPr/>
        <w:t>​</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Net Income (Loss)</w:t>
      </w:r>
    </w:p>
    <w:p>
      <w:pPr>
        <w:pStyle w:val="TextBody"/>
        <w:bidi w:val="0"/>
        <w:spacing w:before="0" w:after="0"/>
        <w:ind w:left="0" w:right="0" w:firstLine="490"/>
        <w:jc w:val="both"/>
        <w:rPr/>
      </w:pPr>
      <w:r>
        <w:rPr/>
        <w:t>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Net income totaled $4.5 million and net loss totaled $1.8 million during the three months ended June 30, 2026 and 2025, respectively. The $6.3 million increase in net income is attributable to the factors described above, most notably the $4.6 million increase in interest income from commercial loans and investments and the $2.4 million decrease in provision for impairment, which is partially offset by the $0.9 million decrease in gains on sales of properties.</w:t>
      </w:r>
    </w:p>
    <w:p>
      <w:pPr>
        <w:pStyle w:val="TextBody"/>
        <w:bidi w:val="0"/>
        <w:spacing w:before="0" w:after="0"/>
        <w:ind w:left="0" w:right="0" w:firstLine="36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COMPARISON OF THE SIX MONTHS ENDED JUNE 30, 2026 AND 2025</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following presents the Company’s results of operations for the six months ended June 30, 2026, as compared to the six months ended June 30, 2025 (in thousands): </w:t>
      </w:r>
    </w:p>
    <w:tbl>
      <w:tblPr>
        <w:tblW w:w="10205" w:type="dxa"/>
        <w:jc w:val="left"/>
        <w:tblInd w:w="0" w:type="dxa"/>
        <w:tblLayout w:type="fixed"/>
        <w:tblCellMar>
          <w:top w:w="0" w:type="dxa"/>
          <w:left w:w="0" w:type="dxa"/>
          <w:bottom w:w="0" w:type="dxa"/>
          <w:right w:w="0" w:type="dxa"/>
        </w:tblCellMar>
      </w:tblPr>
      <w:tblGrid>
        <w:gridCol w:w="4671"/>
        <w:gridCol w:w="109"/>
        <w:gridCol w:w="287"/>
        <w:gridCol w:w="1000"/>
        <w:gridCol w:w="109"/>
        <w:gridCol w:w="287"/>
        <w:gridCol w:w="1000"/>
        <w:gridCol w:w="109"/>
        <w:gridCol w:w="270"/>
        <w:gridCol w:w="916"/>
        <w:gridCol w:w="109"/>
        <w:gridCol w:w="1338"/>
      </w:tblGrid>
      <w:tr>
        <w:trPr/>
        <w:tc>
          <w:tcPr>
            <w:tcW w:w="46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2">
                      <wp:simplePos x="0" y="0"/>
                      <wp:positionH relativeFrom="character">
                        <wp:align>left</wp:align>
                      </wp:positionH>
                      <wp:positionV relativeFrom="line">
                        <wp:posOffset>635</wp:posOffset>
                      </wp:positionV>
                      <wp:extent cx="69215" cy="175260"/>
                      <wp:effectExtent l="0" t="0" r="0" b="0"/>
                      <wp:wrapNone/>
                      <wp:docPr id="421" name="Frame42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3">
                      <wp:simplePos x="0" y="0"/>
                      <wp:positionH relativeFrom="character">
                        <wp:align>left</wp:align>
                      </wp:positionH>
                      <wp:positionV relativeFrom="line">
                        <wp:posOffset>635</wp:posOffset>
                      </wp:positionV>
                      <wp:extent cx="182245" cy="175260"/>
                      <wp:effectExtent l="0" t="0" r="0" b="0"/>
                      <wp:wrapNone/>
                      <wp:docPr id="422" name="Frame422"/>
                      <a:graphic xmlns:a="http://schemas.openxmlformats.org/drawingml/2006/main">
                        <a:graphicData uri="http://schemas.microsoft.com/office/word/2010/wordprocessingShape">
                          <wps:wsp>
                            <wps:cNvSpPr txBox="1"/>
                            <wps:spPr>
                              <a:xfrm>
                                <a:off x="0" y="0"/>
                                <a:ext cx="1822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4">
                      <wp:simplePos x="0" y="0"/>
                      <wp:positionH relativeFrom="character">
                        <wp:align>left</wp:align>
                      </wp:positionH>
                      <wp:positionV relativeFrom="line">
                        <wp:posOffset>635</wp:posOffset>
                      </wp:positionV>
                      <wp:extent cx="635000" cy="175260"/>
                      <wp:effectExtent l="0" t="0" r="0" b="0"/>
                      <wp:wrapNone/>
                      <wp:docPr id="423" name="Frame423"/>
                      <a:graphic xmlns:a="http://schemas.openxmlformats.org/drawingml/2006/main">
                        <a:graphicData uri="http://schemas.microsoft.com/office/word/2010/wordprocessingShape">
                          <wps:wsp>
                            <wps:cNvSpPr txBox="1"/>
                            <wps:spPr>
                              <a:xfrm>
                                <a:off x="0" y="0"/>
                                <a:ext cx="6350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5">
                      <wp:simplePos x="0" y="0"/>
                      <wp:positionH relativeFrom="character">
                        <wp:align>left</wp:align>
                      </wp:positionH>
                      <wp:positionV relativeFrom="line">
                        <wp:posOffset>635</wp:posOffset>
                      </wp:positionV>
                      <wp:extent cx="69215" cy="175260"/>
                      <wp:effectExtent l="0" t="0" r="0" b="0"/>
                      <wp:wrapNone/>
                      <wp:docPr id="424" name="Frame42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6">
                      <wp:simplePos x="0" y="0"/>
                      <wp:positionH relativeFrom="character">
                        <wp:align>left</wp:align>
                      </wp:positionH>
                      <wp:positionV relativeFrom="line">
                        <wp:posOffset>635</wp:posOffset>
                      </wp:positionV>
                      <wp:extent cx="182245" cy="175260"/>
                      <wp:effectExtent l="0" t="0" r="0" b="0"/>
                      <wp:wrapNone/>
                      <wp:docPr id="425" name="Frame425"/>
                      <a:graphic xmlns:a="http://schemas.openxmlformats.org/drawingml/2006/main">
                        <a:graphicData uri="http://schemas.microsoft.com/office/word/2010/wordprocessingShape">
                          <wps:wsp>
                            <wps:cNvSpPr txBox="1"/>
                            <wps:spPr>
                              <a:xfrm>
                                <a:off x="0" y="0"/>
                                <a:ext cx="1822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7">
                      <wp:simplePos x="0" y="0"/>
                      <wp:positionH relativeFrom="character">
                        <wp:align>left</wp:align>
                      </wp:positionH>
                      <wp:positionV relativeFrom="line">
                        <wp:posOffset>635</wp:posOffset>
                      </wp:positionV>
                      <wp:extent cx="635000" cy="175260"/>
                      <wp:effectExtent l="0" t="0" r="0" b="0"/>
                      <wp:wrapNone/>
                      <wp:docPr id="426" name="Frame426"/>
                      <a:graphic xmlns:a="http://schemas.openxmlformats.org/drawingml/2006/main">
                        <a:graphicData uri="http://schemas.microsoft.com/office/word/2010/wordprocessingShape">
                          <wps:wsp>
                            <wps:cNvSpPr txBox="1"/>
                            <wps:spPr>
                              <a:xfrm>
                                <a:off x="0" y="0"/>
                                <a:ext cx="6350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8">
                      <wp:simplePos x="0" y="0"/>
                      <wp:positionH relativeFrom="character">
                        <wp:align>left</wp:align>
                      </wp:positionH>
                      <wp:positionV relativeFrom="line">
                        <wp:posOffset>635</wp:posOffset>
                      </wp:positionV>
                      <wp:extent cx="69215" cy="175260"/>
                      <wp:effectExtent l="0" t="0" r="0" b="0"/>
                      <wp:wrapNone/>
                      <wp:docPr id="427" name="Frame42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9">
                      <wp:simplePos x="0" y="0"/>
                      <wp:positionH relativeFrom="character">
                        <wp:align>left</wp:align>
                      </wp:positionH>
                      <wp:positionV relativeFrom="line">
                        <wp:posOffset>635</wp:posOffset>
                      </wp:positionV>
                      <wp:extent cx="171450" cy="175260"/>
                      <wp:effectExtent l="0" t="0" r="0" b="0"/>
                      <wp:wrapNone/>
                      <wp:docPr id="428" name="Frame428"/>
                      <a:graphic xmlns:a="http://schemas.openxmlformats.org/drawingml/2006/main">
                        <a:graphicData uri="http://schemas.microsoft.com/office/word/2010/wordprocessingShape">
                          <wps:wsp>
                            <wps:cNvSpPr txBox="1"/>
                            <wps:spPr>
                              <a:xfrm>
                                <a:off x="0" y="0"/>
                                <a:ext cx="1714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0">
                      <wp:simplePos x="0" y="0"/>
                      <wp:positionH relativeFrom="character">
                        <wp:align>left</wp:align>
                      </wp:positionH>
                      <wp:positionV relativeFrom="line">
                        <wp:posOffset>635</wp:posOffset>
                      </wp:positionV>
                      <wp:extent cx="581660" cy="175260"/>
                      <wp:effectExtent l="0" t="0" r="0" b="0"/>
                      <wp:wrapNone/>
                      <wp:docPr id="429" name="Frame429"/>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1">
                      <wp:simplePos x="0" y="0"/>
                      <wp:positionH relativeFrom="character">
                        <wp:align>left</wp:align>
                      </wp:positionH>
                      <wp:positionV relativeFrom="line">
                        <wp:posOffset>635</wp:posOffset>
                      </wp:positionV>
                      <wp:extent cx="69215" cy="175260"/>
                      <wp:effectExtent l="0" t="0" r="0" b="0"/>
                      <wp:wrapNone/>
                      <wp:docPr id="430" name="Frame43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2">
                      <wp:simplePos x="0" y="0"/>
                      <wp:positionH relativeFrom="character">
                        <wp:align>left</wp:align>
                      </wp:positionH>
                      <wp:positionV relativeFrom="line">
                        <wp:posOffset>635</wp:posOffset>
                      </wp:positionV>
                      <wp:extent cx="849630" cy="175260"/>
                      <wp:effectExtent l="0" t="0" r="0" b="0"/>
                      <wp:wrapNone/>
                      <wp:docPr id="431" name="Frame431"/>
                      <a:graphic xmlns:a="http://schemas.openxmlformats.org/drawingml/2006/main">
                        <a:graphicData uri="http://schemas.microsoft.com/office/word/2010/wordprocessingShape">
                          <wps:wsp>
                            <wps:cNvSpPr txBox="1"/>
                            <wps:spPr>
                              <a:xfrm>
                                <a:off x="0" y="0"/>
                                <a:ext cx="8496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6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68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Six Months Ended</w:t>
            </w:r>
          </w:p>
        </w:tc>
        <w:tc>
          <w:tcPr>
            <w:tcW w:w="109" w:type="dxa"/>
            <w:tcBorders/>
            <w:vAlign w:val="center"/>
          </w:tcPr>
          <w:p>
            <w:pPr>
              <w:pStyle w:val="TableContents"/>
              <w:bidi w:val="0"/>
              <w:spacing w:before="0" w:after="0"/>
              <w:ind w:left="0" w:right="0" w:hanging="0"/>
              <w:jc w:val="left"/>
              <w:rPr/>
            </w:pPr>
            <w:r>
              <w:rPr/>
              <w:t>​</w:t>
            </w:r>
          </w:p>
        </w:tc>
        <w:tc>
          <w:tcPr>
            <w:tcW w:w="2633" w:type="dxa"/>
            <w:gridSpan w:val="4"/>
            <w:tcBorders/>
            <w:vAlign w:val="center"/>
          </w:tcPr>
          <w:p>
            <w:pPr>
              <w:pStyle w:val="TableContents"/>
              <w:bidi w:val="0"/>
              <w:spacing w:before="0" w:after="0"/>
              <w:ind w:left="0" w:right="0" w:hanging="0"/>
              <w:jc w:val="center"/>
              <w:rPr/>
            </w:pPr>
            <w:r>
              <w:rPr/>
              <w:t>​</w:t>
            </w:r>
          </w:p>
        </w:tc>
      </w:tr>
      <w:tr>
        <w:trPr/>
        <w:tc>
          <w:tcPr>
            <w:tcW w:w="4671" w:type="dxa"/>
            <w:tcBorders/>
            <w:vAlign w:val="center"/>
          </w:tcPr>
          <w:p>
            <w:pPr>
              <w:pStyle w:val="TableContents"/>
              <w:bidi w:val="0"/>
              <w:spacing w:before="0" w:after="0"/>
              <w:ind w:left="0" w:right="0" w:hanging="0"/>
              <w:jc w:val="left"/>
              <w:rPr>
                <w:color w:val="FF0000"/>
              </w:rPr>
            </w:pPr>
            <w:r>
              <w:rPr>
                <w:color w:val="FF0000"/>
              </w:rPr>
              <w:t>​</w:t>
            </w:r>
          </w:p>
        </w:tc>
        <w:tc>
          <w:tcPr>
            <w:tcW w:w="109" w:type="dxa"/>
            <w:tcBorders/>
            <w:vAlign w:val="center"/>
          </w:tcPr>
          <w:p>
            <w:pPr>
              <w:pStyle w:val="TableContents"/>
              <w:bidi w:val="0"/>
              <w:spacing w:before="0" w:after="0"/>
              <w:ind w:left="0" w:right="0" w:hanging="0"/>
              <w:jc w:val="left"/>
              <w:rPr/>
            </w:pPr>
            <w:r>
              <w:rPr/>
              <w:t>​</w:t>
            </w:r>
          </w:p>
        </w:tc>
        <w:tc>
          <w:tcPr>
            <w:tcW w:w="12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June 30, 2026</w:t>
            </w:r>
          </w:p>
        </w:tc>
        <w:tc>
          <w:tcPr>
            <w:tcW w:w="109" w:type="dxa"/>
            <w:tcBorders/>
            <w:vAlign w:val="center"/>
          </w:tcPr>
          <w:p>
            <w:pPr>
              <w:pStyle w:val="TableContents"/>
              <w:bidi w:val="0"/>
              <w:spacing w:before="0" w:after="0"/>
              <w:ind w:left="0" w:right="0" w:hanging="0"/>
              <w:jc w:val="left"/>
              <w:rPr/>
            </w:pPr>
            <w:r>
              <w:rPr/>
              <w:t>​</w:t>
            </w:r>
          </w:p>
        </w:tc>
        <w:tc>
          <w:tcPr>
            <w:tcW w:w="12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June 30, 2025</w:t>
            </w:r>
          </w:p>
        </w:tc>
        <w:tc>
          <w:tcPr>
            <w:tcW w:w="109" w:type="dxa"/>
            <w:tcBorders/>
            <w:vAlign w:val="center"/>
          </w:tcPr>
          <w:p>
            <w:pPr>
              <w:pStyle w:val="TableContents"/>
              <w:bidi w:val="0"/>
              <w:spacing w:before="0" w:after="0"/>
              <w:ind w:left="0" w:right="0" w:hanging="0"/>
              <w:jc w:val="center"/>
              <w:rPr/>
            </w:pPr>
            <w:r>
              <w:rPr/>
              <w:t>​</w:t>
            </w:r>
          </w:p>
        </w:tc>
        <w:tc>
          <w:tcPr>
            <w:tcW w:w="11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 Variance</w:t>
            </w:r>
          </w:p>
        </w:tc>
        <w:tc>
          <w:tcPr>
            <w:tcW w:w="109" w:type="dxa"/>
            <w:tcBorders/>
            <w:vAlign w:val="center"/>
          </w:tcPr>
          <w:p>
            <w:pPr>
              <w:pStyle w:val="TableContents"/>
              <w:bidi w:val="0"/>
              <w:spacing w:before="0" w:after="0"/>
              <w:ind w:left="0" w:right="0" w:hanging="0"/>
              <w:jc w:val="center"/>
              <w:rPr/>
            </w:pPr>
            <w:r>
              <w:rPr/>
              <w:t>​</w:t>
            </w:r>
          </w:p>
        </w:tc>
        <w:tc>
          <w:tcPr>
            <w:tcW w:w="133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 Variance</w:t>
            </w:r>
          </w:p>
        </w:tc>
      </w:tr>
      <w:tr>
        <w:trPr/>
        <w:tc>
          <w:tcPr>
            <w:tcW w:w="4671" w:type="dxa"/>
            <w:tcBorders/>
            <w:shd w:fill="CCEEFF"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Revenues:</w:t>
            </w:r>
          </w:p>
        </w:tc>
        <w:tc>
          <w:tcPr>
            <w:tcW w:w="109" w:type="dxa"/>
            <w:tcBorders/>
            <w:shd w:fill="CCEEFF" w:val="clear"/>
            <w:vAlign w:val="center"/>
          </w:tcPr>
          <w:p>
            <w:pPr>
              <w:pStyle w:val="TableContents"/>
              <w:bidi w:val="0"/>
              <w:spacing w:before="0" w:after="0"/>
              <w:ind w:left="0" w:right="0" w:hanging="0"/>
              <w:jc w:val="left"/>
              <w:rPr/>
            </w:pPr>
            <w:r>
              <w:rPr/>
              <w:t>​</w:t>
            </w:r>
          </w:p>
        </w:tc>
        <w:tc>
          <w:tcPr>
            <w:tcW w:w="287" w:type="dxa"/>
            <w:tcBorders/>
            <w:shd w:fill="CCEEFF" w:val="clear"/>
            <w:vAlign w:val="center"/>
          </w:tcPr>
          <w:p>
            <w:pPr>
              <w:pStyle w:val="TableContents"/>
              <w:bidi w:val="0"/>
              <w:spacing w:before="0" w:after="0"/>
              <w:ind w:left="0" w:right="0" w:hanging="0"/>
              <w:jc w:val="center"/>
              <w:rPr/>
            </w:pPr>
            <w:r>
              <w:rPr/>
              <w:t>​</w:t>
            </w:r>
          </w:p>
        </w:tc>
        <w:tc>
          <w:tcPr>
            <w:tcW w:w="1000"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87" w:type="dxa"/>
            <w:tcBorders/>
            <w:shd w:fill="CCEEFF" w:val="clear"/>
            <w:vAlign w:val="center"/>
          </w:tcPr>
          <w:p>
            <w:pPr>
              <w:pStyle w:val="TableContents"/>
              <w:bidi w:val="0"/>
              <w:spacing w:before="0" w:after="0"/>
              <w:ind w:left="0" w:right="0" w:hanging="0"/>
              <w:jc w:val="center"/>
              <w:rPr/>
            </w:pPr>
            <w:r>
              <w:rPr/>
              <w:t>​</w:t>
            </w:r>
          </w:p>
        </w:tc>
        <w:tc>
          <w:tcPr>
            <w:tcW w:w="1000"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70" w:type="dxa"/>
            <w:tcBorders/>
            <w:shd w:fill="CCEEFF" w:val="clear"/>
            <w:vAlign w:val="center"/>
          </w:tcPr>
          <w:p>
            <w:pPr>
              <w:pStyle w:val="TableContents"/>
              <w:bidi w:val="0"/>
              <w:spacing w:before="0" w:after="0"/>
              <w:ind w:left="0" w:right="0" w:hanging="0"/>
              <w:jc w:val="center"/>
              <w:rPr/>
            </w:pPr>
            <w:r>
              <w:rPr/>
              <w:t>​</w:t>
            </w:r>
          </w:p>
        </w:tc>
        <w:tc>
          <w:tcPr>
            <w:tcW w:w="91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338" w:type="dxa"/>
            <w:tcBorders/>
            <w:shd w:fill="CCEEFF" w:val="clear"/>
            <w:vAlign w:val="center"/>
          </w:tcPr>
          <w:p>
            <w:pPr>
              <w:pStyle w:val="TableContents"/>
              <w:bidi w:val="0"/>
              <w:spacing w:before="0" w:after="0"/>
              <w:ind w:left="0" w:right="0" w:hanging="0"/>
              <w:jc w:val="left"/>
              <w:rPr/>
            </w:pPr>
            <w:r>
              <w:rPr/>
              <w:t>​</w:t>
            </w:r>
          </w:p>
        </w:tc>
      </w:tr>
      <w:tr>
        <w:trPr/>
        <w:tc>
          <w:tcPr>
            <w:tcW w:w="467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Lease Income</w:t>
            </w:r>
          </w:p>
        </w:tc>
        <w:tc>
          <w:tcPr>
            <w:tcW w:w="109" w:type="dxa"/>
            <w:tcBorders/>
            <w:vAlign w:val="center"/>
          </w:tcPr>
          <w:p>
            <w:pPr>
              <w:pStyle w:val="TableContents"/>
              <w:bidi w:val="0"/>
              <w:spacing w:before="0" w:after="0"/>
              <w:ind w:left="0" w:right="0" w:hanging="0"/>
              <w:jc w:val="left"/>
              <w:rPr/>
            </w:pPr>
            <w:r>
              <w:rPr/>
              <w:t>​</w:t>
            </w:r>
          </w:p>
        </w:tc>
        <w:tc>
          <w:tcPr>
            <w:tcW w:w="287"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w:t>
            </w:r>
          </w:p>
        </w:tc>
        <w:tc>
          <w:tcPr>
            <w:tcW w:w="1000"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25,239</w:t>
            </w:r>
          </w:p>
        </w:tc>
        <w:tc>
          <w:tcPr>
            <w:tcW w:w="109" w:type="dxa"/>
            <w:tcBorders/>
            <w:vAlign w:val="center"/>
          </w:tcPr>
          <w:p>
            <w:pPr>
              <w:pStyle w:val="TableContents"/>
              <w:bidi w:val="0"/>
              <w:spacing w:before="0" w:after="0"/>
              <w:ind w:left="0" w:right="0" w:hanging="0"/>
              <w:jc w:val="left"/>
              <w:rPr/>
            </w:pPr>
            <w:r>
              <w:rPr/>
              <w:t>​</w:t>
            </w:r>
          </w:p>
        </w:tc>
        <w:tc>
          <w:tcPr>
            <w:tcW w:w="287"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w:t>
            </w:r>
          </w:p>
        </w:tc>
        <w:tc>
          <w:tcPr>
            <w:tcW w:w="1000"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23,848</w:t>
            </w:r>
          </w:p>
        </w:tc>
        <w:tc>
          <w:tcPr>
            <w:tcW w:w="109" w:type="dxa"/>
            <w:tcBorders/>
            <w:vAlign w:val="center"/>
          </w:tcPr>
          <w:p>
            <w:pPr>
              <w:pStyle w:val="TableContents"/>
              <w:bidi w:val="0"/>
              <w:spacing w:before="0" w:after="0"/>
              <w:ind w:left="0" w:right="0" w:hanging="0"/>
              <w:jc w:val="right"/>
              <w:rPr/>
            </w:pPr>
            <w:r>
              <w:rPr/>
              <w:t>​</w:t>
            </w:r>
          </w:p>
        </w:tc>
        <w:tc>
          <w:tcPr>
            <w:tcW w:w="270"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1,391</w:t>
            </w:r>
          </w:p>
        </w:tc>
        <w:tc>
          <w:tcPr>
            <w:tcW w:w="109" w:type="dxa"/>
            <w:tcBorders/>
            <w:vAlign w:val="center"/>
          </w:tcPr>
          <w:p>
            <w:pPr>
              <w:pStyle w:val="TableContents"/>
              <w:bidi w:val="0"/>
              <w:spacing w:before="0" w:after="0"/>
              <w:ind w:left="0" w:right="0" w:hanging="0"/>
              <w:jc w:val="left"/>
              <w:rPr/>
            </w:pPr>
            <w:r>
              <w:rPr/>
              <w:t>​</w:t>
            </w:r>
          </w:p>
        </w:tc>
        <w:tc>
          <w:tcPr>
            <w:tcW w:w="1338"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5.8%</w:t>
            </w:r>
          </w:p>
        </w:tc>
      </w:tr>
      <w:tr>
        <w:trPr/>
        <w:tc>
          <w:tcPr>
            <w:tcW w:w="4671" w:type="dxa"/>
            <w:tcBorders/>
            <w:shd w:fill="CCEEFF"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Interest Income from Commercial Loans and Investments</w:t>
            </w:r>
          </w:p>
        </w:tc>
        <w:tc>
          <w:tcPr>
            <w:tcW w:w="109" w:type="dxa"/>
            <w:tcBorders/>
            <w:shd w:fill="CCEEFF" w:val="clear"/>
            <w:vAlign w:val="center"/>
          </w:tcPr>
          <w:p>
            <w:pPr>
              <w:pStyle w:val="TableContents"/>
              <w:bidi w:val="0"/>
              <w:spacing w:before="0" w:after="0"/>
              <w:ind w:left="0" w:right="0" w:hanging="0"/>
              <w:jc w:val="left"/>
              <w:rPr/>
            </w:pPr>
            <w:r>
              <w:rPr/>
              <w:t>​</w:t>
            </w:r>
          </w:p>
        </w:tc>
        <w:tc>
          <w:tcPr>
            <w:tcW w:w="287" w:type="dxa"/>
            <w:tcBorders/>
            <w:shd w:fill="CCEEFF" w:val="clear"/>
            <w:vAlign w:val="center"/>
          </w:tcPr>
          <w:p>
            <w:pPr>
              <w:pStyle w:val="TableContents"/>
              <w:bidi w:val="0"/>
              <w:spacing w:before="0" w:after="0"/>
              <w:ind w:left="0" w:right="0" w:hanging="0"/>
              <w:jc w:val="left"/>
              <w:rPr/>
            </w:pPr>
            <w:r>
              <w:rPr/>
              <w:t>​</w:t>
            </w:r>
          </w:p>
        </w:tc>
        <w:tc>
          <w:tcPr>
            <w:tcW w:w="1000"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13,089</w:t>
            </w:r>
          </w:p>
        </w:tc>
        <w:tc>
          <w:tcPr>
            <w:tcW w:w="109" w:type="dxa"/>
            <w:tcBorders/>
            <w:shd w:fill="CCEEFF" w:val="clear"/>
            <w:vAlign w:val="center"/>
          </w:tcPr>
          <w:p>
            <w:pPr>
              <w:pStyle w:val="TableContents"/>
              <w:bidi w:val="0"/>
              <w:spacing w:before="0" w:after="0"/>
              <w:ind w:left="0" w:right="0" w:hanging="0"/>
              <w:jc w:val="left"/>
              <w:rPr/>
            </w:pPr>
            <w:r>
              <w:rPr/>
              <w:t>​</w:t>
            </w:r>
          </w:p>
        </w:tc>
        <w:tc>
          <w:tcPr>
            <w:tcW w:w="287" w:type="dxa"/>
            <w:tcBorders/>
            <w:shd w:fill="CCEEFF" w:val="clear"/>
            <w:vAlign w:val="center"/>
          </w:tcPr>
          <w:p>
            <w:pPr>
              <w:pStyle w:val="TableContents"/>
              <w:bidi w:val="0"/>
              <w:spacing w:before="0" w:after="0"/>
              <w:ind w:left="0" w:right="0" w:hanging="0"/>
              <w:jc w:val="left"/>
              <w:rPr/>
            </w:pPr>
            <w:r>
              <w:rPr/>
              <w:t>​</w:t>
            </w:r>
          </w:p>
        </w:tc>
        <w:tc>
          <w:tcPr>
            <w:tcW w:w="1000"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5,038</w:t>
            </w:r>
          </w:p>
        </w:tc>
        <w:tc>
          <w:tcPr>
            <w:tcW w:w="109" w:type="dxa"/>
            <w:tcBorders/>
            <w:shd w:fill="CCEEFF" w:val="clear"/>
            <w:vAlign w:val="center"/>
          </w:tcPr>
          <w:p>
            <w:pPr>
              <w:pStyle w:val="TableContents"/>
              <w:bidi w:val="0"/>
              <w:spacing w:before="0" w:after="0"/>
              <w:ind w:left="0" w:right="0" w:hanging="0"/>
              <w:jc w:val="right"/>
              <w:rPr/>
            </w:pPr>
            <w:r>
              <w:rPr/>
              <w:t>​</w:t>
            </w:r>
          </w:p>
        </w:tc>
        <w:tc>
          <w:tcPr>
            <w:tcW w:w="270"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8,051</w:t>
            </w:r>
          </w:p>
        </w:tc>
        <w:tc>
          <w:tcPr>
            <w:tcW w:w="109" w:type="dxa"/>
            <w:tcBorders/>
            <w:shd w:fill="CCEEFF" w:val="clear"/>
            <w:vAlign w:val="center"/>
          </w:tcPr>
          <w:p>
            <w:pPr>
              <w:pStyle w:val="TableContents"/>
              <w:bidi w:val="0"/>
              <w:spacing w:before="0" w:after="0"/>
              <w:ind w:left="0" w:right="0" w:hanging="0"/>
              <w:jc w:val="left"/>
              <w:rPr/>
            </w:pPr>
            <w:r>
              <w:rPr/>
              <w:t>​</w:t>
            </w:r>
          </w:p>
        </w:tc>
        <w:tc>
          <w:tcPr>
            <w:tcW w:w="1338"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159.8%</w:t>
            </w:r>
          </w:p>
        </w:tc>
      </w:tr>
      <w:tr>
        <w:trPr/>
        <w:tc>
          <w:tcPr>
            <w:tcW w:w="467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Other Revenue</w:t>
            </w:r>
          </w:p>
        </w:tc>
        <w:tc>
          <w:tcPr>
            <w:tcW w:w="109" w:type="dxa"/>
            <w:tcBorders/>
            <w:vAlign w:val="center"/>
          </w:tcPr>
          <w:p>
            <w:pPr>
              <w:pStyle w:val="TableContents"/>
              <w:bidi w:val="0"/>
              <w:spacing w:before="0" w:after="0"/>
              <w:ind w:left="0" w:right="0" w:hanging="0"/>
              <w:jc w:val="left"/>
              <w:rPr/>
            </w:pPr>
            <w:r>
              <w:rPr/>
              <w:t>​</w:t>
            </w:r>
          </w:p>
        </w:tc>
        <w:tc>
          <w:tcPr>
            <w:tcW w:w="28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0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80</w:t>
            </w:r>
          </w:p>
        </w:tc>
        <w:tc>
          <w:tcPr>
            <w:tcW w:w="109" w:type="dxa"/>
            <w:tcBorders/>
            <w:vAlign w:val="center"/>
          </w:tcPr>
          <w:p>
            <w:pPr>
              <w:pStyle w:val="TableContents"/>
              <w:bidi w:val="0"/>
              <w:spacing w:before="0" w:after="0"/>
              <w:ind w:left="0" w:right="0" w:hanging="0"/>
              <w:jc w:val="left"/>
              <w:rPr/>
            </w:pPr>
            <w:r>
              <w:rPr/>
              <w:t>​</w:t>
            </w:r>
          </w:p>
        </w:tc>
        <w:tc>
          <w:tcPr>
            <w:tcW w:w="28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0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183</w:t>
            </w:r>
          </w:p>
        </w:tc>
        <w:tc>
          <w:tcPr>
            <w:tcW w:w="109" w:type="dxa"/>
            <w:tcBorders/>
            <w:vAlign w:val="center"/>
          </w:tcPr>
          <w:p>
            <w:pPr>
              <w:pStyle w:val="TableContents"/>
              <w:bidi w:val="0"/>
              <w:spacing w:before="0" w:after="0"/>
              <w:ind w:left="0" w:right="0" w:hanging="0"/>
              <w:jc w:val="right"/>
              <w:rPr/>
            </w:pPr>
            <w:r>
              <w:rPr/>
              <w:t>​</w:t>
            </w:r>
          </w:p>
        </w:tc>
        <w:tc>
          <w:tcPr>
            <w:tcW w:w="27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(103)</w:t>
            </w:r>
          </w:p>
        </w:tc>
        <w:tc>
          <w:tcPr>
            <w:tcW w:w="109" w:type="dxa"/>
            <w:tcBorders/>
            <w:vAlign w:val="center"/>
          </w:tcPr>
          <w:p>
            <w:pPr>
              <w:pStyle w:val="TableContents"/>
              <w:bidi w:val="0"/>
              <w:spacing w:before="0" w:after="0"/>
              <w:ind w:left="0" w:right="0" w:hanging="0"/>
              <w:jc w:val="left"/>
              <w:rPr/>
            </w:pPr>
            <w:r>
              <w:rPr/>
              <w:t>​</w:t>
            </w:r>
          </w:p>
        </w:tc>
        <w:tc>
          <w:tcPr>
            <w:tcW w:w="133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(56.3)%</w:t>
            </w:r>
          </w:p>
        </w:tc>
      </w:tr>
      <w:tr>
        <w:trPr/>
        <w:tc>
          <w:tcPr>
            <w:tcW w:w="4671" w:type="dxa"/>
            <w:tcBorders/>
            <w:shd w:fill="CCEEFF"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Total Revenues</w:t>
            </w:r>
          </w:p>
        </w:tc>
        <w:tc>
          <w:tcPr>
            <w:tcW w:w="109" w:type="dxa"/>
            <w:tcBorders/>
            <w:shd w:fill="CCEEFF" w:val="clear"/>
            <w:vAlign w:val="center"/>
          </w:tcPr>
          <w:p>
            <w:pPr>
              <w:pStyle w:val="TableContents"/>
              <w:bidi w:val="0"/>
              <w:spacing w:before="0" w:after="0"/>
              <w:ind w:left="0" w:right="0" w:hanging="0"/>
              <w:jc w:val="left"/>
              <w:rPr/>
            </w:pPr>
            <w:r>
              <w:rPr/>
              <w:t>​</w:t>
            </w:r>
          </w:p>
        </w:tc>
        <w:tc>
          <w:tcPr>
            <w:tcW w:w="28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0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38,408</w:t>
            </w:r>
          </w:p>
        </w:tc>
        <w:tc>
          <w:tcPr>
            <w:tcW w:w="109" w:type="dxa"/>
            <w:tcBorders/>
            <w:shd w:fill="CCEEFF" w:val="clear"/>
            <w:vAlign w:val="center"/>
          </w:tcPr>
          <w:p>
            <w:pPr>
              <w:pStyle w:val="TableContents"/>
              <w:bidi w:val="0"/>
              <w:spacing w:before="0" w:after="0"/>
              <w:ind w:left="0" w:right="0" w:hanging="0"/>
              <w:jc w:val="left"/>
              <w:rPr/>
            </w:pPr>
            <w:r>
              <w:rPr/>
              <w:t>​</w:t>
            </w:r>
          </w:p>
        </w:tc>
        <w:tc>
          <w:tcPr>
            <w:tcW w:w="28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0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29,069</w:t>
            </w:r>
          </w:p>
        </w:tc>
        <w:tc>
          <w:tcPr>
            <w:tcW w:w="109" w:type="dxa"/>
            <w:tcBorders/>
            <w:shd w:fill="CCEEFF" w:val="clear"/>
            <w:vAlign w:val="center"/>
          </w:tcPr>
          <w:p>
            <w:pPr>
              <w:pStyle w:val="TableContents"/>
              <w:bidi w:val="0"/>
              <w:spacing w:before="0" w:after="0"/>
              <w:ind w:left="0" w:right="0" w:hanging="0"/>
              <w:jc w:val="right"/>
              <w:rPr/>
            </w:pPr>
            <w:r>
              <w:rPr/>
              <w:t>​</w:t>
            </w:r>
          </w:p>
        </w:tc>
        <w:tc>
          <w:tcPr>
            <w:tcW w:w="2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9,339</w:t>
            </w:r>
          </w:p>
        </w:tc>
        <w:tc>
          <w:tcPr>
            <w:tcW w:w="109" w:type="dxa"/>
            <w:tcBorders/>
            <w:shd w:fill="CCEEFF" w:val="clear"/>
            <w:vAlign w:val="center"/>
          </w:tcPr>
          <w:p>
            <w:pPr>
              <w:pStyle w:val="TableContents"/>
              <w:bidi w:val="0"/>
              <w:spacing w:before="0" w:after="0"/>
              <w:ind w:left="0" w:right="0" w:hanging="0"/>
              <w:jc w:val="left"/>
              <w:rPr/>
            </w:pPr>
            <w:r>
              <w:rPr/>
              <w:t>​</w:t>
            </w:r>
          </w:p>
        </w:tc>
        <w:tc>
          <w:tcPr>
            <w:tcW w:w="133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32.1%</w:t>
            </w:r>
          </w:p>
        </w:tc>
      </w:tr>
      <w:tr>
        <w:trPr/>
        <w:tc>
          <w:tcPr>
            <w:tcW w:w="467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Operating Expenses:</w:t>
            </w:r>
          </w:p>
        </w:tc>
        <w:tc>
          <w:tcPr>
            <w:tcW w:w="109" w:type="dxa"/>
            <w:tcBorders/>
            <w:vAlign w:val="center"/>
          </w:tcPr>
          <w:p>
            <w:pPr>
              <w:pStyle w:val="TableContents"/>
              <w:bidi w:val="0"/>
              <w:spacing w:before="0" w:after="0"/>
              <w:ind w:left="0" w:right="0" w:hanging="0"/>
              <w:jc w:val="left"/>
              <w:rPr/>
            </w:pPr>
            <w:r>
              <w:rPr/>
              <w:t>​</w:t>
            </w:r>
          </w:p>
        </w:tc>
        <w:tc>
          <w:tcPr>
            <w:tcW w:w="287" w:type="dxa"/>
            <w:tcBorders/>
            <w:vAlign w:val="center"/>
          </w:tcPr>
          <w:p>
            <w:pPr>
              <w:pStyle w:val="TableContents"/>
              <w:bidi w:val="0"/>
              <w:spacing w:before="0" w:after="0"/>
              <w:ind w:left="0" w:right="0" w:hanging="0"/>
              <w:jc w:val="left"/>
              <w:rPr/>
            </w:pPr>
            <w:r>
              <w:rPr/>
              <w:t>​</w:t>
            </w:r>
          </w:p>
        </w:tc>
        <w:tc>
          <w:tcPr>
            <w:tcW w:w="1000"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87" w:type="dxa"/>
            <w:tcBorders/>
            <w:vAlign w:val="center"/>
          </w:tcPr>
          <w:p>
            <w:pPr>
              <w:pStyle w:val="TableContents"/>
              <w:bidi w:val="0"/>
              <w:spacing w:before="0" w:after="0"/>
              <w:ind w:left="0" w:right="0" w:hanging="0"/>
              <w:jc w:val="left"/>
              <w:rPr/>
            </w:pPr>
            <w:r>
              <w:rPr/>
              <w:t>​</w:t>
            </w:r>
          </w:p>
        </w:tc>
        <w:tc>
          <w:tcPr>
            <w:tcW w:w="1000"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70"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338" w:type="dxa"/>
            <w:tcBorders/>
            <w:vAlign w:val="center"/>
          </w:tcPr>
          <w:p>
            <w:pPr>
              <w:pStyle w:val="TableContents"/>
              <w:bidi w:val="0"/>
              <w:spacing w:before="0" w:after="0"/>
              <w:ind w:left="0" w:right="0" w:hanging="0"/>
              <w:jc w:val="left"/>
              <w:rPr/>
            </w:pPr>
            <w:r>
              <w:rPr/>
              <w:t>​</w:t>
            </w:r>
          </w:p>
        </w:tc>
      </w:tr>
      <w:tr>
        <w:trPr/>
        <w:tc>
          <w:tcPr>
            <w:tcW w:w="4671" w:type="dxa"/>
            <w:tcBorders/>
            <w:shd w:fill="CCEEFF"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Real Estate Expenses</w:t>
            </w:r>
          </w:p>
        </w:tc>
        <w:tc>
          <w:tcPr>
            <w:tcW w:w="109" w:type="dxa"/>
            <w:tcBorders/>
            <w:shd w:fill="CCEEFF" w:val="clear"/>
            <w:vAlign w:val="center"/>
          </w:tcPr>
          <w:p>
            <w:pPr>
              <w:pStyle w:val="TableContents"/>
              <w:bidi w:val="0"/>
              <w:spacing w:before="0" w:after="0"/>
              <w:ind w:left="0" w:right="0" w:hanging="0"/>
              <w:jc w:val="left"/>
              <w:rPr/>
            </w:pPr>
            <w:r>
              <w:rPr/>
              <w:t>​</w:t>
            </w:r>
          </w:p>
        </w:tc>
        <w:tc>
          <w:tcPr>
            <w:tcW w:w="287" w:type="dxa"/>
            <w:tcBorders/>
            <w:shd w:fill="CCEEFF" w:val="clear"/>
            <w:vAlign w:val="center"/>
          </w:tcPr>
          <w:p>
            <w:pPr>
              <w:pStyle w:val="TableContents"/>
              <w:bidi w:val="0"/>
              <w:spacing w:before="0" w:after="0"/>
              <w:ind w:left="0" w:right="0" w:hanging="0"/>
              <w:jc w:val="left"/>
              <w:rPr/>
            </w:pPr>
            <w:r>
              <w:rPr/>
              <w:t>​</w:t>
            </w:r>
          </w:p>
        </w:tc>
        <w:tc>
          <w:tcPr>
            <w:tcW w:w="1000"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4,387</w:t>
            </w:r>
          </w:p>
        </w:tc>
        <w:tc>
          <w:tcPr>
            <w:tcW w:w="109" w:type="dxa"/>
            <w:tcBorders/>
            <w:shd w:fill="CCEEFF" w:val="clear"/>
            <w:vAlign w:val="center"/>
          </w:tcPr>
          <w:p>
            <w:pPr>
              <w:pStyle w:val="TableContents"/>
              <w:bidi w:val="0"/>
              <w:spacing w:before="0" w:after="0"/>
              <w:ind w:left="0" w:right="0" w:hanging="0"/>
              <w:jc w:val="left"/>
              <w:rPr/>
            </w:pPr>
            <w:r>
              <w:rPr/>
              <w:t>​</w:t>
            </w:r>
          </w:p>
        </w:tc>
        <w:tc>
          <w:tcPr>
            <w:tcW w:w="287" w:type="dxa"/>
            <w:tcBorders/>
            <w:shd w:fill="CCEEFF" w:val="clear"/>
            <w:vAlign w:val="center"/>
          </w:tcPr>
          <w:p>
            <w:pPr>
              <w:pStyle w:val="TableContents"/>
              <w:bidi w:val="0"/>
              <w:spacing w:before="0" w:after="0"/>
              <w:ind w:left="0" w:right="0" w:hanging="0"/>
              <w:jc w:val="left"/>
              <w:rPr/>
            </w:pPr>
            <w:r>
              <w:rPr/>
              <w:t>​</w:t>
            </w:r>
          </w:p>
        </w:tc>
        <w:tc>
          <w:tcPr>
            <w:tcW w:w="1000"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4,139</w:t>
            </w:r>
          </w:p>
        </w:tc>
        <w:tc>
          <w:tcPr>
            <w:tcW w:w="109" w:type="dxa"/>
            <w:tcBorders/>
            <w:shd w:fill="CCEEFF" w:val="clear"/>
            <w:vAlign w:val="center"/>
          </w:tcPr>
          <w:p>
            <w:pPr>
              <w:pStyle w:val="TableContents"/>
              <w:bidi w:val="0"/>
              <w:spacing w:before="0" w:after="0"/>
              <w:ind w:left="0" w:right="0" w:hanging="0"/>
              <w:jc w:val="right"/>
              <w:rPr/>
            </w:pPr>
            <w:r>
              <w:rPr/>
              <w:t>​</w:t>
            </w:r>
          </w:p>
        </w:tc>
        <w:tc>
          <w:tcPr>
            <w:tcW w:w="270"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248</w:t>
            </w:r>
          </w:p>
        </w:tc>
        <w:tc>
          <w:tcPr>
            <w:tcW w:w="109" w:type="dxa"/>
            <w:tcBorders/>
            <w:shd w:fill="CCEEFF" w:val="clear"/>
            <w:vAlign w:val="center"/>
          </w:tcPr>
          <w:p>
            <w:pPr>
              <w:pStyle w:val="TableContents"/>
              <w:bidi w:val="0"/>
              <w:spacing w:before="0" w:after="0"/>
              <w:ind w:left="0" w:right="0" w:hanging="0"/>
              <w:jc w:val="left"/>
              <w:rPr/>
            </w:pPr>
            <w:r>
              <w:rPr/>
              <w:t>​</w:t>
            </w:r>
          </w:p>
        </w:tc>
        <w:tc>
          <w:tcPr>
            <w:tcW w:w="1338"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6.0%</w:t>
            </w:r>
          </w:p>
        </w:tc>
      </w:tr>
      <w:tr>
        <w:trPr/>
        <w:tc>
          <w:tcPr>
            <w:tcW w:w="467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General and Administrative Expenses</w:t>
            </w:r>
          </w:p>
        </w:tc>
        <w:tc>
          <w:tcPr>
            <w:tcW w:w="109" w:type="dxa"/>
            <w:tcBorders/>
            <w:vAlign w:val="center"/>
          </w:tcPr>
          <w:p>
            <w:pPr>
              <w:pStyle w:val="TableContents"/>
              <w:bidi w:val="0"/>
              <w:spacing w:before="0" w:after="0"/>
              <w:ind w:left="0" w:right="0" w:hanging="0"/>
              <w:jc w:val="left"/>
              <w:rPr/>
            </w:pPr>
            <w:r>
              <w:rPr/>
              <w:t>​</w:t>
            </w:r>
          </w:p>
        </w:tc>
        <w:tc>
          <w:tcPr>
            <w:tcW w:w="287" w:type="dxa"/>
            <w:tcBorders/>
            <w:vAlign w:val="center"/>
          </w:tcPr>
          <w:p>
            <w:pPr>
              <w:pStyle w:val="TableContents"/>
              <w:bidi w:val="0"/>
              <w:spacing w:before="0" w:after="0"/>
              <w:ind w:left="0" w:right="0" w:hanging="0"/>
              <w:jc w:val="left"/>
              <w:rPr/>
            </w:pPr>
            <w:r>
              <w:rPr/>
              <w:t>​</w:t>
            </w:r>
          </w:p>
        </w:tc>
        <w:tc>
          <w:tcPr>
            <w:tcW w:w="1000"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3,887</w:t>
            </w:r>
          </w:p>
        </w:tc>
        <w:tc>
          <w:tcPr>
            <w:tcW w:w="109" w:type="dxa"/>
            <w:tcBorders/>
            <w:vAlign w:val="center"/>
          </w:tcPr>
          <w:p>
            <w:pPr>
              <w:pStyle w:val="TableContents"/>
              <w:bidi w:val="0"/>
              <w:spacing w:before="0" w:after="0"/>
              <w:ind w:left="0" w:right="0" w:hanging="0"/>
              <w:jc w:val="left"/>
              <w:rPr/>
            </w:pPr>
            <w:r>
              <w:rPr/>
              <w:t>​</w:t>
            </w:r>
          </w:p>
        </w:tc>
        <w:tc>
          <w:tcPr>
            <w:tcW w:w="287" w:type="dxa"/>
            <w:tcBorders/>
            <w:vAlign w:val="center"/>
          </w:tcPr>
          <w:p>
            <w:pPr>
              <w:pStyle w:val="TableContents"/>
              <w:bidi w:val="0"/>
              <w:spacing w:before="0" w:after="0"/>
              <w:ind w:left="0" w:right="0" w:hanging="0"/>
              <w:jc w:val="left"/>
              <w:rPr/>
            </w:pPr>
            <w:r>
              <w:rPr/>
              <w:t>​</w:t>
            </w:r>
          </w:p>
        </w:tc>
        <w:tc>
          <w:tcPr>
            <w:tcW w:w="1000"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3,413</w:t>
            </w:r>
          </w:p>
        </w:tc>
        <w:tc>
          <w:tcPr>
            <w:tcW w:w="109" w:type="dxa"/>
            <w:tcBorders/>
            <w:vAlign w:val="center"/>
          </w:tcPr>
          <w:p>
            <w:pPr>
              <w:pStyle w:val="TableContents"/>
              <w:bidi w:val="0"/>
              <w:spacing w:before="0" w:after="0"/>
              <w:ind w:left="0" w:right="0" w:hanging="0"/>
              <w:jc w:val="right"/>
              <w:rPr/>
            </w:pPr>
            <w:r>
              <w:rPr/>
              <w:t>​</w:t>
            </w:r>
          </w:p>
        </w:tc>
        <w:tc>
          <w:tcPr>
            <w:tcW w:w="270"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474</w:t>
            </w:r>
          </w:p>
        </w:tc>
        <w:tc>
          <w:tcPr>
            <w:tcW w:w="109" w:type="dxa"/>
            <w:tcBorders/>
            <w:vAlign w:val="center"/>
          </w:tcPr>
          <w:p>
            <w:pPr>
              <w:pStyle w:val="TableContents"/>
              <w:bidi w:val="0"/>
              <w:spacing w:before="0" w:after="0"/>
              <w:ind w:left="0" w:right="0" w:hanging="0"/>
              <w:jc w:val="left"/>
              <w:rPr/>
            </w:pPr>
            <w:r>
              <w:rPr/>
              <w:t>​</w:t>
            </w:r>
          </w:p>
        </w:tc>
        <w:tc>
          <w:tcPr>
            <w:tcW w:w="1338"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13.9%</w:t>
            </w:r>
          </w:p>
        </w:tc>
      </w:tr>
      <w:tr>
        <w:trPr/>
        <w:tc>
          <w:tcPr>
            <w:tcW w:w="4671" w:type="dxa"/>
            <w:tcBorders/>
            <w:shd w:fill="CCEEFF"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Provision for Impairment</w:t>
            </w:r>
          </w:p>
        </w:tc>
        <w:tc>
          <w:tcPr>
            <w:tcW w:w="109" w:type="dxa"/>
            <w:tcBorders/>
            <w:shd w:fill="CCEEFF" w:val="clear"/>
            <w:vAlign w:val="center"/>
          </w:tcPr>
          <w:p>
            <w:pPr>
              <w:pStyle w:val="TableContents"/>
              <w:bidi w:val="0"/>
              <w:spacing w:before="0" w:after="0"/>
              <w:ind w:left="0" w:right="0" w:hanging="0"/>
              <w:jc w:val="left"/>
              <w:rPr/>
            </w:pPr>
            <w:r>
              <w:rPr/>
              <w:t>​</w:t>
            </w:r>
          </w:p>
        </w:tc>
        <w:tc>
          <w:tcPr>
            <w:tcW w:w="287" w:type="dxa"/>
            <w:tcBorders/>
            <w:shd w:fill="CCEEFF" w:val="clear"/>
            <w:vAlign w:val="center"/>
          </w:tcPr>
          <w:p>
            <w:pPr>
              <w:pStyle w:val="TableContents"/>
              <w:bidi w:val="0"/>
              <w:spacing w:before="0" w:after="0"/>
              <w:ind w:left="0" w:right="0" w:hanging="0"/>
              <w:jc w:val="left"/>
              <w:rPr/>
            </w:pPr>
            <w:r>
              <w:rPr/>
              <w:t>​</w:t>
            </w:r>
          </w:p>
        </w:tc>
        <w:tc>
          <w:tcPr>
            <w:tcW w:w="1000"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885</w:t>
            </w:r>
          </w:p>
        </w:tc>
        <w:tc>
          <w:tcPr>
            <w:tcW w:w="109" w:type="dxa"/>
            <w:tcBorders/>
            <w:shd w:fill="CCEEFF" w:val="clear"/>
            <w:vAlign w:val="center"/>
          </w:tcPr>
          <w:p>
            <w:pPr>
              <w:pStyle w:val="TableContents"/>
              <w:bidi w:val="0"/>
              <w:spacing w:before="0" w:after="0"/>
              <w:ind w:left="0" w:right="0" w:hanging="0"/>
              <w:jc w:val="left"/>
              <w:rPr/>
            </w:pPr>
            <w:r>
              <w:rPr/>
              <w:t>​</w:t>
            </w:r>
          </w:p>
        </w:tc>
        <w:tc>
          <w:tcPr>
            <w:tcW w:w="287" w:type="dxa"/>
            <w:tcBorders/>
            <w:shd w:fill="CCEEFF" w:val="clear"/>
            <w:vAlign w:val="center"/>
          </w:tcPr>
          <w:p>
            <w:pPr>
              <w:pStyle w:val="TableContents"/>
              <w:bidi w:val="0"/>
              <w:spacing w:before="0" w:after="0"/>
              <w:ind w:left="0" w:right="0" w:hanging="0"/>
              <w:jc w:val="left"/>
              <w:rPr/>
            </w:pPr>
            <w:r>
              <w:rPr/>
              <w:t>​</w:t>
            </w:r>
          </w:p>
        </w:tc>
        <w:tc>
          <w:tcPr>
            <w:tcW w:w="1000"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4,834</w:t>
            </w:r>
          </w:p>
        </w:tc>
        <w:tc>
          <w:tcPr>
            <w:tcW w:w="109" w:type="dxa"/>
            <w:tcBorders/>
            <w:shd w:fill="CCEEFF" w:val="clear"/>
            <w:vAlign w:val="center"/>
          </w:tcPr>
          <w:p>
            <w:pPr>
              <w:pStyle w:val="TableContents"/>
              <w:bidi w:val="0"/>
              <w:spacing w:before="0" w:after="0"/>
              <w:ind w:left="0" w:right="0" w:hanging="0"/>
              <w:jc w:val="right"/>
              <w:rPr/>
            </w:pPr>
            <w:r>
              <w:rPr/>
              <w:t>​</w:t>
            </w:r>
          </w:p>
        </w:tc>
        <w:tc>
          <w:tcPr>
            <w:tcW w:w="270"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(3,949)</w:t>
            </w:r>
          </w:p>
        </w:tc>
        <w:tc>
          <w:tcPr>
            <w:tcW w:w="109" w:type="dxa"/>
            <w:tcBorders/>
            <w:shd w:fill="CCEEFF" w:val="clear"/>
            <w:vAlign w:val="center"/>
          </w:tcPr>
          <w:p>
            <w:pPr>
              <w:pStyle w:val="TableContents"/>
              <w:bidi w:val="0"/>
              <w:spacing w:before="0" w:after="0"/>
              <w:ind w:left="0" w:right="0" w:hanging="0"/>
              <w:jc w:val="left"/>
              <w:rPr/>
            </w:pPr>
            <w:r>
              <w:rPr/>
              <w:t>​</w:t>
            </w:r>
          </w:p>
        </w:tc>
        <w:tc>
          <w:tcPr>
            <w:tcW w:w="1338"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(81.7)%</w:t>
            </w:r>
          </w:p>
        </w:tc>
      </w:tr>
      <w:tr>
        <w:trPr/>
        <w:tc>
          <w:tcPr>
            <w:tcW w:w="467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Depreciation and Amortization</w:t>
            </w:r>
          </w:p>
        </w:tc>
        <w:tc>
          <w:tcPr>
            <w:tcW w:w="109" w:type="dxa"/>
            <w:tcBorders/>
            <w:vAlign w:val="center"/>
          </w:tcPr>
          <w:p>
            <w:pPr>
              <w:pStyle w:val="TableContents"/>
              <w:bidi w:val="0"/>
              <w:spacing w:before="0" w:after="0"/>
              <w:ind w:left="0" w:right="0" w:hanging="0"/>
              <w:jc w:val="left"/>
              <w:rPr/>
            </w:pPr>
            <w:r>
              <w:rPr/>
              <w:t>​</w:t>
            </w:r>
          </w:p>
        </w:tc>
        <w:tc>
          <w:tcPr>
            <w:tcW w:w="28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0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14,020</w:t>
            </w:r>
          </w:p>
        </w:tc>
        <w:tc>
          <w:tcPr>
            <w:tcW w:w="109" w:type="dxa"/>
            <w:tcBorders/>
            <w:vAlign w:val="center"/>
          </w:tcPr>
          <w:p>
            <w:pPr>
              <w:pStyle w:val="TableContents"/>
              <w:bidi w:val="0"/>
              <w:spacing w:before="0" w:after="0"/>
              <w:ind w:left="0" w:right="0" w:hanging="0"/>
              <w:jc w:val="left"/>
              <w:rPr/>
            </w:pPr>
            <w:r>
              <w:rPr/>
              <w:t>​</w:t>
            </w:r>
          </w:p>
        </w:tc>
        <w:tc>
          <w:tcPr>
            <w:tcW w:w="28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0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14,012</w:t>
            </w:r>
          </w:p>
        </w:tc>
        <w:tc>
          <w:tcPr>
            <w:tcW w:w="109" w:type="dxa"/>
            <w:tcBorders/>
            <w:vAlign w:val="center"/>
          </w:tcPr>
          <w:p>
            <w:pPr>
              <w:pStyle w:val="TableContents"/>
              <w:bidi w:val="0"/>
              <w:spacing w:before="0" w:after="0"/>
              <w:ind w:left="0" w:right="0" w:hanging="0"/>
              <w:jc w:val="right"/>
              <w:rPr/>
            </w:pPr>
            <w:r>
              <w:rPr/>
              <w:t>​</w:t>
            </w:r>
          </w:p>
        </w:tc>
        <w:tc>
          <w:tcPr>
            <w:tcW w:w="27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8</w:t>
            </w:r>
          </w:p>
        </w:tc>
        <w:tc>
          <w:tcPr>
            <w:tcW w:w="109" w:type="dxa"/>
            <w:tcBorders/>
            <w:vAlign w:val="center"/>
          </w:tcPr>
          <w:p>
            <w:pPr>
              <w:pStyle w:val="TableContents"/>
              <w:bidi w:val="0"/>
              <w:spacing w:before="0" w:after="0"/>
              <w:ind w:left="0" w:right="0" w:hanging="0"/>
              <w:jc w:val="left"/>
              <w:rPr/>
            </w:pPr>
            <w:r>
              <w:rPr/>
              <w:t>​</w:t>
            </w:r>
          </w:p>
        </w:tc>
        <w:tc>
          <w:tcPr>
            <w:tcW w:w="133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0.1%</w:t>
            </w:r>
          </w:p>
        </w:tc>
      </w:tr>
      <w:tr>
        <w:trPr/>
        <w:tc>
          <w:tcPr>
            <w:tcW w:w="4671" w:type="dxa"/>
            <w:tcBorders/>
            <w:shd w:fill="CCEEFF"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Total Operating Expenses</w:t>
            </w:r>
          </w:p>
        </w:tc>
        <w:tc>
          <w:tcPr>
            <w:tcW w:w="109" w:type="dxa"/>
            <w:tcBorders/>
            <w:shd w:fill="CCEEFF" w:val="clear"/>
            <w:vAlign w:val="center"/>
          </w:tcPr>
          <w:p>
            <w:pPr>
              <w:pStyle w:val="TableContents"/>
              <w:bidi w:val="0"/>
              <w:spacing w:before="0" w:after="0"/>
              <w:ind w:left="0" w:right="0" w:hanging="0"/>
              <w:jc w:val="left"/>
              <w:rPr/>
            </w:pPr>
            <w:r>
              <w:rPr/>
              <w:t>​</w:t>
            </w:r>
          </w:p>
        </w:tc>
        <w:tc>
          <w:tcPr>
            <w:tcW w:w="287" w:type="dxa"/>
            <w:tcBorders/>
            <w:shd w:fill="CCEEFF" w:val="clear"/>
            <w:vAlign w:val="center"/>
          </w:tcPr>
          <w:p>
            <w:pPr>
              <w:pStyle w:val="TableContents"/>
              <w:bidi w:val="0"/>
              <w:spacing w:before="0" w:after="0"/>
              <w:ind w:left="0" w:right="0" w:hanging="0"/>
              <w:jc w:val="left"/>
              <w:rPr/>
            </w:pPr>
            <w:r>
              <w:rPr/>
              <w:t>​</w:t>
            </w:r>
          </w:p>
        </w:tc>
        <w:tc>
          <w:tcPr>
            <w:tcW w:w="1000"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23,179</w:t>
            </w:r>
          </w:p>
        </w:tc>
        <w:tc>
          <w:tcPr>
            <w:tcW w:w="109" w:type="dxa"/>
            <w:tcBorders/>
            <w:shd w:fill="CCEEFF" w:val="clear"/>
            <w:vAlign w:val="center"/>
          </w:tcPr>
          <w:p>
            <w:pPr>
              <w:pStyle w:val="TableContents"/>
              <w:bidi w:val="0"/>
              <w:spacing w:before="0" w:after="0"/>
              <w:ind w:left="0" w:right="0" w:hanging="0"/>
              <w:jc w:val="left"/>
              <w:rPr/>
            </w:pPr>
            <w:r>
              <w:rPr/>
              <w:t>​</w:t>
            </w:r>
          </w:p>
        </w:tc>
        <w:tc>
          <w:tcPr>
            <w:tcW w:w="287" w:type="dxa"/>
            <w:tcBorders/>
            <w:shd w:fill="CCEEFF" w:val="clear"/>
            <w:vAlign w:val="center"/>
          </w:tcPr>
          <w:p>
            <w:pPr>
              <w:pStyle w:val="TableContents"/>
              <w:bidi w:val="0"/>
              <w:spacing w:before="0" w:after="0"/>
              <w:ind w:left="0" w:right="0" w:hanging="0"/>
              <w:jc w:val="left"/>
              <w:rPr/>
            </w:pPr>
            <w:r>
              <w:rPr/>
              <w:t>​</w:t>
            </w:r>
          </w:p>
        </w:tc>
        <w:tc>
          <w:tcPr>
            <w:tcW w:w="1000"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26,398</w:t>
            </w:r>
          </w:p>
        </w:tc>
        <w:tc>
          <w:tcPr>
            <w:tcW w:w="109" w:type="dxa"/>
            <w:tcBorders/>
            <w:shd w:fill="CCEEFF" w:val="clear"/>
            <w:vAlign w:val="center"/>
          </w:tcPr>
          <w:p>
            <w:pPr>
              <w:pStyle w:val="TableContents"/>
              <w:bidi w:val="0"/>
              <w:spacing w:before="0" w:after="0"/>
              <w:ind w:left="0" w:right="0" w:hanging="0"/>
              <w:jc w:val="right"/>
              <w:rPr/>
            </w:pPr>
            <w:r>
              <w:rPr/>
              <w:t>​</w:t>
            </w:r>
          </w:p>
        </w:tc>
        <w:tc>
          <w:tcPr>
            <w:tcW w:w="270"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(3,219)</w:t>
            </w:r>
          </w:p>
        </w:tc>
        <w:tc>
          <w:tcPr>
            <w:tcW w:w="109" w:type="dxa"/>
            <w:tcBorders/>
            <w:shd w:fill="CCEEFF" w:val="clear"/>
            <w:vAlign w:val="center"/>
          </w:tcPr>
          <w:p>
            <w:pPr>
              <w:pStyle w:val="TableContents"/>
              <w:bidi w:val="0"/>
              <w:spacing w:before="0" w:after="0"/>
              <w:ind w:left="0" w:right="0" w:hanging="0"/>
              <w:jc w:val="left"/>
              <w:rPr/>
            </w:pPr>
            <w:r>
              <w:rPr/>
              <w:t>​</w:t>
            </w:r>
          </w:p>
        </w:tc>
        <w:tc>
          <w:tcPr>
            <w:tcW w:w="1338"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(12.2)%</w:t>
            </w:r>
          </w:p>
        </w:tc>
      </w:tr>
      <w:tr>
        <w:trPr/>
        <w:tc>
          <w:tcPr>
            <w:tcW w:w="467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Gain on Disposition of Assets</w:t>
            </w:r>
          </w:p>
        </w:tc>
        <w:tc>
          <w:tcPr>
            <w:tcW w:w="109" w:type="dxa"/>
            <w:tcBorders/>
            <w:vAlign w:val="center"/>
          </w:tcPr>
          <w:p>
            <w:pPr>
              <w:pStyle w:val="TableContents"/>
              <w:bidi w:val="0"/>
              <w:spacing w:before="0" w:after="0"/>
              <w:ind w:left="0" w:right="0" w:hanging="0"/>
              <w:jc w:val="left"/>
              <w:rPr/>
            </w:pPr>
            <w:r>
              <w:rPr/>
              <w:t>​</w:t>
            </w:r>
          </w:p>
        </w:tc>
        <w:tc>
          <w:tcPr>
            <w:tcW w:w="28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0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97</w:t>
            </w:r>
          </w:p>
        </w:tc>
        <w:tc>
          <w:tcPr>
            <w:tcW w:w="109" w:type="dxa"/>
            <w:tcBorders/>
            <w:vAlign w:val="center"/>
          </w:tcPr>
          <w:p>
            <w:pPr>
              <w:pStyle w:val="TableContents"/>
              <w:bidi w:val="0"/>
              <w:spacing w:before="0" w:after="0"/>
              <w:ind w:left="0" w:right="0" w:hanging="0"/>
              <w:jc w:val="left"/>
              <w:rPr/>
            </w:pPr>
            <w:r>
              <w:rPr/>
              <w:t>​</w:t>
            </w:r>
          </w:p>
        </w:tc>
        <w:tc>
          <w:tcPr>
            <w:tcW w:w="28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0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2,089</w:t>
            </w:r>
          </w:p>
        </w:tc>
        <w:tc>
          <w:tcPr>
            <w:tcW w:w="109" w:type="dxa"/>
            <w:tcBorders/>
            <w:vAlign w:val="center"/>
          </w:tcPr>
          <w:p>
            <w:pPr>
              <w:pStyle w:val="TableContents"/>
              <w:bidi w:val="0"/>
              <w:spacing w:before="0" w:after="0"/>
              <w:ind w:left="0" w:right="0" w:hanging="0"/>
              <w:jc w:val="right"/>
              <w:rPr/>
            </w:pPr>
            <w:r>
              <w:rPr/>
              <w:t>​</w:t>
            </w:r>
          </w:p>
        </w:tc>
        <w:tc>
          <w:tcPr>
            <w:tcW w:w="27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(1,992)</w:t>
            </w:r>
          </w:p>
        </w:tc>
        <w:tc>
          <w:tcPr>
            <w:tcW w:w="109" w:type="dxa"/>
            <w:tcBorders/>
            <w:vAlign w:val="center"/>
          </w:tcPr>
          <w:p>
            <w:pPr>
              <w:pStyle w:val="TableContents"/>
              <w:bidi w:val="0"/>
              <w:spacing w:before="0" w:after="0"/>
              <w:ind w:left="0" w:right="0" w:hanging="0"/>
              <w:jc w:val="left"/>
              <w:rPr/>
            </w:pPr>
            <w:r>
              <w:rPr/>
              <w:t>​</w:t>
            </w:r>
          </w:p>
        </w:tc>
        <w:tc>
          <w:tcPr>
            <w:tcW w:w="133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(95.4)%</w:t>
            </w:r>
          </w:p>
        </w:tc>
      </w:tr>
      <w:tr>
        <w:trPr/>
        <w:tc>
          <w:tcPr>
            <w:tcW w:w="4671" w:type="dxa"/>
            <w:tcBorders/>
            <w:shd w:fill="CCEEFF"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Net Income from Operations</w:t>
            </w:r>
          </w:p>
        </w:tc>
        <w:tc>
          <w:tcPr>
            <w:tcW w:w="109" w:type="dxa"/>
            <w:tcBorders/>
            <w:shd w:fill="CCEEFF" w:val="clear"/>
            <w:vAlign w:val="center"/>
          </w:tcPr>
          <w:p>
            <w:pPr>
              <w:pStyle w:val="TableContents"/>
              <w:bidi w:val="0"/>
              <w:spacing w:before="0" w:after="0"/>
              <w:ind w:left="0" w:right="0" w:hanging="0"/>
              <w:jc w:val="left"/>
              <w:rPr/>
            </w:pPr>
            <w:r>
              <w:rPr/>
              <w:t>​</w:t>
            </w:r>
          </w:p>
        </w:tc>
        <w:tc>
          <w:tcPr>
            <w:tcW w:w="287" w:type="dxa"/>
            <w:tcBorders/>
            <w:shd w:fill="CCEEFF" w:val="clear"/>
            <w:vAlign w:val="center"/>
          </w:tcPr>
          <w:p>
            <w:pPr>
              <w:pStyle w:val="TableContents"/>
              <w:bidi w:val="0"/>
              <w:spacing w:before="0" w:after="0"/>
              <w:ind w:left="0" w:right="0" w:hanging="0"/>
              <w:jc w:val="left"/>
              <w:rPr/>
            </w:pPr>
            <w:r>
              <w:rPr/>
              <w:t>​</w:t>
            </w:r>
          </w:p>
        </w:tc>
        <w:tc>
          <w:tcPr>
            <w:tcW w:w="1000"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15,326</w:t>
            </w:r>
          </w:p>
        </w:tc>
        <w:tc>
          <w:tcPr>
            <w:tcW w:w="109" w:type="dxa"/>
            <w:tcBorders/>
            <w:shd w:fill="CCEEFF" w:val="clear"/>
            <w:vAlign w:val="center"/>
          </w:tcPr>
          <w:p>
            <w:pPr>
              <w:pStyle w:val="TableContents"/>
              <w:bidi w:val="0"/>
              <w:spacing w:before="0" w:after="0"/>
              <w:ind w:left="0" w:right="0" w:hanging="0"/>
              <w:jc w:val="left"/>
              <w:rPr/>
            </w:pPr>
            <w:r>
              <w:rPr/>
              <w:t>​</w:t>
            </w:r>
          </w:p>
        </w:tc>
        <w:tc>
          <w:tcPr>
            <w:tcW w:w="287" w:type="dxa"/>
            <w:tcBorders/>
            <w:shd w:fill="CCEEFF" w:val="clear"/>
            <w:vAlign w:val="center"/>
          </w:tcPr>
          <w:p>
            <w:pPr>
              <w:pStyle w:val="TableContents"/>
              <w:bidi w:val="0"/>
              <w:spacing w:before="0" w:after="0"/>
              <w:ind w:left="0" w:right="0" w:hanging="0"/>
              <w:jc w:val="left"/>
              <w:rPr/>
            </w:pPr>
            <w:r>
              <w:rPr/>
              <w:t>​</w:t>
            </w:r>
          </w:p>
        </w:tc>
        <w:tc>
          <w:tcPr>
            <w:tcW w:w="1000"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4,760</w:t>
            </w:r>
          </w:p>
        </w:tc>
        <w:tc>
          <w:tcPr>
            <w:tcW w:w="109" w:type="dxa"/>
            <w:tcBorders/>
            <w:shd w:fill="CCEEFF" w:val="clear"/>
            <w:vAlign w:val="center"/>
          </w:tcPr>
          <w:p>
            <w:pPr>
              <w:pStyle w:val="TableContents"/>
              <w:bidi w:val="0"/>
              <w:spacing w:before="0" w:after="0"/>
              <w:ind w:left="0" w:right="0" w:hanging="0"/>
              <w:jc w:val="right"/>
              <w:rPr/>
            </w:pPr>
            <w:r>
              <w:rPr/>
              <w:t>​</w:t>
            </w:r>
          </w:p>
        </w:tc>
        <w:tc>
          <w:tcPr>
            <w:tcW w:w="270"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10,566</w:t>
            </w:r>
          </w:p>
        </w:tc>
        <w:tc>
          <w:tcPr>
            <w:tcW w:w="109" w:type="dxa"/>
            <w:tcBorders/>
            <w:shd w:fill="CCEEFF" w:val="clear"/>
            <w:vAlign w:val="center"/>
          </w:tcPr>
          <w:p>
            <w:pPr>
              <w:pStyle w:val="TableContents"/>
              <w:bidi w:val="0"/>
              <w:spacing w:before="0" w:after="0"/>
              <w:ind w:left="0" w:right="0" w:hanging="0"/>
              <w:jc w:val="left"/>
              <w:rPr/>
            </w:pPr>
            <w:r>
              <w:rPr/>
              <w:t>​</w:t>
            </w:r>
          </w:p>
        </w:tc>
        <w:tc>
          <w:tcPr>
            <w:tcW w:w="1338"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222.0%</w:t>
            </w:r>
          </w:p>
        </w:tc>
      </w:tr>
      <w:tr>
        <w:trPr/>
        <w:tc>
          <w:tcPr>
            <w:tcW w:w="467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Investment and Other Income</w:t>
            </w:r>
          </w:p>
        </w:tc>
        <w:tc>
          <w:tcPr>
            <w:tcW w:w="109" w:type="dxa"/>
            <w:tcBorders/>
            <w:vAlign w:val="center"/>
          </w:tcPr>
          <w:p>
            <w:pPr>
              <w:pStyle w:val="TableContents"/>
              <w:bidi w:val="0"/>
              <w:spacing w:before="0" w:after="0"/>
              <w:ind w:left="0" w:right="0" w:hanging="0"/>
              <w:jc w:val="left"/>
              <w:rPr/>
            </w:pPr>
            <w:r>
              <w:rPr/>
              <w:t>​</w:t>
            </w:r>
          </w:p>
        </w:tc>
        <w:tc>
          <w:tcPr>
            <w:tcW w:w="287" w:type="dxa"/>
            <w:tcBorders/>
            <w:vAlign w:val="center"/>
          </w:tcPr>
          <w:p>
            <w:pPr>
              <w:pStyle w:val="TableContents"/>
              <w:bidi w:val="0"/>
              <w:spacing w:before="0" w:after="0"/>
              <w:ind w:left="0" w:right="0" w:hanging="0"/>
              <w:jc w:val="left"/>
              <w:rPr/>
            </w:pPr>
            <w:r>
              <w:rPr/>
              <w:t>​</w:t>
            </w:r>
          </w:p>
        </w:tc>
        <w:tc>
          <w:tcPr>
            <w:tcW w:w="1000"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455</w:t>
            </w:r>
          </w:p>
        </w:tc>
        <w:tc>
          <w:tcPr>
            <w:tcW w:w="109" w:type="dxa"/>
            <w:tcBorders/>
            <w:vAlign w:val="center"/>
          </w:tcPr>
          <w:p>
            <w:pPr>
              <w:pStyle w:val="TableContents"/>
              <w:bidi w:val="0"/>
              <w:spacing w:before="0" w:after="0"/>
              <w:ind w:left="0" w:right="0" w:hanging="0"/>
              <w:jc w:val="left"/>
              <w:rPr/>
            </w:pPr>
            <w:r>
              <w:rPr/>
              <w:t>​</w:t>
            </w:r>
          </w:p>
        </w:tc>
        <w:tc>
          <w:tcPr>
            <w:tcW w:w="287" w:type="dxa"/>
            <w:tcBorders/>
            <w:vAlign w:val="center"/>
          </w:tcPr>
          <w:p>
            <w:pPr>
              <w:pStyle w:val="TableContents"/>
              <w:bidi w:val="0"/>
              <w:spacing w:before="0" w:after="0"/>
              <w:ind w:left="0" w:right="0" w:hanging="0"/>
              <w:jc w:val="left"/>
              <w:rPr/>
            </w:pPr>
            <w:r>
              <w:rPr/>
              <w:t>​</w:t>
            </w:r>
          </w:p>
        </w:tc>
        <w:tc>
          <w:tcPr>
            <w:tcW w:w="1000"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92</w:t>
            </w:r>
          </w:p>
        </w:tc>
        <w:tc>
          <w:tcPr>
            <w:tcW w:w="109" w:type="dxa"/>
            <w:tcBorders/>
            <w:vAlign w:val="center"/>
          </w:tcPr>
          <w:p>
            <w:pPr>
              <w:pStyle w:val="TableContents"/>
              <w:bidi w:val="0"/>
              <w:spacing w:before="0" w:after="0"/>
              <w:ind w:left="0" w:right="0" w:hanging="0"/>
              <w:jc w:val="right"/>
              <w:rPr/>
            </w:pPr>
            <w:r>
              <w:rPr/>
              <w:t>​</w:t>
            </w:r>
          </w:p>
        </w:tc>
        <w:tc>
          <w:tcPr>
            <w:tcW w:w="270"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363</w:t>
            </w:r>
          </w:p>
        </w:tc>
        <w:tc>
          <w:tcPr>
            <w:tcW w:w="109" w:type="dxa"/>
            <w:tcBorders/>
            <w:vAlign w:val="center"/>
          </w:tcPr>
          <w:p>
            <w:pPr>
              <w:pStyle w:val="TableContents"/>
              <w:bidi w:val="0"/>
              <w:spacing w:before="0" w:after="0"/>
              <w:ind w:left="0" w:right="0" w:hanging="0"/>
              <w:jc w:val="left"/>
              <w:rPr/>
            </w:pPr>
            <w:r>
              <w:rPr/>
              <w:t>​</w:t>
            </w:r>
          </w:p>
        </w:tc>
        <w:tc>
          <w:tcPr>
            <w:tcW w:w="1338"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394.6%</w:t>
            </w:r>
          </w:p>
        </w:tc>
      </w:tr>
      <w:tr>
        <w:trPr/>
        <w:tc>
          <w:tcPr>
            <w:tcW w:w="4671" w:type="dxa"/>
            <w:tcBorders/>
            <w:shd w:fill="CCEEFF"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Interest Expense</w:t>
            </w:r>
          </w:p>
        </w:tc>
        <w:tc>
          <w:tcPr>
            <w:tcW w:w="109" w:type="dxa"/>
            <w:tcBorders/>
            <w:shd w:fill="CCEEFF" w:val="clear"/>
            <w:vAlign w:val="center"/>
          </w:tcPr>
          <w:p>
            <w:pPr>
              <w:pStyle w:val="TableContents"/>
              <w:bidi w:val="0"/>
              <w:spacing w:before="0" w:after="0"/>
              <w:ind w:left="0" w:right="0" w:hanging="0"/>
              <w:jc w:val="left"/>
              <w:rPr/>
            </w:pPr>
            <w:r>
              <w:rPr/>
              <w:t>​</w:t>
            </w:r>
          </w:p>
        </w:tc>
        <w:tc>
          <w:tcPr>
            <w:tcW w:w="28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0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(8,932)</w:t>
            </w:r>
          </w:p>
        </w:tc>
        <w:tc>
          <w:tcPr>
            <w:tcW w:w="109" w:type="dxa"/>
            <w:tcBorders/>
            <w:shd w:fill="CCEEFF" w:val="clear"/>
            <w:vAlign w:val="center"/>
          </w:tcPr>
          <w:p>
            <w:pPr>
              <w:pStyle w:val="TableContents"/>
              <w:bidi w:val="0"/>
              <w:spacing w:before="0" w:after="0"/>
              <w:ind w:left="0" w:right="0" w:hanging="0"/>
              <w:jc w:val="left"/>
              <w:rPr/>
            </w:pPr>
            <w:r>
              <w:rPr/>
              <w:t>​</w:t>
            </w:r>
          </w:p>
        </w:tc>
        <w:tc>
          <w:tcPr>
            <w:tcW w:w="28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0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(7,912)</w:t>
            </w:r>
          </w:p>
        </w:tc>
        <w:tc>
          <w:tcPr>
            <w:tcW w:w="109" w:type="dxa"/>
            <w:tcBorders/>
            <w:shd w:fill="CCEEFF" w:val="clear"/>
            <w:vAlign w:val="center"/>
          </w:tcPr>
          <w:p>
            <w:pPr>
              <w:pStyle w:val="TableContents"/>
              <w:bidi w:val="0"/>
              <w:spacing w:before="0" w:after="0"/>
              <w:ind w:left="0" w:right="0" w:hanging="0"/>
              <w:jc w:val="right"/>
              <w:rPr/>
            </w:pPr>
            <w:r>
              <w:rPr/>
              <w:t>​</w:t>
            </w:r>
          </w:p>
        </w:tc>
        <w:tc>
          <w:tcPr>
            <w:tcW w:w="2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(1,020)</w:t>
            </w:r>
          </w:p>
        </w:tc>
        <w:tc>
          <w:tcPr>
            <w:tcW w:w="109" w:type="dxa"/>
            <w:tcBorders/>
            <w:shd w:fill="CCEEFF" w:val="clear"/>
            <w:vAlign w:val="center"/>
          </w:tcPr>
          <w:p>
            <w:pPr>
              <w:pStyle w:val="TableContents"/>
              <w:bidi w:val="0"/>
              <w:spacing w:before="0" w:after="0"/>
              <w:ind w:left="0" w:right="0" w:hanging="0"/>
              <w:jc w:val="left"/>
              <w:rPr/>
            </w:pPr>
            <w:r>
              <w:rPr/>
              <w:t>​</w:t>
            </w:r>
          </w:p>
        </w:tc>
        <w:tc>
          <w:tcPr>
            <w:tcW w:w="133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(12.9)%</w:t>
            </w:r>
          </w:p>
        </w:tc>
      </w:tr>
      <w:tr>
        <w:trPr/>
        <w:tc>
          <w:tcPr>
            <w:tcW w:w="467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Net Income (Loss)</w:t>
            </w:r>
          </w:p>
        </w:tc>
        <w:tc>
          <w:tcPr>
            <w:tcW w:w="109" w:type="dxa"/>
            <w:tcBorders/>
            <w:vAlign w:val="center"/>
          </w:tcPr>
          <w:p>
            <w:pPr>
              <w:pStyle w:val="TableContents"/>
              <w:bidi w:val="0"/>
              <w:spacing w:before="0" w:after="0"/>
              <w:ind w:left="0" w:right="0" w:hanging="0"/>
              <w:jc w:val="left"/>
              <w:rPr/>
            </w:pPr>
            <w:r>
              <w:rPr/>
              <w:t>​</w:t>
            </w:r>
          </w:p>
        </w:tc>
        <w:tc>
          <w:tcPr>
            <w:tcW w:w="287" w:type="dxa"/>
            <w:tcBorders/>
            <w:vAlign w:val="center"/>
          </w:tcPr>
          <w:p>
            <w:pPr>
              <w:pStyle w:val="TableContents"/>
              <w:bidi w:val="0"/>
              <w:spacing w:before="0" w:after="0"/>
              <w:ind w:left="0" w:right="0" w:hanging="0"/>
              <w:jc w:val="left"/>
              <w:rPr/>
            </w:pPr>
            <w:r>
              <w:rPr/>
              <w:t>​</w:t>
            </w:r>
          </w:p>
        </w:tc>
        <w:tc>
          <w:tcPr>
            <w:tcW w:w="1000"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6,849</w:t>
            </w:r>
          </w:p>
        </w:tc>
        <w:tc>
          <w:tcPr>
            <w:tcW w:w="109" w:type="dxa"/>
            <w:tcBorders/>
            <w:vAlign w:val="center"/>
          </w:tcPr>
          <w:p>
            <w:pPr>
              <w:pStyle w:val="TableContents"/>
              <w:bidi w:val="0"/>
              <w:spacing w:before="0" w:after="0"/>
              <w:ind w:left="0" w:right="0" w:hanging="0"/>
              <w:jc w:val="left"/>
              <w:rPr/>
            </w:pPr>
            <w:r>
              <w:rPr/>
              <w:t>​</w:t>
            </w:r>
          </w:p>
        </w:tc>
        <w:tc>
          <w:tcPr>
            <w:tcW w:w="287" w:type="dxa"/>
            <w:tcBorders/>
            <w:vAlign w:val="center"/>
          </w:tcPr>
          <w:p>
            <w:pPr>
              <w:pStyle w:val="TableContents"/>
              <w:bidi w:val="0"/>
              <w:spacing w:before="0" w:after="0"/>
              <w:ind w:left="0" w:right="0" w:hanging="0"/>
              <w:jc w:val="left"/>
              <w:rPr/>
            </w:pPr>
            <w:r>
              <w:rPr/>
              <w:t>​</w:t>
            </w:r>
          </w:p>
        </w:tc>
        <w:tc>
          <w:tcPr>
            <w:tcW w:w="1000"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(3,060)</w:t>
            </w:r>
          </w:p>
        </w:tc>
        <w:tc>
          <w:tcPr>
            <w:tcW w:w="109" w:type="dxa"/>
            <w:tcBorders/>
            <w:vAlign w:val="center"/>
          </w:tcPr>
          <w:p>
            <w:pPr>
              <w:pStyle w:val="TableContents"/>
              <w:bidi w:val="0"/>
              <w:spacing w:before="0" w:after="0"/>
              <w:ind w:left="0" w:right="0" w:hanging="0"/>
              <w:jc w:val="right"/>
              <w:rPr/>
            </w:pPr>
            <w:r>
              <w:rPr/>
              <w:t>​</w:t>
            </w:r>
          </w:p>
        </w:tc>
        <w:tc>
          <w:tcPr>
            <w:tcW w:w="270"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9,909</w:t>
            </w:r>
          </w:p>
        </w:tc>
        <w:tc>
          <w:tcPr>
            <w:tcW w:w="109" w:type="dxa"/>
            <w:tcBorders/>
            <w:vAlign w:val="center"/>
          </w:tcPr>
          <w:p>
            <w:pPr>
              <w:pStyle w:val="TableContents"/>
              <w:bidi w:val="0"/>
              <w:spacing w:before="0" w:after="0"/>
              <w:ind w:left="0" w:right="0" w:hanging="0"/>
              <w:jc w:val="left"/>
              <w:rPr/>
            </w:pPr>
            <w:r>
              <w:rPr/>
              <w:t>​</w:t>
            </w:r>
          </w:p>
        </w:tc>
        <w:tc>
          <w:tcPr>
            <w:tcW w:w="1338"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323.8%</w:t>
            </w:r>
          </w:p>
        </w:tc>
      </w:tr>
      <w:tr>
        <w:trPr/>
        <w:tc>
          <w:tcPr>
            <w:tcW w:w="4671" w:type="dxa"/>
            <w:tcBorders/>
            <w:shd w:fill="CCEEFF"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Less: Net Loss (Income) Attributable to Noncontrolling Interest</w:t>
            </w:r>
          </w:p>
        </w:tc>
        <w:tc>
          <w:tcPr>
            <w:tcW w:w="109" w:type="dxa"/>
            <w:tcBorders/>
            <w:shd w:fill="CCEEFF" w:val="clear"/>
            <w:vAlign w:val="center"/>
          </w:tcPr>
          <w:p>
            <w:pPr>
              <w:pStyle w:val="TableContents"/>
              <w:bidi w:val="0"/>
              <w:spacing w:before="0" w:after="0"/>
              <w:ind w:left="0" w:right="0" w:hanging="0"/>
              <w:jc w:val="left"/>
              <w:rPr/>
            </w:pPr>
            <w:r>
              <w:rPr/>
              <w:t>​</w:t>
            </w:r>
          </w:p>
        </w:tc>
        <w:tc>
          <w:tcPr>
            <w:tcW w:w="28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0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(473)</w:t>
            </w:r>
          </w:p>
        </w:tc>
        <w:tc>
          <w:tcPr>
            <w:tcW w:w="109" w:type="dxa"/>
            <w:tcBorders/>
            <w:shd w:fill="CCEEFF" w:val="clear"/>
            <w:vAlign w:val="center"/>
          </w:tcPr>
          <w:p>
            <w:pPr>
              <w:pStyle w:val="TableContents"/>
              <w:bidi w:val="0"/>
              <w:spacing w:before="0" w:after="0"/>
              <w:ind w:left="0" w:right="0" w:hanging="0"/>
              <w:jc w:val="left"/>
              <w:rPr/>
            </w:pPr>
            <w:r>
              <w:rPr/>
              <w:t>​</w:t>
            </w:r>
          </w:p>
        </w:tc>
        <w:tc>
          <w:tcPr>
            <w:tcW w:w="28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0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240</w:t>
            </w:r>
          </w:p>
        </w:tc>
        <w:tc>
          <w:tcPr>
            <w:tcW w:w="109" w:type="dxa"/>
            <w:tcBorders/>
            <w:shd w:fill="CCEEFF" w:val="clear"/>
            <w:vAlign w:val="center"/>
          </w:tcPr>
          <w:p>
            <w:pPr>
              <w:pStyle w:val="TableContents"/>
              <w:bidi w:val="0"/>
              <w:spacing w:before="0" w:after="0"/>
              <w:ind w:left="0" w:right="0" w:hanging="0"/>
              <w:jc w:val="right"/>
              <w:rPr/>
            </w:pPr>
            <w:r>
              <w:rPr/>
              <w:t>​</w:t>
            </w:r>
          </w:p>
        </w:tc>
        <w:tc>
          <w:tcPr>
            <w:tcW w:w="2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(713)</w:t>
            </w:r>
          </w:p>
        </w:tc>
        <w:tc>
          <w:tcPr>
            <w:tcW w:w="109" w:type="dxa"/>
            <w:tcBorders/>
            <w:shd w:fill="CCEEFF" w:val="clear"/>
            <w:vAlign w:val="center"/>
          </w:tcPr>
          <w:p>
            <w:pPr>
              <w:pStyle w:val="TableContents"/>
              <w:bidi w:val="0"/>
              <w:spacing w:before="0" w:after="0"/>
              <w:ind w:left="0" w:right="0" w:hanging="0"/>
              <w:jc w:val="left"/>
              <w:rPr/>
            </w:pPr>
            <w:r>
              <w:rPr/>
              <w:t>​</w:t>
            </w:r>
          </w:p>
        </w:tc>
        <w:tc>
          <w:tcPr>
            <w:tcW w:w="133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(297.1)%</w:t>
            </w:r>
          </w:p>
        </w:tc>
      </w:tr>
      <w:tr>
        <w:trPr/>
        <w:tc>
          <w:tcPr>
            <w:tcW w:w="467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Net Income (Loss) Attributable to Alpine Income Property Trust, Inc.</w:t>
            </w:r>
          </w:p>
        </w:tc>
        <w:tc>
          <w:tcPr>
            <w:tcW w:w="109" w:type="dxa"/>
            <w:tcBorders/>
            <w:vAlign w:val="center"/>
          </w:tcPr>
          <w:p>
            <w:pPr>
              <w:pStyle w:val="TableContents"/>
              <w:bidi w:val="0"/>
              <w:spacing w:before="0" w:after="0"/>
              <w:ind w:left="0" w:right="0" w:hanging="0"/>
              <w:jc w:val="left"/>
              <w:rPr/>
            </w:pPr>
            <w:r>
              <w:rPr/>
              <w:t>​</w:t>
            </w:r>
          </w:p>
        </w:tc>
        <w:tc>
          <w:tcPr>
            <w:tcW w:w="28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w:t>
            </w:r>
          </w:p>
        </w:tc>
        <w:tc>
          <w:tcPr>
            <w:tcW w:w="100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6,376</w:t>
            </w:r>
          </w:p>
        </w:tc>
        <w:tc>
          <w:tcPr>
            <w:tcW w:w="109" w:type="dxa"/>
            <w:tcBorders/>
            <w:vAlign w:val="center"/>
          </w:tcPr>
          <w:p>
            <w:pPr>
              <w:pStyle w:val="TableContents"/>
              <w:bidi w:val="0"/>
              <w:spacing w:before="0" w:after="0"/>
              <w:ind w:left="0" w:right="0" w:hanging="0"/>
              <w:jc w:val="left"/>
              <w:rPr/>
            </w:pPr>
            <w:r>
              <w:rPr/>
              <w:t>​</w:t>
            </w:r>
          </w:p>
        </w:tc>
        <w:tc>
          <w:tcPr>
            <w:tcW w:w="28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w:t>
            </w:r>
          </w:p>
        </w:tc>
        <w:tc>
          <w:tcPr>
            <w:tcW w:w="100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(2,820)</w:t>
            </w:r>
          </w:p>
        </w:tc>
        <w:tc>
          <w:tcPr>
            <w:tcW w:w="109" w:type="dxa"/>
            <w:tcBorders/>
            <w:vAlign w:val="center"/>
          </w:tcPr>
          <w:p>
            <w:pPr>
              <w:pStyle w:val="TableContents"/>
              <w:bidi w:val="0"/>
              <w:spacing w:before="0" w:after="0"/>
              <w:ind w:left="0" w:right="0" w:hanging="0"/>
              <w:jc w:val="right"/>
              <w:rPr/>
            </w:pPr>
            <w:r>
              <w:rPr/>
              <w:t>​</w:t>
            </w:r>
          </w:p>
        </w:tc>
        <w:tc>
          <w:tcPr>
            <w:tcW w:w="27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w:t>
            </w:r>
          </w:p>
        </w:tc>
        <w:tc>
          <w:tcPr>
            <w:tcW w:w="91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9,196</w:t>
            </w:r>
          </w:p>
        </w:tc>
        <w:tc>
          <w:tcPr>
            <w:tcW w:w="109" w:type="dxa"/>
            <w:tcBorders/>
            <w:vAlign w:val="center"/>
          </w:tcPr>
          <w:p>
            <w:pPr>
              <w:pStyle w:val="TableContents"/>
              <w:bidi w:val="0"/>
              <w:spacing w:before="0" w:after="0"/>
              <w:ind w:left="0" w:right="0" w:hanging="0"/>
              <w:jc w:val="left"/>
              <w:rPr/>
            </w:pPr>
            <w:r>
              <w:rPr/>
              <w:t>​</w:t>
            </w:r>
          </w:p>
        </w:tc>
        <w:tc>
          <w:tcPr>
            <w:tcW w:w="1338" w:type="dxa"/>
            <w:tcBorders>
              <w:bottom w:val="double" w:sz="6" w:space="0" w:color="000000"/>
            </w:tcBorders>
            <w:tcMar>
              <w:bottom w:w="28" w:type="dxa"/>
            </w:tcMar>
            <w:vAlign w:val="center"/>
          </w:tcPr>
          <w:p>
            <w:pPr>
              <w:pStyle w:val="TableContents"/>
              <w:bidi w:val="0"/>
              <w:spacing w:before="0" w:after="0"/>
              <w:ind w:left="0" w:right="72" w:hanging="0"/>
              <w:jc w:val="right"/>
              <w:rPr>
                <w:rFonts w:ascii="Times New Roman;Times;serif" w:hAnsi="Times New Roman;Times;serif"/>
                <w:sz w:val="22"/>
              </w:rPr>
            </w:pPr>
            <w:r>
              <w:rPr>
                <w:rFonts w:ascii="Times New Roman;Times;serif" w:hAnsi="Times New Roman;Times;serif"/>
                <w:sz w:val="22"/>
              </w:rPr>
              <w:t>326.1%</w:t>
            </w:r>
          </w:p>
        </w:tc>
      </w:tr>
    </w:tbl>
    <w:p>
      <w:pPr>
        <w:pStyle w:val="TextBody"/>
        <w:bidi w:val="0"/>
        <w:spacing w:before="0" w:after="0"/>
        <w:ind w:left="0" w:right="0" w:firstLine="36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Lease Income and Real Estate Expenses</w:t>
      </w:r>
    </w:p>
    <w:p>
      <w:pPr>
        <w:pStyle w:val="TextBody"/>
        <w:bidi w:val="0"/>
        <w:spacing w:before="0" w:after="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Revenue from our property operations totaled $25.2 million and $23.8 million during the six months ended June 30, 2026 and 2025, respectively. The $1.4 million increase in lease income is primarily attributable to an increase in rents due to the volume of property acquisitions versus dispositions. The direct costs of revenues for our income properties totaled $4.4 million and $4.1 million during the six months ended June 30, 2026 and 2025, respectively. The $0.3 million increase in the direct cost of revenues is reflective of increased expenses.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Commercial Loans and Investments</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Interest income from commercial loans and investments totaled $13.1 million and $5.0 million for the six months ended June 30, 2026 and 2025, respectively. The $8.1 million increase in income is attributable to the expanded portfolio of commercial loans and investments which, as of June 30, 2026, was comprised of nine construction/ redevelopment loans, four mortgage notes, four properties acquired pursuant to sale-leaseback transactions whereby the tenants have future repurchase rights, and one sales-type lease. As of June 30, 2025, the Company’s portfolio of commercial loans and investments was comprised of six construction loans, five mortgage notes, and three properties acquired pursuant to sale-leaseback transactions whereby the tenants have future repurchase rights. </w:t>
      </w:r>
    </w:p>
    <w:p>
      <w:pPr>
        <w:pStyle w:val="TextBody"/>
        <w:bidi w:val="0"/>
        <w:spacing w:before="0" w:after="0"/>
        <w:ind w:left="0" w:right="0" w:firstLine="36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Other Revenue</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Other revenue totaled $0.1 million and $0.2 million for the six months ended June 30, 2026 and 2025, respectively. The revenue is attributable to fees earned from a revenue sharing agreement the Company entered into with CTO as further described in Note 19, “Related Party Management Company” in the Notes to the Financial Statements. The $0.1 million decrease is attributable to the sale of properties resulting in less assets under management during the six months ended June 30, 2026.</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General and Administrative Expenses</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following table represents the Company’s general and administrative expenses for the six months ended June 30, 2026, as compared to the six months ended June 30, 2025 (in thousands):</w:t>
      </w:r>
    </w:p>
    <w:p>
      <w:pPr>
        <w:pStyle w:val="TextBody"/>
        <w:bidi w:val="0"/>
        <w:spacing w:before="0" w:after="0"/>
        <w:ind w:left="0" w:right="0" w:hanging="0"/>
        <w:jc w:val="both"/>
        <w:rPr/>
      </w:pPr>
      <w:r>
        <w:rPr/>
        <w:t>​</w:t>
      </w:r>
    </w:p>
    <w:tbl>
      <w:tblPr>
        <w:tblW w:w="9214" w:type="dxa"/>
        <w:jc w:val="left"/>
        <w:tblInd w:w="0" w:type="dxa"/>
        <w:tblLayout w:type="fixed"/>
        <w:tblCellMar>
          <w:top w:w="0" w:type="dxa"/>
          <w:left w:w="0" w:type="dxa"/>
          <w:bottom w:w="0" w:type="dxa"/>
          <w:right w:w="0" w:type="dxa"/>
        </w:tblCellMar>
      </w:tblPr>
      <w:tblGrid>
        <w:gridCol w:w="4021"/>
        <w:gridCol w:w="109"/>
        <w:gridCol w:w="342"/>
        <w:gridCol w:w="933"/>
        <w:gridCol w:w="109"/>
        <w:gridCol w:w="342"/>
        <w:gridCol w:w="933"/>
        <w:gridCol w:w="109"/>
        <w:gridCol w:w="345"/>
        <w:gridCol w:w="691"/>
        <w:gridCol w:w="109"/>
        <w:gridCol w:w="1171"/>
      </w:tblGrid>
      <w:tr>
        <w:trPr/>
        <w:tc>
          <w:tcPr>
            <w:tcW w:w="40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3">
                      <wp:simplePos x="0" y="0"/>
                      <wp:positionH relativeFrom="character">
                        <wp:align>left</wp:align>
                      </wp:positionH>
                      <wp:positionV relativeFrom="line">
                        <wp:posOffset>635</wp:posOffset>
                      </wp:positionV>
                      <wp:extent cx="69215" cy="175260"/>
                      <wp:effectExtent l="0" t="0" r="0" b="0"/>
                      <wp:wrapNone/>
                      <wp:docPr id="432" name="Frame43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4">
                      <wp:simplePos x="0" y="0"/>
                      <wp:positionH relativeFrom="character">
                        <wp:align>left</wp:align>
                      </wp:positionH>
                      <wp:positionV relativeFrom="line">
                        <wp:posOffset>635</wp:posOffset>
                      </wp:positionV>
                      <wp:extent cx="217170" cy="175260"/>
                      <wp:effectExtent l="0" t="0" r="0" b="0"/>
                      <wp:wrapNone/>
                      <wp:docPr id="433" name="Frame433"/>
                      <a:graphic xmlns:a="http://schemas.openxmlformats.org/drawingml/2006/main">
                        <a:graphicData uri="http://schemas.microsoft.com/office/word/2010/wordprocessingShape">
                          <wps:wsp>
                            <wps:cNvSpPr txBox="1"/>
                            <wps:spPr>
                              <a:xfrm>
                                <a:off x="0" y="0"/>
                                <a:ext cx="2171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5">
                      <wp:simplePos x="0" y="0"/>
                      <wp:positionH relativeFrom="character">
                        <wp:align>left</wp:align>
                      </wp:positionH>
                      <wp:positionV relativeFrom="line">
                        <wp:posOffset>635</wp:posOffset>
                      </wp:positionV>
                      <wp:extent cx="592455" cy="175260"/>
                      <wp:effectExtent l="0" t="0" r="0" b="0"/>
                      <wp:wrapNone/>
                      <wp:docPr id="434" name="Frame434"/>
                      <a:graphic xmlns:a="http://schemas.openxmlformats.org/drawingml/2006/main">
                        <a:graphicData uri="http://schemas.microsoft.com/office/word/2010/wordprocessingShape">
                          <wps:wsp>
                            <wps:cNvSpPr txBox="1"/>
                            <wps:spPr>
                              <a:xfrm>
                                <a:off x="0" y="0"/>
                                <a:ext cx="5924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6">
                      <wp:simplePos x="0" y="0"/>
                      <wp:positionH relativeFrom="character">
                        <wp:align>left</wp:align>
                      </wp:positionH>
                      <wp:positionV relativeFrom="line">
                        <wp:posOffset>635</wp:posOffset>
                      </wp:positionV>
                      <wp:extent cx="69215" cy="175260"/>
                      <wp:effectExtent l="0" t="0" r="0" b="0"/>
                      <wp:wrapNone/>
                      <wp:docPr id="435" name="Frame43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7">
                      <wp:simplePos x="0" y="0"/>
                      <wp:positionH relativeFrom="character">
                        <wp:align>left</wp:align>
                      </wp:positionH>
                      <wp:positionV relativeFrom="line">
                        <wp:posOffset>635</wp:posOffset>
                      </wp:positionV>
                      <wp:extent cx="217170" cy="175260"/>
                      <wp:effectExtent l="0" t="0" r="0" b="0"/>
                      <wp:wrapNone/>
                      <wp:docPr id="436" name="Frame436"/>
                      <a:graphic xmlns:a="http://schemas.openxmlformats.org/drawingml/2006/main">
                        <a:graphicData uri="http://schemas.microsoft.com/office/word/2010/wordprocessingShape">
                          <wps:wsp>
                            <wps:cNvSpPr txBox="1"/>
                            <wps:spPr>
                              <a:xfrm>
                                <a:off x="0" y="0"/>
                                <a:ext cx="2171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8">
                      <wp:simplePos x="0" y="0"/>
                      <wp:positionH relativeFrom="character">
                        <wp:align>left</wp:align>
                      </wp:positionH>
                      <wp:positionV relativeFrom="line">
                        <wp:posOffset>635</wp:posOffset>
                      </wp:positionV>
                      <wp:extent cx="592455" cy="175260"/>
                      <wp:effectExtent l="0" t="0" r="0" b="0"/>
                      <wp:wrapNone/>
                      <wp:docPr id="437" name="Frame437"/>
                      <a:graphic xmlns:a="http://schemas.openxmlformats.org/drawingml/2006/main">
                        <a:graphicData uri="http://schemas.microsoft.com/office/word/2010/wordprocessingShape">
                          <wps:wsp>
                            <wps:cNvSpPr txBox="1"/>
                            <wps:spPr>
                              <a:xfrm>
                                <a:off x="0" y="0"/>
                                <a:ext cx="5924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9">
                      <wp:simplePos x="0" y="0"/>
                      <wp:positionH relativeFrom="character">
                        <wp:align>left</wp:align>
                      </wp:positionH>
                      <wp:positionV relativeFrom="line">
                        <wp:posOffset>635</wp:posOffset>
                      </wp:positionV>
                      <wp:extent cx="69215" cy="175260"/>
                      <wp:effectExtent l="0" t="0" r="0" b="0"/>
                      <wp:wrapNone/>
                      <wp:docPr id="438" name="Frame43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0">
                      <wp:simplePos x="0" y="0"/>
                      <wp:positionH relativeFrom="character">
                        <wp:align>left</wp:align>
                      </wp:positionH>
                      <wp:positionV relativeFrom="line">
                        <wp:posOffset>635</wp:posOffset>
                      </wp:positionV>
                      <wp:extent cx="219075" cy="175260"/>
                      <wp:effectExtent l="0" t="0" r="0" b="0"/>
                      <wp:wrapNone/>
                      <wp:docPr id="439" name="Frame439"/>
                      <a:graphic xmlns:a="http://schemas.openxmlformats.org/drawingml/2006/main">
                        <a:graphicData uri="http://schemas.microsoft.com/office/word/2010/wordprocessingShape">
                          <wps:wsp>
                            <wps:cNvSpPr txBox="1"/>
                            <wps:spPr>
                              <a:xfrm>
                                <a:off x="0" y="0"/>
                                <a:ext cx="2190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1">
                      <wp:simplePos x="0" y="0"/>
                      <wp:positionH relativeFrom="character">
                        <wp:align>left</wp:align>
                      </wp:positionH>
                      <wp:positionV relativeFrom="line">
                        <wp:posOffset>635</wp:posOffset>
                      </wp:positionV>
                      <wp:extent cx="438785" cy="175260"/>
                      <wp:effectExtent l="0" t="0" r="0" b="0"/>
                      <wp:wrapNone/>
                      <wp:docPr id="440" name="Frame440"/>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2">
                      <wp:simplePos x="0" y="0"/>
                      <wp:positionH relativeFrom="character">
                        <wp:align>left</wp:align>
                      </wp:positionH>
                      <wp:positionV relativeFrom="line">
                        <wp:posOffset>635</wp:posOffset>
                      </wp:positionV>
                      <wp:extent cx="69215" cy="175260"/>
                      <wp:effectExtent l="0" t="0" r="0" b="0"/>
                      <wp:wrapNone/>
                      <wp:docPr id="441" name="Frame44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3">
                      <wp:simplePos x="0" y="0"/>
                      <wp:positionH relativeFrom="character">
                        <wp:align>left</wp:align>
                      </wp:positionH>
                      <wp:positionV relativeFrom="line">
                        <wp:posOffset>635</wp:posOffset>
                      </wp:positionV>
                      <wp:extent cx="743585" cy="175260"/>
                      <wp:effectExtent l="0" t="0" r="0" b="0"/>
                      <wp:wrapNone/>
                      <wp:docPr id="442" name="Frame442"/>
                      <a:graphic xmlns:a="http://schemas.openxmlformats.org/drawingml/2006/main">
                        <a:graphicData uri="http://schemas.microsoft.com/office/word/2010/wordprocessingShape">
                          <wps:wsp>
                            <wps:cNvSpPr txBox="1"/>
                            <wps:spPr>
                              <a:xfrm>
                                <a:off x="0" y="0"/>
                                <a:ext cx="743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0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65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Six Months Ended</w:t>
            </w:r>
          </w:p>
        </w:tc>
        <w:tc>
          <w:tcPr>
            <w:tcW w:w="109" w:type="dxa"/>
            <w:tcBorders/>
            <w:vAlign w:val="center"/>
          </w:tcPr>
          <w:p>
            <w:pPr>
              <w:pStyle w:val="TableContents"/>
              <w:bidi w:val="0"/>
              <w:spacing w:before="0" w:after="0"/>
              <w:ind w:left="0" w:right="0" w:hanging="0"/>
              <w:jc w:val="left"/>
              <w:rPr/>
            </w:pPr>
            <w:r>
              <w:rPr/>
              <w:t>​</w:t>
            </w:r>
          </w:p>
        </w:tc>
        <w:tc>
          <w:tcPr>
            <w:tcW w:w="345"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0"/>
              <w:ind w:left="0" w:right="0" w:hanging="0"/>
              <w:jc w:val="left"/>
              <w:rPr/>
            </w:pPr>
            <w:r>
              <w:rPr/>
              <w:t>​</w:t>
            </w:r>
          </w:p>
        </w:tc>
      </w:tr>
      <w:tr>
        <w:trPr/>
        <w:tc>
          <w:tcPr>
            <w:tcW w:w="40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2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2026</w:t>
            </w:r>
          </w:p>
        </w:tc>
        <w:tc>
          <w:tcPr>
            <w:tcW w:w="109" w:type="dxa"/>
            <w:tcBorders/>
            <w:vAlign w:val="center"/>
          </w:tcPr>
          <w:p>
            <w:pPr>
              <w:pStyle w:val="TableContents"/>
              <w:bidi w:val="0"/>
              <w:spacing w:before="0" w:after="0"/>
              <w:ind w:left="0" w:right="0" w:hanging="0"/>
              <w:jc w:val="left"/>
              <w:rPr/>
            </w:pPr>
            <w:r>
              <w:rPr/>
              <w:t>​</w:t>
            </w:r>
          </w:p>
        </w:tc>
        <w:tc>
          <w:tcPr>
            <w:tcW w:w="12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2025</w:t>
            </w:r>
          </w:p>
        </w:tc>
        <w:tc>
          <w:tcPr>
            <w:tcW w:w="109" w:type="dxa"/>
            <w:tcBorders/>
            <w:vAlign w:val="center"/>
          </w:tcPr>
          <w:p>
            <w:pPr>
              <w:pStyle w:val="TableContents"/>
              <w:bidi w:val="0"/>
              <w:spacing w:before="0" w:after="0"/>
              <w:ind w:left="0" w:right="0" w:hanging="0"/>
              <w:jc w:val="center"/>
              <w:rPr/>
            </w:pPr>
            <w:r>
              <w:rPr/>
              <w:t>​</w:t>
            </w:r>
          </w:p>
        </w:tc>
        <w:tc>
          <w:tcPr>
            <w:tcW w:w="103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Variance</w:t>
            </w:r>
          </w:p>
        </w:tc>
        <w:tc>
          <w:tcPr>
            <w:tcW w:w="109" w:type="dxa"/>
            <w:tcBorders/>
            <w:vAlign w:val="center"/>
          </w:tcPr>
          <w:p>
            <w:pPr>
              <w:pStyle w:val="TableContents"/>
              <w:bidi w:val="0"/>
              <w:spacing w:before="0" w:after="0"/>
              <w:ind w:left="0" w:right="0" w:hanging="0"/>
              <w:jc w:val="center"/>
              <w:rPr/>
            </w:pPr>
            <w:r>
              <w:rPr/>
              <w:t>​</w:t>
            </w:r>
          </w:p>
        </w:tc>
        <w:tc>
          <w:tcPr>
            <w:tcW w:w="11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Variance</w:t>
            </w:r>
          </w:p>
        </w:tc>
      </w:tr>
      <w:tr>
        <w:trPr/>
        <w:tc>
          <w:tcPr>
            <w:tcW w:w="40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Management Fee to Manager</w:t>
            </w:r>
          </w:p>
        </w:tc>
        <w:tc>
          <w:tcPr>
            <w:tcW w:w="109" w:type="dxa"/>
            <w:tcBorders/>
            <w:shd w:fill="CCEEFF" w:val="clear"/>
            <w:vAlign w:val="center"/>
          </w:tcPr>
          <w:p>
            <w:pPr>
              <w:pStyle w:val="TableContents"/>
              <w:bidi w:val="0"/>
              <w:spacing w:before="0" w:after="0"/>
              <w:ind w:left="0" w:right="0" w:hanging="0"/>
              <w:jc w:val="left"/>
              <w:rPr/>
            </w:pPr>
            <w:r>
              <w:rPr/>
              <w:t>​</w:t>
            </w:r>
          </w:p>
        </w:tc>
        <w:tc>
          <w:tcPr>
            <w:tcW w:w="3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2,661</w:t>
            </w:r>
          </w:p>
        </w:tc>
        <w:tc>
          <w:tcPr>
            <w:tcW w:w="109" w:type="dxa"/>
            <w:tcBorders/>
            <w:shd w:fill="CCEEFF" w:val="clear"/>
            <w:vAlign w:val="center"/>
          </w:tcPr>
          <w:p>
            <w:pPr>
              <w:pStyle w:val="TableContents"/>
              <w:bidi w:val="0"/>
              <w:spacing w:before="0" w:after="0"/>
              <w:ind w:left="0" w:right="0" w:hanging="0"/>
              <w:jc w:val="left"/>
              <w:rPr/>
            </w:pPr>
            <w:r>
              <w:rPr/>
              <w:t>​</w:t>
            </w:r>
          </w:p>
        </w:tc>
        <w:tc>
          <w:tcPr>
            <w:tcW w:w="3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2,196</w:t>
            </w:r>
          </w:p>
        </w:tc>
        <w:tc>
          <w:tcPr>
            <w:tcW w:w="109" w:type="dxa"/>
            <w:tcBorders/>
            <w:shd w:fill="CCEEFF" w:val="clear"/>
            <w:vAlign w:val="center"/>
          </w:tcPr>
          <w:p>
            <w:pPr>
              <w:pStyle w:val="TableContents"/>
              <w:bidi w:val="0"/>
              <w:spacing w:before="0" w:after="0"/>
              <w:ind w:left="0" w:right="0" w:hanging="0"/>
              <w:jc w:val="center"/>
              <w:rPr/>
            </w:pPr>
            <w:r>
              <w:rPr/>
              <w:t>​</w:t>
            </w:r>
          </w:p>
        </w:tc>
        <w:tc>
          <w:tcPr>
            <w:tcW w:w="3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465</w:t>
            </w:r>
          </w:p>
        </w:tc>
        <w:tc>
          <w:tcPr>
            <w:tcW w:w="109" w:type="dxa"/>
            <w:tcBorders/>
            <w:shd w:fill="CCEEFF" w:val="clear"/>
            <w:vAlign w:val="center"/>
          </w:tcPr>
          <w:p>
            <w:pPr>
              <w:pStyle w:val="TableContents"/>
              <w:bidi w:val="0"/>
              <w:spacing w:before="0" w:after="0"/>
              <w:ind w:left="0" w:right="0" w:hanging="0"/>
              <w:jc w:val="left"/>
              <w:rPr/>
            </w:pPr>
            <w:r>
              <w:rPr/>
              <w:t>​</w:t>
            </w:r>
          </w:p>
        </w:tc>
        <w:tc>
          <w:tcPr>
            <w:tcW w:w="11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21.2%</w:t>
            </w:r>
          </w:p>
        </w:tc>
      </w:tr>
      <w:tr>
        <w:trPr/>
        <w:tc>
          <w:tcPr>
            <w:tcW w:w="4021"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Director Compensation Expense </w:t>
            </w:r>
          </w:p>
        </w:tc>
        <w:tc>
          <w:tcPr>
            <w:tcW w:w="109" w:type="dxa"/>
            <w:tcBorders/>
            <w:vAlign w:val="center"/>
          </w:tcPr>
          <w:p>
            <w:pPr>
              <w:pStyle w:val="TableContents"/>
              <w:bidi w:val="0"/>
              <w:spacing w:before="0" w:after="0"/>
              <w:ind w:left="0" w:right="0" w:hanging="0"/>
              <w:jc w:val="left"/>
              <w:rPr/>
            </w:pPr>
            <w:r>
              <w:rPr/>
              <w:t>​</w:t>
            </w:r>
          </w:p>
        </w:tc>
        <w:tc>
          <w:tcPr>
            <w:tcW w:w="342" w:type="dxa"/>
            <w:tcBorders/>
            <w:vAlign w:val="center"/>
          </w:tcPr>
          <w:p>
            <w:pPr>
              <w:pStyle w:val="TableContents"/>
              <w:bidi w:val="0"/>
              <w:spacing w:before="0" w:after="0"/>
              <w:ind w:left="0" w:right="0" w:hanging="0"/>
              <w:jc w:val="left"/>
              <w:rPr/>
            </w:pPr>
            <w:r>
              <w:rPr/>
              <w:t>​</w:t>
            </w:r>
          </w:p>
        </w:tc>
        <w:tc>
          <w:tcPr>
            <w:tcW w:w="9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w:t>
            </w:r>
          </w:p>
        </w:tc>
        <w:tc>
          <w:tcPr>
            <w:tcW w:w="109" w:type="dxa"/>
            <w:tcBorders/>
            <w:vAlign w:val="center"/>
          </w:tcPr>
          <w:p>
            <w:pPr>
              <w:pStyle w:val="TableContents"/>
              <w:bidi w:val="0"/>
              <w:spacing w:before="0" w:after="0"/>
              <w:ind w:left="0" w:right="0" w:hanging="0"/>
              <w:jc w:val="left"/>
              <w:rPr/>
            </w:pPr>
            <w:r>
              <w:rPr/>
              <w:t>​</w:t>
            </w:r>
          </w:p>
        </w:tc>
        <w:tc>
          <w:tcPr>
            <w:tcW w:w="342" w:type="dxa"/>
            <w:tcBorders/>
            <w:vAlign w:val="center"/>
          </w:tcPr>
          <w:p>
            <w:pPr>
              <w:pStyle w:val="TableContents"/>
              <w:bidi w:val="0"/>
              <w:spacing w:before="0" w:after="0"/>
              <w:ind w:left="0" w:right="0" w:hanging="0"/>
              <w:jc w:val="left"/>
              <w:rPr/>
            </w:pPr>
            <w:r>
              <w:rPr/>
              <w:t>​</w:t>
            </w:r>
          </w:p>
        </w:tc>
        <w:tc>
          <w:tcPr>
            <w:tcW w:w="9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255</w:t>
            </w:r>
          </w:p>
        </w:tc>
        <w:tc>
          <w:tcPr>
            <w:tcW w:w="109" w:type="dxa"/>
            <w:tcBorders/>
            <w:vAlign w:val="center"/>
          </w:tcPr>
          <w:p>
            <w:pPr>
              <w:pStyle w:val="TableContents"/>
              <w:bidi w:val="0"/>
              <w:spacing w:before="0" w:after="0"/>
              <w:ind w:left="0" w:right="0" w:hanging="0"/>
              <w:jc w:val="center"/>
              <w:rPr/>
            </w:pPr>
            <w:r>
              <w:rPr/>
              <w:t>​</w:t>
            </w:r>
          </w:p>
        </w:tc>
        <w:tc>
          <w:tcPr>
            <w:tcW w:w="345"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109" w:type="dxa"/>
            <w:tcBorders/>
            <w:vAlign w:val="center"/>
          </w:tcPr>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w:t>
            </w:r>
          </w:p>
        </w:tc>
      </w:tr>
      <w:tr>
        <w:trPr/>
        <w:tc>
          <w:tcPr>
            <w:tcW w:w="40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 &amp; Officer Insurance Expense</w:t>
            </w:r>
          </w:p>
        </w:tc>
        <w:tc>
          <w:tcPr>
            <w:tcW w:w="109" w:type="dxa"/>
            <w:tcBorders/>
            <w:shd w:fill="CCEEFF" w:val="clear"/>
            <w:vAlign w:val="center"/>
          </w:tcPr>
          <w:p>
            <w:pPr>
              <w:pStyle w:val="TableContents"/>
              <w:bidi w:val="0"/>
              <w:spacing w:before="0" w:after="0"/>
              <w:ind w:left="0" w:right="0" w:hanging="0"/>
              <w:jc w:val="left"/>
              <w:rPr/>
            </w:pPr>
            <w:r>
              <w:rPr/>
              <w:t>​</w:t>
            </w:r>
          </w:p>
        </w:tc>
        <w:tc>
          <w:tcPr>
            <w:tcW w:w="342" w:type="dxa"/>
            <w:tcBorders/>
            <w:shd w:fill="CCEEFF" w:val="clear"/>
            <w:vAlign w:val="center"/>
          </w:tcPr>
          <w:p>
            <w:pPr>
              <w:pStyle w:val="TableContents"/>
              <w:bidi w:val="0"/>
              <w:spacing w:before="0" w:after="0"/>
              <w:ind w:left="0" w:right="0" w:hanging="0"/>
              <w:jc w:val="left"/>
              <w:rPr/>
            </w:pPr>
            <w:r>
              <w:rPr/>
              <w:t>​</w:t>
            </w:r>
          </w:p>
        </w:tc>
        <w:tc>
          <w:tcPr>
            <w:tcW w:w="9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w:t>
            </w:r>
          </w:p>
        </w:tc>
        <w:tc>
          <w:tcPr>
            <w:tcW w:w="109" w:type="dxa"/>
            <w:tcBorders/>
            <w:shd w:fill="CCEEFF" w:val="clear"/>
            <w:vAlign w:val="center"/>
          </w:tcPr>
          <w:p>
            <w:pPr>
              <w:pStyle w:val="TableContents"/>
              <w:bidi w:val="0"/>
              <w:spacing w:before="0" w:after="0"/>
              <w:ind w:left="0" w:right="0" w:hanging="0"/>
              <w:jc w:val="left"/>
              <w:rPr/>
            </w:pPr>
            <w:r>
              <w:rPr/>
              <w:t>​</w:t>
            </w:r>
          </w:p>
        </w:tc>
        <w:tc>
          <w:tcPr>
            <w:tcW w:w="342" w:type="dxa"/>
            <w:tcBorders/>
            <w:shd w:fill="CCEEFF" w:val="clear"/>
            <w:vAlign w:val="center"/>
          </w:tcPr>
          <w:p>
            <w:pPr>
              <w:pStyle w:val="TableContents"/>
              <w:bidi w:val="0"/>
              <w:spacing w:before="0" w:after="0"/>
              <w:ind w:left="0" w:right="0" w:hanging="0"/>
              <w:jc w:val="left"/>
              <w:rPr/>
            </w:pPr>
            <w:r>
              <w:rPr/>
              <w:t>​</w:t>
            </w:r>
          </w:p>
        </w:tc>
        <w:tc>
          <w:tcPr>
            <w:tcW w:w="9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w:t>
            </w:r>
          </w:p>
        </w:tc>
        <w:tc>
          <w:tcPr>
            <w:tcW w:w="109" w:type="dxa"/>
            <w:tcBorders/>
            <w:shd w:fill="CCEEFF" w:val="clear"/>
            <w:vAlign w:val="center"/>
          </w:tcPr>
          <w:p>
            <w:pPr>
              <w:pStyle w:val="TableContents"/>
              <w:bidi w:val="0"/>
              <w:spacing w:before="0" w:after="0"/>
              <w:ind w:left="0" w:right="0" w:hanging="0"/>
              <w:jc w:val="right"/>
              <w:rPr/>
            </w:pPr>
            <w:r>
              <w:rPr/>
              <w:t>​</w:t>
            </w:r>
          </w:p>
        </w:tc>
        <w:tc>
          <w:tcPr>
            <w:tcW w:w="345"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171" w:type="dxa"/>
            <w:tcBorders/>
            <w:shd w:fill="CCEEFF" w:val="clear"/>
            <w:vAlign w:val="center"/>
          </w:tcPr>
          <w:p>
            <w:pPr>
              <w:pStyle w:val="TableContents"/>
              <w:bidi w:val="0"/>
              <w:spacing w:before="0" w:after="0"/>
              <w:ind w:left="0" w:right="0" w:hanging="0"/>
              <w:jc w:val="right"/>
              <w:rPr/>
            </w:pPr>
            <w:r>
              <w:rPr/>
              <w:t xml:space="preserve">— </w:t>
            </w:r>
            <w:r>
              <w:rPr>
                <w:rFonts w:ascii="Times New Roman;Times;serif" w:hAnsi="Times New Roman;Times;serif"/>
                <w:sz w:val="20"/>
              </w:rPr>
              <w:t>%</w:t>
            </w:r>
          </w:p>
        </w:tc>
      </w:tr>
      <w:tr>
        <w:trPr/>
        <w:tc>
          <w:tcPr>
            <w:tcW w:w="40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Additional General and Administrative Expense</w:t>
            </w:r>
          </w:p>
        </w:tc>
        <w:tc>
          <w:tcPr>
            <w:tcW w:w="109" w:type="dxa"/>
            <w:tcBorders/>
            <w:vAlign w:val="center"/>
          </w:tcPr>
          <w:p>
            <w:pPr>
              <w:pStyle w:val="TableContents"/>
              <w:bidi w:val="0"/>
              <w:spacing w:before="0" w:after="0"/>
              <w:ind w:left="0" w:right="0" w:hanging="0"/>
              <w:jc w:val="left"/>
              <w:rPr/>
            </w:pPr>
            <w:r>
              <w:rPr/>
              <w:t>​</w:t>
            </w:r>
          </w:p>
        </w:tc>
        <w:tc>
          <w:tcPr>
            <w:tcW w:w="34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836</w:t>
            </w:r>
          </w:p>
        </w:tc>
        <w:tc>
          <w:tcPr>
            <w:tcW w:w="109" w:type="dxa"/>
            <w:tcBorders/>
            <w:vAlign w:val="center"/>
          </w:tcPr>
          <w:p>
            <w:pPr>
              <w:pStyle w:val="TableContents"/>
              <w:bidi w:val="0"/>
              <w:spacing w:before="0" w:after="0"/>
              <w:ind w:left="0" w:right="0" w:hanging="0"/>
              <w:jc w:val="left"/>
              <w:rPr/>
            </w:pPr>
            <w:r>
              <w:rPr/>
              <w:t>​</w:t>
            </w:r>
          </w:p>
        </w:tc>
        <w:tc>
          <w:tcPr>
            <w:tcW w:w="34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826</w:t>
            </w:r>
          </w:p>
        </w:tc>
        <w:tc>
          <w:tcPr>
            <w:tcW w:w="109" w:type="dxa"/>
            <w:tcBorders/>
            <w:vAlign w:val="center"/>
          </w:tcPr>
          <w:p>
            <w:pPr>
              <w:pStyle w:val="TableContents"/>
              <w:bidi w:val="0"/>
              <w:spacing w:before="0" w:after="0"/>
              <w:ind w:left="0" w:right="0" w:hanging="0"/>
              <w:jc w:val="right"/>
              <w:rPr/>
            </w:pPr>
            <w:r>
              <w:rPr/>
              <w:t>​</w:t>
            </w:r>
          </w:p>
        </w:tc>
        <w:tc>
          <w:tcPr>
            <w:tcW w:w="34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109" w:type="dxa"/>
            <w:tcBorders/>
            <w:vAlign w:val="center"/>
          </w:tcPr>
          <w:p>
            <w:pPr>
              <w:pStyle w:val="TableContents"/>
              <w:bidi w:val="0"/>
              <w:spacing w:before="0" w:after="0"/>
              <w:ind w:left="0" w:right="0" w:hanging="0"/>
              <w:jc w:val="left"/>
              <w:rPr/>
            </w:pPr>
            <w:r>
              <w:rPr/>
              <w:t>​</w:t>
            </w:r>
          </w:p>
        </w:tc>
        <w:tc>
          <w:tcPr>
            <w:tcW w:w="11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r>
      <w:tr>
        <w:trPr/>
        <w:tc>
          <w:tcPr>
            <w:tcW w:w="40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General and Administrative Expenses</w:t>
            </w:r>
          </w:p>
        </w:tc>
        <w:tc>
          <w:tcPr>
            <w:tcW w:w="109" w:type="dxa"/>
            <w:tcBorders/>
            <w:shd w:fill="CCEEFF" w:val="clear"/>
            <w:vAlign w:val="center"/>
          </w:tcPr>
          <w:p>
            <w:pPr>
              <w:pStyle w:val="TableContents"/>
              <w:bidi w:val="0"/>
              <w:spacing w:before="0" w:after="0"/>
              <w:ind w:left="0" w:right="0" w:hanging="0"/>
              <w:jc w:val="left"/>
              <w:rPr/>
            </w:pPr>
            <w:r>
              <w:rPr/>
              <w:t>​</w:t>
            </w:r>
          </w:p>
        </w:tc>
        <w:tc>
          <w:tcPr>
            <w:tcW w:w="34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3,887</w:t>
            </w:r>
          </w:p>
        </w:tc>
        <w:tc>
          <w:tcPr>
            <w:tcW w:w="109" w:type="dxa"/>
            <w:tcBorders/>
            <w:shd w:fill="CCEEFF" w:val="clear"/>
            <w:vAlign w:val="center"/>
          </w:tcPr>
          <w:p>
            <w:pPr>
              <w:pStyle w:val="TableContents"/>
              <w:bidi w:val="0"/>
              <w:spacing w:before="0" w:after="0"/>
              <w:ind w:left="0" w:right="0" w:hanging="0"/>
              <w:jc w:val="left"/>
              <w:rPr/>
            </w:pPr>
            <w:r>
              <w:rPr/>
              <w:t>​</w:t>
            </w:r>
          </w:p>
        </w:tc>
        <w:tc>
          <w:tcPr>
            <w:tcW w:w="34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3,413</w:t>
            </w:r>
          </w:p>
        </w:tc>
        <w:tc>
          <w:tcPr>
            <w:tcW w:w="109" w:type="dxa"/>
            <w:tcBorders/>
            <w:shd w:fill="CCEEFF" w:val="clear"/>
            <w:vAlign w:val="center"/>
          </w:tcPr>
          <w:p>
            <w:pPr>
              <w:pStyle w:val="TableContents"/>
              <w:bidi w:val="0"/>
              <w:spacing w:before="0" w:after="0"/>
              <w:ind w:left="0" w:right="0" w:hanging="0"/>
              <w:jc w:val="right"/>
              <w:rPr/>
            </w:pPr>
            <w:r>
              <w:rPr/>
              <w:t>​</w:t>
            </w:r>
          </w:p>
        </w:tc>
        <w:tc>
          <w:tcPr>
            <w:tcW w:w="34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474</w:t>
            </w:r>
          </w:p>
        </w:tc>
        <w:tc>
          <w:tcPr>
            <w:tcW w:w="109" w:type="dxa"/>
            <w:tcBorders/>
            <w:shd w:fill="CCEEFF" w:val="clear"/>
            <w:vAlign w:val="center"/>
          </w:tcPr>
          <w:p>
            <w:pPr>
              <w:pStyle w:val="TableContents"/>
              <w:bidi w:val="0"/>
              <w:spacing w:before="0" w:after="0"/>
              <w:ind w:left="0" w:right="0" w:hanging="0"/>
              <w:jc w:val="left"/>
              <w:rPr/>
            </w:pPr>
            <w:r>
              <w:rPr/>
              <w:t>​</w:t>
            </w:r>
          </w:p>
        </w:tc>
        <w:tc>
          <w:tcPr>
            <w:tcW w:w="1171"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13.9%</w:t>
            </w:r>
          </w:p>
        </w:tc>
      </w:tr>
    </w:tbl>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General and administrative expenses totaled $3.9 million and $3.4 million during the six months ended June 30, 2026 and 2025, respectively. The $0.5 million increase is primarily the result of increases in the management fee due to an increase in the weighted average of the Company’s equity base.</w:t>
      </w:r>
    </w:p>
    <w:p>
      <w:pPr>
        <w:pStyle w:val="TextBody"/>
        <w:bidi w:val="0"/>
        <w:spacing w:before="0" w:after="0"/>
        <w:ind w:left="0" w:right="0" w:firstLine="36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Provision for Impairment</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As further described in Note 7, “Provision for Impairment”, during the six months ended June 30, 2026, the Company recorded a $0.2 million impairment charge representing the provision for losses related to certain income properties, for which the Company’s current intent is to dispose of such properties in order to facilitate the re-investment of the proceeds therefrom into new investment opportunities, and a $0.7 million impairment charge which represents the CECL reserve related to our commercial loans and investments. During the six months ended June 30, 2025, the Company recorded a $4.6 million impairment charge representing the provision for losses related to our income properties, and a $0.2 million impairment charge which represents the CECL reserve related to our commercial loans and investments.</w:t>
      </w:r>
    </w:p>
    <w:p>
      <w:pPr>
        <w:pStyle w:val="TextBody"/>
        <w:bidi w:val="0"/>
        <w:spacing w:before="0" w:after="0"/>
        <w:ind w:left="0" w:right="0" w:firstLine="36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Depreciation and Amortization</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Depreciation and amortization expense totaled $14.0 million during the six months ended June 30, 2026 and 2025. </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Gain on Disposition of Assets</w:t>
      </w:r>
    </w:p>
    <w:p>
      <w:pPr>
        <w:pStyle w:val="TextBody"/>
        <w:bidi w:val="0"/>
        <w:spacing w:before="0" w:after="0"/>
        <w:ind w:left="0" w:right="0" w:hanging="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During the six months ended June 30, 2026, the Company sold three properties for an aggregate sales price of $5.8 million, generating aggregate gains on sale of $0.1 million. During the six months ended June 30, 2025, the Company sold eight properties for an aggregate sales price of $28.2 million, generating aggregate gains on sale of $2.1 million.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Investment and Other Income</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Investment and other income totaled $0.5 million and $0.1 million during the six months ended June 30, 2026 and 2025, respectively. The $0.4 million increase is primarily due to the receipt of a $0.3 million nonrefundable deposit forfeited by a potential buyer on a property that was previously under contract for sale. </w:t>
      </w:r>
    </w:p>
    <w:p>
      <w:pPr>
        <w:pStyle w:val="TextBody"/>
        <w:bidi w:val="0"/>
        <w:spacing w:before="0" w:after="0"/>
        <w:ind w:left="0" w:right="0" w:firstLine="36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Interest Expense</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Interest expense totaled $8.9 million and $7.9 million during the six months ended June 30, 2026 and 2025, respectively. The $1.0 million increase in interest expense is attributable to the higher average outstanding balance on the Company’s Credit Facility as well as $0.5 million of interest expense resulting from the sale of participation interest in the Company’s $24.0 million Mortgage Note as defined and further described in Note 4, “Commercial Loans and Investments” in the Notes to the Financial Statements. The overall increase in the Company’s long-term debt was primarily utilized to fund the acquisition of properties and commercial loans and investments during the six months ended June 30, 2026.</w:t>
      </w:r>
    </w:p>
    <w:p>
      <w:pPr>
        <w:pStyle w:val="TextBody"/>
        <w:bidi w:val="0"/>
        <w:spacing w:before="0" w:after="0"/>
        <w:ind w:left="0" w:right="0" w:firstLine="36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 xml:space="preserve">Net Income (Loss) </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Net income totaled $6.8 million and net loss totaled $3.1 million during the six months ended June 30, 2026 and 2025, respectively. The $9.9 million increase in net income is attributable to the factors described above, most notably the $8.1 million increase in interest income from commercial loans and investments.</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73" w:before="0" w:after="0"/>
        <w:ind w:left="0" w:right="0" w:hanging="0"/>
        <w:jc w:val="left"/>
        <w:rPr>
          <w:rFonts w:ascii="Times New Roman;Times;serif" w:hAnsi="Times New Roman;Times;serif"/>
          <w:b/>
          <w:sz w:val="20"/>
        </w:rPr>
      </w:pPr>
      <w:r>
        <w:rPr>
          <w:rFonts w:ascii="Times New Roman;Times;serif" w:hAnsi="Times New Roman;Times;serif"/>
          <w:b/>
          <w:sz w:val="20"/>
        </w:rPr>
        <w:t>LIQUIDITY AND CAPITAL RESOURCES</w:t>
      </w:r>
    </w:p>
    <w:p>
      <w:pPr>
        <w:pStyle w:val="TextBody"/>
        <w:bidi w:val="0"/>
        <w:spacing w:lineRule="auto" w:line="273" w:before="0" w:after="0"/>
        <w:ind w:left="0" w:right="0" w:hanging="0"/>
        <w:jc w:val="both"/>
        <w:rPr/>
      </w:pPr>
      <w:r>
        <w:rPr/>
        <w:t>​</w:t>
      </w:r>
    </w:p>
    <w:p>
      <w:pPr>
        <w:pStyle w:val="TextBody"/>
        <w:bidi w:val="0"/>
        <w:spacing w:lineRule="auto" w:line="273" w:before="0" w:after="0"/>
        <w:ind w:left="0" w:right="0" w:firstLine="360"/>
        <w:jc w:val="both"/>
        <w:rPr>
          <w:rFonts w:ascii="Times New Roman;Times;serif" w:hAnsi="Times New Roman;Times;serif"/>
          <w:sz w:val="20"/>
        </w:rPr>
      </w:pPr>
      <w:r>
        <w:rPr>
          <w:rFonts w:ascii="Times New Roman;Times;serif" w:hAnsi="Times New Roman;Times;serif"/>
          <w:sz w:val="20"/>
        </w:rPr>
        <w:t>Cash totaled $26.1 million as of June 30, 2026, including restricted cash of $23.3 million. See Note 2 “Summary of Significant Accounting Policies” under the heading Restricted Cash for the Company’s disclosure related to its restricted cash balance as of June 30, 2026.</w:t>
      </w:r>
    </w:p>
    <w:p>
      <w:pPr>
        <w:pStyle w:val="TextBody"/>
        <w:bidi w:val="0"/>
        <w:spacing w:lineRule="auto" w:line="273" w:before="0" w:after="0"/>
        <w:ind w:left="0" w:right="0" w:firstLine="360"/>
        <w:jc w:val="both"/>
        <w:rPr>
          <w:shd w:fill="FFFF00" w:val="clear"/>
        </w:rPr>
      </w:pPr>
      <w:r>
        <w:rPr>
          <w:shd w:fill="FFFF00" w:val="clear"/>
        </w:rPr>
        <w:t>​</w:t>
      </w:r>
    </w:p>
    <w:p>
      <w:pPr>
        <w:pStyle w:val="TextBody"/>
        <w:bidi w:val="0"/>
        <w:spacing w:lineRule="auto" w:line="273" w:before="0" w:after="0"/>
        <w:ind w:left="0" w:right="0" w:firstLine="360"/>
        <w:jc w:val="both"/>
        <w:rPr>
          <w:rFonts w:ascii="Times New Roman;Times;serif" w:hAnsi="Times New Roman;Times;serif"/>
          <w:sz w:val="20"/>
        </w:rPr>
      </w:pPr>
      <w:r>
        <w:rPr>
          <w:rFonts w:ascii="Times New Roman;Times;serif" w:hAnsi="Times New Roman;Times;serif"/>
          <w:i/>
          <w:sz w:val="20"/>
        </w:rPr>
        <w:t xml:space="preserve">Long-Term Debt. </w:t>
      </w:r>
      <w:r>
        <w:rPr>
          <w:rFonts w:ascii="Times New Roman;Times;serif" w:hAnsi="Times New Roman;Times;serif"/>
          <w:sz w:val="20"/>
        </w:rPr>
        <w:t>As of June 30, 2026, the commitment level under the Revolving Facility was $250.0 million, and the Company had an outstanding balance of $169.5 million and $80.5 million of available capacity. The Company also had $200.0 million in term loans outstanding as of June 30, 2026. See Note 13, “Long-Term Debt” for the Company’s disclosure related to its long-term debt balance as of June 30, 2026.</w:t>
      </w:r>
    </w:p>
    <w:p>
      <w:pPr>
        <w:pStyle w:val="TextBody"/>
        <w:bidi w:val="0"/>
        <w:spacing w:lineRule="auto" w:line="273" w:before="0" w:after="0"/>
        <w:ind w:left="0" w:right="0" w:firstLine="360"/>
        <w:jc w:val="both"/>
        <w:rPr/>
      </w:pPr>
      <w:r>
        <w:rPr/>
        <w:t>​</w:t>
      </w:r>
    </w:p>
    <w:p>
      <w:pPr>
        <w:pStyle w:val="TextBody"/>
        <w:bidi w:val="0"/>
        <w:spacing w:lineRule="auto" w:line="273" w:before="0" w:after="0"/>
        <w:ind w:left="0" w:right="0" w:firstLine="360"/>
        <w:jc w:val="both"/>
        <w:rPr>
          <w:rFonts w:ascii="Times New Roman;Times;serif" w:hAnsi="Times New Roman;Times;serif"/>
          <w:sz w:val="20"/>
        </w:rPr>
      </w:pPr>
      <w:r>
        <w:rPr>
          <w:rFonts w:ascii="Times New Roman;Times;serif" w:hAnsi="Times New Roman;Times;serif"/>
          <w:i/>
          <w:sz w:val="20"/>
        </w:rPr>
        <w:t xml:space="preserve">Acquisitions and Dispositions. </w:t>
      </w:r>
      <w:r>
        <w:rPr>
          <w:rFonts w:ascii="Times New Roman;Times;serif" w:hAnsi="Times New Roman;Times;serif"/>
          <w:sz w:val="20"/>
        </w:rPr>
        <w:t>As further described in Note 3, “Property Portfolio,” during the six months ended June 30, 2026, the Company acquired four properties for a combined purchase price of $46.8 million, including capitalized acquisition costs. Of the total acquisitions, the Company acquired two properties for a combined purchase price of $20.5 million, including capitalized acquisition costs. The remaining $26.3 million of total acquisition costs are attributable to (i) the acquisition of the 2026 Sale-Leaseback Property for a purchase price of $10.0 million and (ii) the acquisition of the 2026 Sales-Type Lease for $16.3 million. During the six months ended June 30, 2026, the Company sold three properties for an aggregate sales price of $5.8 million, generating aggregate gains on sale of $0.1 million.</w:t>
      </w:r>
    </w:p>
    <w:p>
      <w:pPr>
        <w:pStyle w:val="TextBody"/>
        <w:bidi w:val="0"/>
        <w:spacing w:lineRule="auto" w:line="273" w:before="0" w:after="0"/>
        <w:ind w:left="0" w:right="0" w:hanging="0"/>
        <w:jc w:val="both"/>
        <w:rPr/>
      </w:pPr>
      <w:r>
        <w:rPr/>
        <w:t>​</w:t>
      </w:r>
    </w:p>
    <w:p>
      <w:pPr>
        <w:pStyle w:val="TextBody"/>
        <w:bidi w:val="0"/>
        <w:spacing w:lineRule="auto" w:line="273" w:before="0" w:after="0"/>
        <w:ind w:left="0" w:right="0" w:firstLine="360"/>
        <w:jc w:val="both"/>
        <w:rPr>
          <w:rFonts w:ascii="Times New Roman;Times;serif" w:hAnsi="Times New Roman;Times;serif"/>
          <w:sz w:val="20"/>
        </w:rPr>
      </w:pPr>
      <w:r>
        <w:rPr>
          <w:rFonts w:ascii="Times New Roman;Times;serif" w:hAnsi="Times New Roman;Times;serif"/>
          <w:i/>
          <w:sz w:val="20"/>
        </w:rPr>
        <w:t xml:space="preserve">ATM Program. </w:t>
      </w:r>
      <w:r>
        <w:rPr>
          <w:rFonts w:ascii="Times New Roman;Times;serif" w:hAnsi="Times New Roman;Times;serif"/>
          <w:sz w:val="20"/>
          <w:shd w:fill="FFFFFF" w:val="clear"/>
        </w:rPr>
        <w:t>During the six months ended June 30, 2026, the Company sold 2,801,075 shares under the 2022 ATM Program for gross proceeds of $54.1 million at a weighted average price of $19.31 per share, generating net proceeds of $53.3 million after deducting transaction fees totaling $0.8 million. During the six months ended June 30, 2026, the Company sold 342,540 shares under the 2025 Preferred Stock ATM Program for gross proceeds of $8.6 million at a weighted average price of $25.17 per share, generating net proceeds of $8.4 million after deducting transaction fees totaling less than $0.2 million.</w:t>
      </w:r>
    </w:p>
    <w:p>
      <w:pPr>
        <w:pStyle w:val="TextBody"/>
        <w:bidi w:val="0"/>
        <w:spacing w:lineRule="auto" w:line="273" w:before="0" w:after="0"/>
        <w:ind w:left="0" w:right="0" w:firstLine="360"/>
        <w:jc w:val="both"/>
        <w:rPr/>
      </w:pPr>
      <w:r>
        <w:rPr/>
        <w:t>​</w:t>
      </w:r>
    </w:p>
    <w:p>
      <w:pPr>
        <w:pStyle w:val="TextBody"/>
        <w:bidi w:val="0"/>
        <w:spacing w:lineRule="auto" w:line="273" w:before="0" w:after="0"/>
        <w:ind w:left="0" w:right="0" w:firstLine="360"/>
        <w:jc w:val="both"/>
        <w:rPr>
          <w:rFonts w:ascii="Times New Roman;Times;serif" w:hAnsi="Times New Roman;Times;serif"/>
          <w:sz w:val="20"/>
        </w:rPr>
      </w:pPr>
      <w:r>
        <w:rPr>
          <w:rFonts w:ascii="Times New Roman;Times;serif" w:hAnsi="Times New Roman;Times;serif"/>
          <w:i/>
          <w:sz w:val="20"/>
        </w:rPr>
        <w:t>Capital Expenditures.</w:t>
      </w:r>
      <w:r>
        <w:rPr>
          <w:rFonts w:ascii="Times New Roman;Times;serif" w:hAnsi="Times New Roman;Times;serif"/>
          <w:sz w:val="20"/>
        </w:rPr>
        <w:t xml:space="preserve"> As of June 30, 2026, the Company has committed to fund certain capital improvements related to several properties, which include tenant improvements, landlord work, leasing commissions, and other capital improvements. As of June 30, 2026, the commitments totaled $2.0 million, of which $0.6 million has been paid, leaving a remaining commitment of $1.4 million. The improvements are generally expected to be completed within 12 months of June 30, 2026. Additionally, as of June 30, 2026, the Company has unfunded loan commitments under the Company’s nine construction/redevelopment loans as described in Note 4, “Commercial Loans and Investments”. The unfunded portion of the construction/redevelopment loans totaled $85.4 million as of June 30, 2026</w:t>
      </w:r>
      <w:r>
        <w:rPr>
          <w:rFonts w:ascii="Times New Roman;Times;serif" w:hAnsi="Times New Roman;Times;serif"/>
          <w:i/>
          <w:sz w:val="20"/>
        </w:rPr>
        <w:t xml:space="preserve">. </w:t>
      </w:r>
    </w:p>
    <w:p>
      <w:pPr>
        <w:pStyle w:val="TextBody"/>
        <w:bidi w:val="0"/>
        <w:spacing w:lineRule="auto" w:line="273" w:before="0" w:after="0"/>
        <w:ind w:left="0" w:right="0" w:hanging="0"/>
        <w:jc w:val="both"/>
        <w:rPr>
          <w:shd w:fill="FFFF00" w:val="clear"/>
        </w:rPr>
      </w:pPr>
      <w:r>
        <w:rPr>
          <w:shd w:fill="FFFF00" w:val="clear"/>
        </w:rPr>
        <w:t>​</w:t>
      </w:r>
    </w:p>
    <w:p>
      <w:pPr>
        <w:pStyle w:val="TextBody"/>
        <w:bidi w:val="0"/>
        <w:spacing w:lineRule="auto" w:line="273" w:before="0" w:after="0"/>
        <w:ind w:left="0" w:right="0" w:firstLine="360"/>
        <w:jc w:val="both"/>
        <w:rPr>
          <w:rFonts w:ascii="Times New Roman;Times;serif" w:hAnsi="Times New Roman;Times;serif"/>
          <w:sz w:val="20"/>
        </w:rPr>
      </w:pPr>
      <w:r>
        <w:rPr>
          <w:rFonts w:ascii="Times New Roman;Times;serif" w:hAnsi="Times New Roman;Times;serif"/>
          <w:sz w:val="20"/>
        </w:rPr>
        <w:t xml:space="preserve">We believe we will have sufficient liquidity to fund our operations, capital requirements, maintenance, and debt service requirements over the next twelve months and into the foreseeable future, with cash on hand, cash flow from our operations, proceeds from the completion of the sale of assets utilizing the reverse like-kind 1031 exchange structure, $25.8 million of availability under the 2022 ATM Program, $24.3 million of availability under the 2025 Preferred Stock ATM Program, and $80.5 million of available capacity on the existing $250.0 million Revolving Facility. </w:t>
      </w:r>
    </w:p>
    <w:p>
      <w:pPr>
        <w:pStyle w:val="TextBody"/>
        <w:bidi w:val="0"/>
        <w:spacing w:lineRule="auto" w:line="273" w:before="0" w:after="0"/>
        <w:ind w:left="0" w:right="0" w:firstLine="360"/>
        <w:jc w:val="both"/>
        <w:rPr/>
      </w:pPr>
      <w:r>
        <w:rPr/>
        <w:t>​</w:t>
      </w:r>
    </w:p>
    <w:p>
      <w:pPr>
        <w:pStyle w:val="TextBody"/>
        <w:bidi w:val="0"/>
        <w:spacing w:lineRule="auto" w:line="273" w:before="0" w:after="0"/>
        <w:ind w:left="0" w:right="0" w:firstLine="360"/>
        <w:jc w:val="both"/>
        <w:rPr>
          <w:rFonts w:ascii="Times New Roman;Times;serif" w:hAnsi="Times New Roman;Times;serif"/>
          <w:sz w:val="20"/>
        </w:rPr>
      </w:pPr>
      <w:r>
        <w:rPr>
          <w:rFonts w:ascii="Times New Roman;Times;serif" w:hAnsi="Times New Roman;Times;serif"/>
          <w:sz w:val="20"/>
        </w:rPr>
        <w:t>The Board and management consistently review the allocation of capital with the goal of providing the best long-term return for our stockholders. These reviews consider various alternatives, including increasing or decreasing regular dividends, repurchasing the Company’s securities, and retaining funds for reinvestment. Annually, the Board reviews our business plan and corporate strategies, and makes adjustments as circumstances warrant. Management’s focus is to continue our strategy of investing in net leased properties by utilizing the capital we raise and available borrowing capacity from the Revolving Facility to increase our portfolio of income-producing properties, providing stabilized cash flows with strong risk-adjusted returns primarily in larger metropolitan areas and growth markets.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center"/>
        <w:rPr>
          <w:rFonts w:ascii="Times New Roman;Times;serif" w:hAnsi="Times New Roman;Times;serif"/>
          <w:b/>
          <w:sz w:val="20"/>
        </w:rPr>
      </w:pPr>
      <w:r>
        <w:rPr>
          <w:rFonts w:ascii="Times New Roman;Times;serif" w:hAnsi="Times New Roman;Times;serif"/>
          <w:b/>
          <w:sz w:val="20"/>
        </w:rPr>
        <w:t>Non-GAAP Financial Measures</w:t>
      </w:r>
    </w:p>
    <w:p>
      <w:pPr>
        <w:pStyle w:val="TextBody"/>
        <w:bidi w:val="0"/>
        <w:spacing w:before="120" w:after="4"/>
        <w:ind w:left="0" w:right="0" w:firstLine="360"/>
        <w:jc w:val="both"/>
        <w:rPr>
          <w:rFonts w:ascii="Times New Roman;Times;serif" w:hAnsi="Times New Roman;Times;serif"/>
          <w:sz w:val="20"/>
        </w:rPr>
      </w:pPr>
      <w:r>
        <w:rPr>
          <w:rFonts w:ascii="Times New Roman;Times;serif" w:hAnsi="Times New Roman;Times;serif"/>
          <w:sz w:val="20"/>
        </w:rPr>
        <w:t>Our reported results are presented in accordance with GAAP. We also disclose FFO and AFFO, both of which are non-GAAP financial measures. We believe these two non-GAAP financial measures are useful to investors because they are widely accepted industry measures used by analysts and investors to compare the operating performance of REITs.</w:t>
      </w:r>
    </w:p>
    <w:p>
      <w:pPr>
        <w:pStyle w:val="TextBody"/>
        <w:bidi w:val="0"/>
        <w:spacing w:before="4" w:after="4"/>
        <w:ind w:left="0" w:right="0" w:firstLine="360"/>
        <w:jc w:val="both"/>
        <w:rPr/>
      </w:pPr>
      <w:r>
        <w:rPr/>
        <w:t>​</w:t>
      </w:r>
    </w:p>
    <w:p>
      <w:pPr>
        <w:pStyle w:val="TextBody"/>
        <w:bidi w:val="0"/>
        <w:spacing w:before="4" w:after="4"/>
        <w:ind w:left="0" w:right="0" w:firstLine="360"/>
        <w:jc w:val="both"/>
        <w:rPr>
          <w:rFonts w:ascii="Times New Roman;Times;serif" w:hAnsi="Times New Roman;Times;serif"/>
          <w:sz w:val="20"/>
        </w:rPr>
      </w:pPr>
      <w:r>
        <w:rPr>
          <w:rFonts w:ascii="Times New Roman;Times;serif" w:hAnsi="Times New Roman;Times;serif"/>
          <w:sz w:val="20"/>
        </w:rPr>
        <w:t>FFO and AFFO do not represent cash generated from operating activities and are not necessarily indicative of cash available to fund cash requirements; accordingly, they should not be considered alternatives to net income or loss or as a performance measure or cash flows from operations as reported on our statement of cash flows as a liquidity measure and should be considered in addition to, and not in lieu of, GAAP financial measures.</w:t>
      </w:r>
    </w:p>
    <w:p>
      <w:pPr>
        <w:pStyle w:val="TextBody"/>
        <w:bidi w:val="0"/>
        <w:spacing w:before="4" w:after="4"/>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We compute FFO in accordance with the definition adopted by the Board of Governors of the National Association of Real Estate Investment Trusts, or NAREIT. NAREIT defines FFO as GAAP net income or loss adjusted to exclude real estate related depreciation and amortization, as well as extraordinary items (as defined by GAAP) such as net gain or loss from sales of depreciable real estate assets, impairment write-downs associated with depreciable real estate assets and impairments associated with the implementation of current expected credit losses on commercial loans and investments at the time of origination, including the pro rata share of such adjustments of unconsolidated subsidiaries. To derive AFFO, we further modify the NAREIT computation of FFO to include other adjustments to GAAP net income or loss related to non-cash revenues and expenses such as loss on extinguishment of debt, amortization of above- and below-market lease related intangibles, straight-line rental revenue, amortization of deferred financing costs, non-cash compensation, and other non-cash adjustments to income or expense. Such items may cause short-term fluctuations in net income or loss but have no impact on operating cash flows or long-term operating performance. We use AFFO as one measure of our performance when we formulate corporate goals.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b w:val="false"/>
          <w:sz w:val="20"/>
        </w:rPr>
      </w:pPr>
      <w:r>
        <w:rPr>
          <w:rFonts w:ascii="Times New Roman;Times;serif" w:hAnsi="Times New Roman;Times;serif"/>
          <w:b w:val="false"/>
          <w:sz w:val="20"/>
        </w:rPr>
        <w:t>FFO is used by management, investors and analysts to facilitate meaningful comparisons of operating performance between periods and among our peers primarily because it excludes the effect of real estate depreciation and amortization and net gains or losses on sales, which are based on historical costs and implicitly assume that the value of real estate diminishes predictably over time, rather than fluctuating based on existing market conditions. We believe that AFFO is an additional useful supplemental measure for investors to consider because it will help them to better assess our operating performance without the distortions created by other non-cash revenues or expenses. FFO and AFFO may not be comparable to similarly titled measures employed by other companies.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Reconciliation of Non-GAAP Measures (in thousands, except share data): </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4655"/>
        <w:gridCol w:w="109"/>
        <w:gridCol w:w="213"/>
        <w:gridCol w:w="1053"/>
        <w:gridCol w:w="109"/>
        <w:gridCol w:w="213"/>
        <w:gridCol w:w="1053"/>
        <w:gridCol w:w="109"/>
        <w:gridCol w:w="213"/>
        <w:gridCol w:w="1053"/>
        <w:gridCol w:w="109"/>
        <w:gridCol w:w="213"/>
        <w:gridCol w:w="1103"/>
      </w:tblGrid>
      <w:tr>
        <w:trPr/>
        <w:tc>
          <w:tcPr>
            <w:tcW w:w="4655"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4">
                      <wp:simplePos x="0" y="0"/>
                      <wp:positionH relativeFrom="character">
                        <wp:align>left</wp:align>
                      </wp:positionH>
                      <wp:positionV relativeFrom="line">
                        <wp:posOffset>635</wp:posOffset>
                      </wp:positionV>
                      <wp:extent cx="69215" cy="175260"/>
                      <wp:effectExtent l="0" t="0" r="0" b="0"/>
                      <wp:wrapNone/>
                      <wp:docPr id="443" name="Frame44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5">
                      <wp:simplePos x="0" y="0"/>
                      <wp:positionH relativeFrom="character">
                        <wp:align>left</wp:align>
                      </wp:positionH>
                      <wp:positionV relativeFrom="line">
                        <wp:posOffset>635</wp:posOffset>
                      </wp:positionV>
                      <wp:extent cx="135255" cy="175260"/>
                      <wp:effectExtent l="0" t="0" r="0" b="0"/>
                      <wp:wrapNone/>
                      <wp:docPr id="444" name="Frame444"/>
                      <a:graphic xmlns:a="http://schemas.openxmlformats.org/drawingml/2006/main">
                        <a:graphicData uri="http://schemas.microsoft.com/office/word/2010/wordprocessingShape">
                          <wps:wsp>
                            <wps:cNvSpPr txBox="1"/>
                            <wps:spPr>
                              <a:xfrm>
                                <a:off x="0" y="0"/>
                                <a:ext cx="1352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6">
                      <wp:simplePos x="0" y="0"/>
                      <wp:positionH relativeFrom="character">
                        <wp:align>left</wp:align>
                      </wp:positionH>
                      <wp:positionV relativeFrom="line">
                        <wp:posOffset>635</wp:posOffset>
                      </wp:positionV>
                      <wp:extent cx="668655" cy="175260"/>
                      <wp:effectExtent l="0" t="0" r="0" b="0"/>
                      <wp:wrapNone/>
                      <wp:docPr id="445" name="Frame445"/>
                      <a:graphic xmlns:a="http://schemas.openxmlformats.org/drawingml/2006/main">
                        <a:graphicData uri="http://schemas.microsoft.com/office/word/2010/wordprocessingShape">
                          <wps:wsp>
                            <wps:cNvSpPr txBox="1"/>
                            <wps:spPr>
                              <a:xfrm>
                                <a:off x="0" y="0"/>
                                <a:ext cx="6686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7">
                      <wp:simplePos x="0" y="0"/>
                      <wp:positionH relativeFrom="character">
                        <wp:align>left</wp:align>
                      </wp:positionH>
                      <wp:positionV relativeFrom="line">
                        <wp:posOffset>635</wp:posOffset>
                      </wp:positionV>
                      <wp:extent cx="69215" cy="175260"/>
                      <wp:effectExtent l="0" t="0" r="0" b="0"/>
                      <wp:wrapNone/>
                      <wp:docPr id="446" name="Frame44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8">
                      <wp:simplePos x="0" y="0"/>
                      <wp:positionH relativeFrom="character">
                        <wp:align>left</wp:align>
                      </wp:positionH>
                      <wp:positionV relativeFrom="line">
                        <wp:posOffset>635</wp:posOffset>
                      </wp:positionV>
                      <wp:extent cx="135255" cy="175260"/>
                      <wp:effectExtent l="0" t="0" r="0" b="0"/>
                      <wp:wrapNone/>
                      <wp:docPr id="447" name="Frame447"/>
                      <a:graphic xmlns:a="http://schemas.openxmlformats.org/drawingml/2006/main">
                        <a:graphicData uri="http://schemas.microsoft.com/office/word/2010/wordprocessingShape">
                          <wps:wsp>
                            <wps:cNvSpPr txBox="1"/>
                            <wps:spPr>
                              <a:xfrm>
                                <a:off x="0" y="0"/>
                                <a:ext cx="1352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9">
                      <wp:simplePos x="0" y="0"/>
                      <wp:positionH relativeFrom="character">
                        <wp:align>left</wp:align>
                      </wp:positionH>
                      <wp:positionV relativeFrom="line">
                        <wp:posOffset>635</wp:posOffset>
                      </wp:positionV>
                      <wp:extent cx="668655" cy="175260"/>
                      <wp:effectExtent l="0" t="0" r="0" b="0"/>
                      <wp:wrapNone/>
                      <wp:docPr id="448" name="Frame448"/>
                      <a:graphic xmlns:a="http://schemas.openxmlformats.org/drawingml/2006/main">
                        <a:graphicData uri="http://schemas.microsoft.com/office/word/2010/wordprocessingShape">
                          <wps:wsp>
                            <wps:cNvSpPr txBox="1"/>
                            <wps:spPr>
                              <a:xfrm>
                                <a:off x="0" y="0"/>
                                <a:ext cx="6686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0">
                      <wp:simplePos x="0" y="0"/>
                      <wp:positionH relativeFrom="character">
                        <wp:align>left</wp:align>
                      </wp:positionH>
                      <wp:positionV relativeFrom="line">
                        <wp:posOffset>635</wp:posOffset>
                      </wp:positionV>
                      <wp:extent cx="69215" cy="175260"/>
                      <wp:effectExtent l="0" t="0" r="0" b="0"/>
                      <wp:wrapNone/>
                      <wp:docPr id="449" name="Frame44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1">
                      <wp:simplePos x="0" y="0"/>
                      <wp:positionH relativeFrom="character">
                        <wp:align>left</wp:align>
                      </wp:positionH>
                      <wp:positionV relativeFrom="line">
                        <wp:posOffset>635</wp:posOffset>
                      </wp:positionV>
                      <wp:extent cx="135255" cy="175260"/>
                      <wp:effectExtent l="0" t="0" r="0" b="0"/>
                      <wp:wrapNone/>
                      <wp:docPr id="450" name="Frame450"/>
                      <a:graphic xmlns:a="http://schemas.openxmlformats.org/drawingml/2006/main">
                        <a:graphicData uri="http://schemas.microsoft.com/office/word/2010/wordprocessingShape">
                          <wps:wsp>
                            <wps:cNvSpPr txBox="1"/>
                            <wps:spPr>
                              <a:xfrm>
                                <a:off x="0" y="0"/>
                                <a:ext cx="1352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2">
                      <wp:simplePos x="0" y="0"/>
                      <wp:positionH relativeFrom="character">
                        <wp:align>left</wp:align>
                      </wp:positionH>
                      <wp:positionV relativeFrom="line">
                        <wp:posOffset>635</wp:posOffset>
                      </wp:positionV>
                      <wp:extent cx="668655" cy="175260"/>
                      <wp:effectExtent l="0" t="0" r="0" b="0"/>
                      <wp:wrapNone/>
                      <wp:docPr id="451" name="Frame451"/>
                      <a:graphic xmlns:a="http://schemas.openxmlformats.org/drawingml/2006/main">
                        <a:graphicData uri="http://schemas.microsoft.com/office/word/2010/wordprocessingShape">
                          <wps:wsp>
                            <wps:cNvSpPr txBox="1"/>
                            <wps:spPr>
                              <a:xfrm>
                                <a:off x="0" y="0"/>
                                <a:ext cx="6686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3">
                      <wp:simplePos x="0" y="0"/>
                      <wp:positionH relativeFrom="character">
                        <wp:align>left</wp:align>
                      </wp:positionH>
                      <wp:positionV relativeFrom="line">
                        <wp:posOffset>635</wp:posOffset>
                      </wp:positionV>
                      <wp:extent cx="69215" cy="175260"/>
                      <wp:effectExtent l="0" t="0" r="0" b="0"/>
                      <wp:wrapNone/>
                      <wp:docPr id="452" name="Frame45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4">
                      <wp:simplePos x="0" y="0"/>
                      <wp:positionH relativeFrom="character">
                        <wp:align>left</wp:align>
                      </wp:positionH>
                      <wp:positionV relativeFrom="line">
                        <wp:posOffset>635</wp:posOffset>
                      </wp:positionV>
                      <wp:extent cx="135255" cy="175260"/>
                      <wp:effectExtent l="0" t="0" r="0" b="0"/>
                      <wp:wrapNone/>
                      <wp:docPr id="453" name="Frame453"/>
                      <a:graphic xmlns:a="http://schemas.openxmlformats.org/drawingml/2006/main">
                        <a:graphicData uri="http://schemas.microsoft.com/office/word/2010/wordprocessingShape">
                          <wps:wsp>
                            <wps:cNvSpPr txBox="1"/>
                            <wps:spPr>
                              <a:xfrm>
                                <a:off x="0" y="0"/>
                                <a:ext cx="1352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5">
                      <wp:simplePos x="0" y="0"/>
                      <wp:positionH relativeFrom="character">
                        <wp:align>left</wp:align>
                      </wp:positionH>
                      <wp:positionV relativeFrom="line">
                        <wp:posOffset>635</wp:posOffset>
                      </wp:positionV>
                      <wp:extent cx="700405" cy="175260"/>
                      <wp:effectExtent l="0" t="0" r="0" b="0"/>
                      <wp:wrapNone/>
                      <wp:docPr id="454" name="Frame454"/>
                      <a:graphic xmlns:a="http://schemas.openxmlformats.org/drawingml/2006/main">
                        <a:graphicData uri="http://schemas.microsoft.com/office/word/2010/wordprocessingShape">
                          <wps:wsp>
                            <wps:cNvSpPr txBox="1"/>
                            <wps:spPr>
                              <a:xfrm>
                                <a:off x="0" y="0"/>
                                <a:ext cx="7004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655"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641"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Three Months Ended</w:t>
            </w:r>
          </w:p>
        </w:tc>
        <w:tc>
          <w:tcPr>
            <w:tcW w:w="109" w:type="dxa"/>
            <w:tcBorders/>
            <w:vAlign w:val="center"/>
          </w:tcPr>
          <w:p>
            <w:pPr>
              <w:pStyle w:val="TableContents"/>
              <w:bidi w:val="0"/>
              <w:spacing w:before="0" w:after="1"/>
              <w:ind w:left="0" w:right="0" w:hanging="0"/>
              <w:jc w:val="left"/>
              <w:rPr/>
            </w:pPr>
            <w:r>
              <w:rPr/>
              <w:t>​</w:t>
            </w:r>
          </w:p>
        </w:tc>
        <w:tc>
          <w:tcPr>
            <w:tcW w:w="2691"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Six Months Ended</w:t>
            </w:r>
          </w:p>
        </w:tc>
      </w:tr>
      <w:tr>
        <w:trPr/>
        <w:tc>
          <w:tcPr>
            <w:tcW w:w="4655"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126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June 30, 2026</w:t>
            </w:r>
          </w:p>
        </w:tc>
        <w:tc>
          <w:tcPr>
            <w:tcW w:w="109" w:type="dxa"/>
            <w:tcBorders/>
            <w:vAlign w:val="center"/>
          </w:tcPr>
          <w:p>
            <w:pPr>
              <w:pStyle w:val="TableContents"/>
              <w:bidi w:val="0"/>
              <w:spacing w:before="0" w:after="1"/>
              <w:ind w:left="0" w:right="0" w:hanging="0"/>
              <w:jc w:val="center"/>
              <w:rPr/>
            </w:pPr>
            <w:r>
              <w:rPr/>
              <w:t>​</w:t>
            </w:r>
          </w:p>
        </w:tc>
        <w:tc>
          <w:tcPr>
            <w:tcW w:w="126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June 30, 2025</w:t>
            </w:r>
          </w:p>
        </w:tc>
        <w:tc>
          <w:tcPr>
            <w:tcW w:w="109" w:type="dxa"/>
            <w:tcBorders/>
            <w:vAlign w:val="center"/>
          </w:tcPr>
          <w:p>
            <w:pPr>
              <w:pStyle w:val="TableContents"/>
              <w:bidi w:val="0"/>
              <w:spacing w:before="0" w:after="1"/>
              <w:ind w:left="0" w:right="0" w:hanging="0"/>
              <w:jc w:val="left"/>
              <w:rPr/>
            </w:pPr>
            <w:r>
              <w:rPr/>
              <w:t>​</w:t>
            </w:r>
          </w:p>
        </w:tc>
        <w:tc>
          <w:tcPr>
            <w:tcW w:w="126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June 30, 2026</w:t>
            </w:r>
          </w:p>
        </w:tc>
        <w:tc>
          <w:tcPr>
            <w:tcW w:w="109" w:type="dxa"/>
            <w:tcBorders/>
            <w:vAlign w:val="center"/>
          </w:tcPr>
          <w:p>
            <w:pPr>
              <w:pStyle w:val="TableContents"/>
              <w:bidi w:val="0"/>
              <w:spacing w:before="0" w:after="1"/>
              <w:ind w:left="0" w:right="0" w:hanging="0"/>
              <w:jc w:val="center"/>
              <w:rPr/>
            </w:pPr>
            <w:r>
              <w:rPr/>
              <w:t>​</w:t>
            </w:r>
          </w:p>
        </w:tc>
        <w:tc>
          <w:tcPr>
            <w:tcW w:w="131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June 30, 2025</w:t>
            </w:r>
          </w:p>
        </w:tc>
      </w:tr>
      <w:tr>
        <w:trPr/>
        <w:tc>
          <w:tcPr>
            <w:tcW w:w="465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 (Loss)</w:t>
            </w:r>
          </w:p>
        </w:tc>
        <w:tc>
          <w:tcPr>
            <w:tcW w:w="109"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5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4,492</w:t>
            </w:r>
          </w:p>
        </w:tc>
        <w:tc>
          <w:tcPr>
            <w:tcW w:w="109"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5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(1,782)</w:t>
            </w:r>
          </w:p>
        </w:tc>
        <w:tc>
          <w:tcPr>
            <w:tcW w:w="109"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5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6,849</w:t>
            </w:r>
          </w:p>
        </w:tc>
        <w:tc>
          <w:tcPr>
            <w:tcW w:w="109"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0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(3,060)</w:t>
            </w:r>
          </w:p>
        </w:tc>
      </w:tr>
      <w:tr>
        <w:trPr/>
        <w:tc>
          <w:tcPr>
            <w:tcW w:w="465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109"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w:t>
            </w:r>
          </w:p>
        </w:tc>
        <w:tc>
          <w:tcPr>
            <w:tcW w:w="105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6,805</w:t>
            </w:r>
          </w:p>
        </w:tc>
        <w:tc>
          <w:tcPr>
            <w:tcW w:w="109"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w:t>
            </w:r>
          </w:p>
        </w:tc>
        <w:tc>
          <w:tcPr>
            <w:tcW w:w="105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6,705</w:t>
            </w:r>
          </w:p>
        </w:tc>
        <w:tc>
          <w:tcPr>
            <w:tcW w:w="109"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w:t>
            </w:r>
          </w:p>
        </w:tc>
        <w:tc>
          <w:tcPr>
            <w:tcW w:w="105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14,020</w:t>
            </w:r>
          </w:p>
        </w:tc>
        <w:tc>
          <w:tcPr>
            <w:tcW w:w="109"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w:t>
            </w:r>
          </w:p>
        </w:tc>
        <w:tc>
          <w:tcPr>
            <w:tcW w:w="110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14,012</w:t>
            </w:r>
          </w:p>
        </w:tc>
      </w:tr>
      <w:tr>
        <w:trPr/>
        <w:tc>
          <w:tcPr>
            <w:tcW w:w="465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Provision for Impairment</w:t>
            </w:r>
          </w:p>
        </w:tc>
        <w:tc>
          <w:tcPr>
            <w:tcW w:w="109"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w:t>
            </w:r>
          </w:p>
        </w:tc>
        <w:tc>
          <w:tcPr>
            <w:tcW w:w="105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377</w:t>
            </w:r>
          </w:p>
        </w:tc>
        <w:tc>
          <w:tcPr>
            <w:tcW w:w="109"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w:t>
            </w:r>
          </w:p>
        </w:tc>
        <w:tc>
          <w:tcPr>
            <w:tcW w:w="105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2,803</w:t>
            </w:r>
          </w:p>
        </w:tc>
        <w:tc>
          <w:tcPr>
            <w:tcW w:w="109"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w:t>
            </w:r>
          </w:p>
        </w:tc>
        <w:tc>
          <w:tcPr>
            <w:tcW w:w="105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885</w:t>
            </w:r>
          </w:p>
        </w:tc>
        <w:tc>
          <w:tcPr>
            <w:tcW w:w="109"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w:t>
            </w:r>
          </w:p>
        </w:tc>
        <w:tc>
          <w:tcPr>
            <w:tcW w:w="110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4,834</w:t>
            </w:r>
          </w:p>
        </w:tc>
      </w:tr>
      <w:tr>
        <w:trPr/>
        <w:tc>
          <w:tcPr>
            <w:tcW w:w="465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Gain on Disposition of Assets</w:t>
            </w:r>
          </w:p>
        </w:tc>
        <w:tc>
          <w:tcPr>
            <w:tcW w:w="109" w:type="dxa"/>
            <w:tcBorders/>
            <w:vAlign w:val="center"/>
          </w:tcPr>
          <w:p>
            <w:pPr>
              <w:pStyle w:val="TableContents"/>
              <w:bidi w:val="0"/>
              <w:spacing w:before="0" w:after="1"/>
              <w:ind w:left="0" w:right="0" w:hanging="0"/>
              <w:jc w:val="left"/>
              <w:rPr/>
            </w:pPr>
            <w:r>
              <w:rPr/>
              <w:t>​</w:t>
            </w:r>
          </w:p>
        </w:tc>
        <w:tc>
          <w:tcPr>
            <w:tcW w:w="21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53"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5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(938)</w:t>
            </w:r>
          </w:p>
        </w:tc>
        <w:tc>
          <w:tcPr>
            <w:tcW w:w="109" w:type="dxa"/>
            <w:tcBorders/>
            <w:vAlign w:val="center"/>
          </w:tcPr>
          <w:p>
            <w:pPr>
              <w:pStyle w:val="TableContents"/>
              <w:bidi w:val="0"/>
              <w:spacing w:before="0" w:after="1"/>
              <w:ind w:left="0" w:right="0" w:hanging="0"/>
              <w:jc w:val="left"/>
              <w:rPr/>
            </w:pPr>
            <w:r>
              <w:rPr/>
              <w:t>​</w:t>
            </w:r>
          </w:p>
        </w:tc>
        <w:tc>
          <w:tcPr>
            <w:tcW w:w="21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5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w:t>
            </w:r>
          </w:p>
        </w:tc>
        <w:tc>
          <w:tcPr>
            <w:tcW w:w="109" w:type="dxa"/>
            <w:tcBorders/>
            <w:vAlign w:val="center"/>
          </w:tcPr>
          <w:p>
            <w:pPr>
              <w:pStyle w:val="TableContents"/>
              <w:bidi w:val="0"/>
              <w:spacing w:before="0" w:after="1"/>
              <w:ind w:left="0" w:right="0" w:hanging="0"/>
              <w:jc w:val="left"/>
              <w:rPr/>
            </w:pPr>
            <w:r>
              <w:rPr/>
              <w:t>​</w:t>
            </w:r>
          </w:p>
        </w:tc>
        <w:tc>
          <w:tcPr>
            <w:tcW w:w="21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0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(2,089)</w:t>
            </w:r>
          </w:p>
        </w:tc>
      </w:tr>
      <w:tr>
        <w:trPr/>
        <w:tc>
          <w:tcPr>
            <w:tcW w:w="465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Funds From Operations</w:t>
            </w:r>
          </w:p>
        </w:tc>
        <w:tc>
          <w:tcPr>
            <w:tcW w:w="109"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5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11,674</w:t>
            </w:r>
          </w:p>
        </w:tc>
        <w:tc>
          <w:tcPr>
            <w:tcW w:w="109"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5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6,788</w:t>
            </w:r>
          </w:p>
        </w:tc>
        <w:tc>
          <w:tcPr>
            <w:tcW w:w="109"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5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21,657</w:t>
            </w:r>
          </w:p>
        </w:tc>
        <w:tc>
          <w:tcPr>
            <w:tcW w:w="109"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0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13,697</w:t>
            </w:r>
          </w:p>
        </w:tc>
      </w:tr>
      <w:tr>
        <w:trPr/>
        <w:tc>
          <w:tcPr>
            <w:tcW w:w="465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Distributions to Preferred Stockholders</w:t>
            </w:r>
          </w:p>
        </w:tc>
        <w:tc>
          <w:tcPr>
            <w:tcW w:w="109" w:type="dxa"/>
            <w:tcBorders/>
            <w:vAlign w:val="center"/>
          </w:tcPr>
          <w:p>
            <w:pPr>
              <w:pStyle w:val="TableContents"/>
              <w:bidi w:val="0"/>
              <w:spacing w:before="0" w:after="1"/>
              <w:ind w:left="0" w:right="0" w:hanging="0"/>
              <w:jc w:val="left"/>
              <w:rPr/>
            </w:pPr>
            <w:r>
              <w:rPr/>
              <w:t>​</w:t>
            </w:r>
          </w:p>
        </w:tc>
        <w:tc>
          <w:tcPr>
            <w:tcW w:w="21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5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(1,187)</w:t>
            </w:r>
          </w:p>
        </w:tc>
        <w:tc>
          <w:tcPr>
            <w:tcW w:w="109" w:type="dxa"/>
            <w:tcBorders/>
            <w:vAlign w:val="center"/>
          </w:tcPr>
          <w:p>
            <w:pPr>
              <w:pStyle w:val="TableContents"/>
              <w:bidi w:val="0"/>
              <w:spacing w:before="0" w:after="1"/>
              <w:ind w:left="0" w:right="0" w:hanging="0"/>
              <w:jc w:val="left"/>
              <w:rPr/>
            </w:pPr>
            <w:r>
              <w:rPr/>
              <w:t>​</w:t>
            </w:r>
          </w:p>
        </w:tc>
        <w:tc>
          <w:tcPr>
            <w:tcW w:w="21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53"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5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(2,309)</w:t>
            </w:r>
          </w:p>
        </w:tc>
        <w:tc>
          <w:tcPr>
            <w:tcW w:w="109" w:type="dxa"/>
            <w:tcBorders/>
            <w:vAlign w:val="center"/>
          </w:tcPr>
          <w:p>
            <w:pPr>
              <w:pStyle w:val="TableContents"/>
              <w:bidi w:val="0"/>
              <w:spacing w:before="0" w:after="1"/>
              <w:ind w:left="0" w:right="0" w:hanging="0"/>
              <w:jc w:val="left"/>
              <w:rPr/>
            </w:pPr>
            <w:r>
              <w:rPr/>
              <w:t>​</w:t>
            </w:r>
          </w:p>
        </w:tc>
        <w:tc>
          <w:tcPr>
            <w:tcW w:w="21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03"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465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Funds From Operations Attributable to Common Stockholders</w:t>
            </w:r>
          </w:p>
        </w:tc>
        <w:tc>
          <w:tcPr>
            <w:tcW w:w="109"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5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10,487</w:t>
            </w:r>
          </w:p>
        </w:tc>
        <w:tc>
          <w:tcPr>
            <w:tcW w:w="109"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5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6,788</w:t>
            </w:r>
          </w:p>
        </w:tc>
        <w:tc>
          <w:tcPr>
            <w:tcW w:w="109"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5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19,348</w:t>
            </w:r>
          </w:p>
        </w:tc>
        <w:tc>
          <w:tcPr>
            <w:tcW w:w="109"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0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13,697</w:t>
            </w:r>
          </w:p>
        </w:tc>
      </w:tr>
      <w:tr>
        <w:trPr/>
        <w:tc>
          <w:tcPr>
            <w:tcW w:w="465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Adjustments:</w:t>
            </w:r>
          </w:p>
        </w:tc>
        <w:tc>
          <w:tcPr>
            <w:tcW w:w="109"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w:t>
            </w:r>
          </w:p>
        </w:tc>
        <w:tc>
          <w:tcPr>
            <w:tcW w:w="1053"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w:t>
            </w:r>
          </w:p>
        </w:tc>
        <w:tc>
          <w:tcPr>
            <w:tcW w:w="1053"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w:t>
            </w:r>
          </w:p>
        </w:tc>
        <w:tc>
          <w:tcPr>
            <w:tcW w:w="1053"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w:t>
            </w:r>
          </w:p>
        </w:tc>
        <w:tc>
          <w:tcPr>
            <w:tcW w:w="1103" w:type="dxa"/>
            <w:tcBorders/>
            <w:vAlign w:val="center"/>
          </w:tcPr>
          <w:p>
            <w:pPr>
              <w:pStyle w:val="TableContents"/>
              <w:bidi w:val="0"/>
              <w:spacing w:before="0" w:after="1"/>
              <w:ind w:left="0" w:right="0" w:hanging="0"/>
              <w:jc w:val="right"/>
              <w:rPr/>
            </w:pPr>
            <w:r>
              <w:rPr/>
              <w:t>​</w:t>
            </w:r>
          </w:p>
        </w:tc>
      </w:tr>
      <w:tr>
        <w:trPr/>
        <w:tc>
          <w:tcPr>
            <w:tcW w:w="465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Amortization of Intangible Assets and Liabilities to Lease Income</w:t>
            </w:r>
          </w:p>
        </w:tc>
        <w:tc>
          <w:tcPr>
            <w:tcW w:w="109"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w:t>
            </w:r>
          </w:p>
        </w:tc>
        <w:tc>
          <w:tcPr>
            <w:tcW w:w="105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(241)</w:t>
            </w:r>
          </w:p>
        </w:tc>
        <w:tc>
          <w:tcPr>
            <w:tcW w:w="109"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w:t>
            </w:r>
          </w:p>
        </w:tc>
        <w:tc>
          <w:tcPr>
            <w:tcW w:w="105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(166)</w:t>
            </w:r>
          </w:p>
        </w:tc>
        <w:tc>
          <w:tcPr>
            <w:tcW w:w="109"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w:t>
            </w:r>
          </w:p>
        </w:tc>
        <w:tc>
          <w:tcPr>
            <w:tcW w:w="105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(477)</w:t>
            </w:r>
          </w:p>
        </w:tc>
        <w:tc>
          <w:tcPr>
            <w:tcW w:w="109" w:type="dxa"/>
            <w:tcBorders/>
            <w:shd w:fill="CCEEFF" w:val="clear"/>
            <w:vAlign w:val="center"/>
          </w:tcPr>
          <w:p>
            <w:pPr>
              <w:pStyle w:val="TableContents"/>
              <w:bidi w:val="0"/>
              <w:spacing w:before="0" w:after="1"/>
              <w:ind w:left="0" w:right="0" w:hanging="0"/>
              <w:jc w:val="right"/>
              <w:rPr/>
            </w:pPr>
            <w:r>
              <w:rPr/>
              <w:t>​</w:t>
            </w:r>
          </w:p>
        </w:tc>
        <w:tc>
          <w:tcPr>
            <w:tcW w:w="213" w:type="dxa"/>
            <w:tcBorders/>
            <w:shd w:fill="CCEEFF" w:val="clear"/>
            <w:vAlign w:val="center"/>
          </w:tcPr>
          <w:p>
            <w:pPr>
              <w:pStyle w:val="TableContents"/>
              <w:bidi w:val="0"/>
              <w:spacing w:before="0" w:after="1"/>
              <w:ind w:left="0" w:right="0" w:hanging="0"/>
              <w:jc w:val="right"/>
              <w:rPr/>
            </w:pPr>
            <w:r>
              <w:rPr/>
              <w:t>​</w:t>
            </w:r>
          </w:p>
        </w:tc>
        <w:tc>
          <w:tcPr>
            <w:tcW w:w="110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(246)</w:t>
            </w:r>
          </w:p>
        </w:tc>
      </w:tr>
      <w:tr>
        <w:trPr/>
        <w:tc>
          <w:tcPr>
            <w:tcW w:w="465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Straight-Line Rent Adjustment</w:t>
            </w:r>
          </w:p>
        </w:tc>
        <w:tc>
          <w:tcPr>
            <w:tcW w:w="109"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w:t>
            </w:r>
          </w:p>
        </w:tc>
        <w:tc>
          <w:tcPr>
            <w:tcW w:w="105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(160)</w:t>
            </w:r>
          </w:p>
        </w:tc>
        <w:tc>
          <w:tcPr>
            <w:tcW w:w="109"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w:t>
            </w:r>
          </w:p>
        </w:tc>
        <w:tc>
          <w:tcPr>
            <w:tcW w:w="105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(231)</w:t>
            </w:r>
          </w:p>
        </w:tc>
        <w:tc>
          <w:tcPr>
            <w:tcW w:w="109"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w:t>
            </w:r>
          </w:p>
        </w:tc>
        <w:tc>
          <w:tcPr>
            <w:tcW w:w="105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(317)</w:t>
            </w:r>
          </w:p>
        </w:tc>
        <w:tc>
          <w:tcPr>
            <w:tcW w:w="109" w:type="dxa"/>
            <w:tcBorders/>
            <w:vAlign w:val="center"/>
          </w:tcPr>
          <w:p>
            <w:pPr>
              <w:pStyle w:val="TableContents"/>
              <w:bidi w:val="0"/>
              <w:spacing w:before="0" w:after="1"/>
              <w:ind w:left="0" w:right="0" w:hanging="0"/>
              <w:jc w:val="right"/>
              <w:rPr/>
            </w:pPr>
            <w:r>
              <w:rPr/>
              <w:t>​</w:t>
            </w:r>
          </w:p>
        </w:tc>
        <w:tc>
          <w:tcPr>
            <w:tcW w:w="213" w:type="dxa"/>
            <w:tcBorders/>
            <w:vAlign w:val="center"/>
          </w:tcPr>
          <w:p>
            <w:pPr>
              <w:pStyle w:val="TableContents"/>
              <w:bidi w:val="0"/>
              <w:spacing w:before="0" w:after="1"/>
              <w:ind w:left="0" w:right="0" w:hanging="0"/>
              <w:jc w:val="right"/>
              <w:rPr/>
            </w:pPr>
            <w:r>
              <w:rPr/>
              <w:t>​</w:t>
            </w:r>
          </w:p>
        </w:tc>
        <w:tc>
          <w:tcPr>
            <w:tcW w:w="110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(362)</w:t>
            </w:r>
          </w:p>
        </w:tc>
      </w:tr>
      <w:tr>
        <w:trPr/>
        <w:tc>
          <w:tcPr>
            <w:tcW w:w="465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Non-Cash Compensation</w:t>
            </w:r>
          </w:p>
        </w:tc>
        <w:tc>
          <w:tcPr>
            <w:tcW w:w="109"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w:t>
            </w:r>
          </w:p>
        </w:tc>
        <w:tc>
          <w:tcPr>
            <w:tcW w:w="105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95</w:t>
            </w:r>
          </w:p>
        </w:tc>
        <w:tc>
          <w:tcPr>
            <w:tcW w:w="109"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w:t>
            </w:r>
          </w:p>
        </w:tc>
        <w:tc>
          <w:tcPr>
            <w:tcW w:w="105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95</w:t>
            </w:r>
          </w:p>
        </w:tc>
        <w:tc>
          <w:tcPr>
            <w:tcW w:w="109"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w:t>
            </w:r>
          </w:p>
        </w:tc>
        <w:tc>
          <w:tcPr>
            <w:tcW w:w="105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190</w:t>
            </w:r>
          </w:p>
        </w:tc>
        <w:tc>
          <w:tcPr>
            <w:tcW w:w="109" w:type="dxa"/>
            <w:tcBorders/>
            <w:shd w:fill="CCEEFF" w:val="clear"/>
            <w:vAlign w:val="center"/>
          </w:tcPr>
          <w:p>
            <w:pPr>
              <w:pStyle w:val="TableContents"/>
              <w:bidi w:val="0"/>
              <w:spacing w:before="0" w:after="1"/>
              <w:ind w:left="0" w:right="0" w:hanging="0"/>
              <w:jc w:val="right"/>
              <w:rPr/>
            </w:pPr>
            <w:r>
              <w:rPr/>
              <w:t>​</w:t>
            </w:r>
          </w:p>
        </w:tc>
        <w:tc>
          <w:tcPr>
            <w:tcW w:w="213" w:type="dxa"/>
            <w:tcBorders/>
            <w:shd w:fill="CCEEFF" w:val="clear"/>
            <w:vAlign w:val="center"/>
          </w:tcPr>
          <w:p>
            <w:pPr>
              <w:pStyle w:val="TableContents"/>
              <w:bidi w:val="0"/>
              <w:spacing w:before="0" w:after="1"/>
              <w:ind w:left="0" w:right="0" w:hanging="0"/>
              <w:jc w:val="right"/>
              <w:rPr/>
            </w:pPr>
            <w:r>
              <w:rPr/>
              <w:t>​</w:t>
            </w:r>
          </w:p>
        </w:tc>
        <w:tc>
          <w:tcPr>
            <w:tcW w:w="110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190</w:t>
            </w:r>
          </w:p>
        </w:tc>
      </w:tr>
      <w:tr>
        <w:trPr/>
        <w:tc>
          <w:tcPr>
            <w:tcW w:w="465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Amortization of Deferred Financing Costs to Interest Expense</w:t>
            </w:r>
          </w:p>
        </w:tc>
        <w:tc>
          <w:tcPr>
            <w:tcW w:w="109"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w:t>
            </w:r>
          </w:p>
        </w:tc>
        <w:tc>
          <w:tcPr>
            <w:tcW w:w="105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303</w:t>
            </w:r>
          </w:p>
        </w:tc>
        <w:tc>
          <w:tcPr>
            <w:tcW w:w="109"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w:t>
            </w:r>
          </w:p>
        </w:tc>
        <w:tc>
          <w:tcPr>
            <w:tcW w:w="105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205</w:t>
            </w:r>
          </w:p>
        </w:tc>
        <w:tc>
          <w:tcPr>
            <w:tcW w:w="109"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w:t>
            </w:r>
          </w:p>
        </w:tc>
        <w:tc>
          <w:tcPr>
            <w:tcW w:w="105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568</w:t>
            </w:r>
          </w:p>
        </w:tc>
        <w:tc>
          <w:tcPr>
            <w:tcW w:w="109" w:type="dxa"/>
            <w:tcBorders/>
            <w:vAlign w:val="center"/>
          </w:tcPr>
          <w:p>
            <w:pPr>
              <w:pStyle w:val="TableContents"/>
              <w:bidi w:val="0"/>
              <w:spacing w:before="0" w:after="1"/>
              <w:ind w:left="0" w:right="0" w:hanging="0"/>
              <w:jc w:val="right"/>
              <w:rPr/>
            </w:pPr>
            <w:r>
              <w:rPr/>
              <w:t>​</w:t>
            </w:r>
          </w:p>
        </w:tc>
        <w:tc>
          <w:tcPr>
            <w:tcW w:w="213" w:type="dxa"/>
            <w:tcBorders/>
            <w:vAlign w:val="center"/>
          </w:tcPr>
          <w:p>
            <w:pPr>
              <w:pStyle w:val="TableContents"/>
              <w:bidi w:val="0"/>
              <w:spacing w:before="0" w:after="1"/>
              <w:ind w:left="0" w:right="0" w:hanging="0"/>
              <w:jc w:val="right"/>
              <w:rPr/>
            </w:pPr>
            <w:r>
              <w:rPr/>
              <w:t>​</w:t>
            </w:r>
          </w:p>
        </w:tc>
        <w:tc>
          <w:tcPr>
            <w:tcW w:w="110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394</w:t>
            </w:r>
          </w:p>
        </w:tc>
      </w:tr>
      <w:tr>
        <w:trPr/>
        <w:tc>
          <w:tcPr>
            <w:tcW w:w="465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Non-Cash Adjustments</w:t>
            </w:r>
          </w:p>
        </w:tc>
        <w:tc>
          <w:tcPr>
            <w:tcW w:w="109" w:type="dxa"/>
            <w:tcBorders/>
            <w:shd w:fill="CCEEFF" w:val="clear"/>
            <w:vAlign w:val="center"/>
          </w:tcPr>
          <w:p>
            <w:pPr>
              <w:pStyle w:val="TableContents"/>
              <w:bidi w:val="0"/>
              <w:spacing w:before="0" w:after="1"/>
              <w:ind w:left="0" w:right="0" w:hanging="0"/>
              <w:jc w:val="left"/>
              <w:rPr/>
            </w:pPr>
            <w:r>
              <w:rPr/>
              <w:t>​</w:t>
            </w:r>
          </w:p>
        </w:tc>
        <w:tc>
          <w:tcPr>
            <w:tcW w:w="21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5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w:t>
            </w:r>
          </w:p>
        </w:tc>
        <w:tc>
          <w:tcPr>
            <w:tcW w:w="109" w:type="dxa"/>
            <w:tcBorders/>
            <w:shd w:fill="CCEEFF" w:val="clear"/>
            <w:vAlign w:val="center"/>
          </w:tcPr>
          <w:p>
            <w:pPr>
              <w:pStyle w:val="TableContents"/>
              <w:bidi w:val="0"/>
              <w:spacing w:before="0" w:after="1"/>
              <w:ind w:left="0" w:right="0" w:hanging="0"/>
              <w:jc w:val="left"/>
              <w:rPr/>
            </w:pPr>
            <w:r>
              <w:rPr/>
              <w:t>​</w:t>
            </w:r>
          </w:p>
        </w:tc>
        <w:tc>
          <w:tcPr>
            <w:tcW w:w="21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5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w:t>
            </w:r>
          </w:p>
        </w:tc>
        <w:tc>
          <w:tcPr>
            <w:tcW w:w="109" w:type="dxa"/>
            <w:tcBorders/>
            <w:shd w:fill="CCEEFF" w:val="clear"/>
            <w:vAlign w:val="center"/>
          </w:tcPr>
          <w:p>
            <w:pPr>
              <w:pStyle w:val="TableContents"/>
              <w:bidi w:val="0"/>
              <w:spacing w:before="0" w:after="1"/>
              <w:ind w:left="0" w:right="0" w:hanging="0"/>
              <w:jc w:val="left"/>
              <w:rPr/>
            </w:pPr>
            <w:r>
              <w:rPr/>
              <w:t>​</w:t>
            </w:r>
          </w:p>
        </w:tc>
        <w:tc>
          <w:tcPr>
            <w:tcW w:w="21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5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151</w:t>
            </w:r>
          </w:p>
        </w:tc>
        <w:tc>
          <w:tcPr>
            <w:tcW w:w="109" w:type="dxa"/>
            <w:tcBorders/>
            <w:shd w:fill="CCEEFF" w:val="clear"/>
            <w:vAlign w:val="center"/>
          </w:tcPr>
          <w:p>
            <w:pPr>
              <w:pStyle w:val="TableContents"/>
              <w:bidi w:val="0"/>
              <w:spacing w:before="0" w:after="1"/>
              <w:ind w:left="0" w:right="0" w:hanging="0"/>
              <w:jc w:val="left"/>
              <w:rPr/>
            </w:pPr>
            <w:r>
              <w:rPr/>
              <w:t>​</w:t>
            </w:r>
          </w:p>
        </w:tc>
        <w:tc>
          <w:tcPr>
            <w:tcW w:w="21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10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108</w:t>
            </w:r>
          </w:p>
        </w:tc>
      </w:tr>
      <w:tr>
        <w:trPr/>
        <w:tc>
          <w:tcPr>
            <w:tcW w:w="465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Adjusted Funds From Operations Attributable to Common Stockholders</w:t>
            </w:r>
          </w:p>
        </w:tc>
        <w:tc>
          <w:tcPr>
            <w:tcW w:w="109" w:type="dxa"/>
            <w:tcBorders/>
            <w:vAlign w:val="center"/>
          </w:tcPr>
          <w:p>
            <w:pPr>
              <w:pStyle w:val="TableContents"/>
              <w:bidi w:val="0"/>
              <w:spacing w:before="0" w:after="1"/>
              <w:ind w:left="0" w:right="0" w:hanging="0"/>
              <w:jc w:val="left"/>
              <w:rPr/>
            </w:pPr>
            <w:r>
              <w:rPr/>
              <w:t>​</w:t>
            </w:r>
          </w:p>
        </w:tc>
        <w:tc>
          <w:tcPr>
            <w:tcW w:w="213"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5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10,557</w:t>
            </w:r>
          </w:p>
        </w:tc>
        <w:tc>
          <w:tcPr>
            <w:tcW w:w="109" w:type="dxa"/>
            <w:tcBorders/>
            <w:vAlign w:val="center"/>
          </w:tcPr>
          <w:p>
            <w:pPr>
              <w:pStyle w:val="TableContents"/>
              <w:bidi w:val="0"/>
              <w:spacing w:before="0" w:after="1"/>
              <w:ind w:left="0" w:right="0" w:hanging="0"/>
              <w:jc w:val="left"/>
              <w:rPr/>
            </w:pPr>
            <w:r>
              <w:rPr/>
              <w:t>​</w:t>
            </w:r>
          </w:p>
        </w:tc>
        <w:tc>
          <w:tcPr>
            <w:tcW w:w="213"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5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6,742</w:t>
            </w:r>
          </w:p>
        </w:tc>
        <w:tc>
          <w:tcPr>
            <w:tcW w:w="109" w:type="dxa"/>
            <w:tcBorders/>
            <w:vAlign w:val="center"/>
          </w:tcPr>
          <w:p>
            <w:pPr>
              <w:pStyle w:val="TableContents"/>
              <w:bidi w:val="0"/>
              <w:spacing w:before="0" w:after="1"/>
              <w:ind w:left="0" w:right="0" w:hanging="0"/>
              <w:jc w:val="left"/>
              <w:rPr/>
            </w:pPr>
            <w:r>
              <w:rPr/>
              <w:t>​</w:t>
            </w:r>
          </w:p>
        </w:tc>
        <w:tc>
          <w:tcPr>
            <w:tcW w:w="213"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5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19,463</w:t>
            </w:r>
          </w:p>
        </w:tc>
        <w:tc>
          <w:tcPr>
            <w:tcW w:w="109" w:type="dxa"/>
            <w:tcBorders/>
            <w:vAlign w:val="center"/>
          </w:tcPr>
          <w:p>
            <w:pPr>
              <w:pStyle w:val="TableContents"/>
              <w:bidi w:val="0"/>
              <w:spacing w:before="0" w:after="1"/>
              <w:ind w:left="0" w:right="0" w:hanging="0"/>
              <w:jc w:val="left"/>
              <w:rPr/>
            </w:pPr>
            <w:r>
              <w:rPr/>
              <w:t>​</w:t>
            </w:r>
          </w:p>
        </w:tc>
        <w:tc>
          <w:tcPr>
            <w:tcW w:w="213"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0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13,781</w:t>
            </w:r>
          </w:p>
        </w:tc>
      </w:tr>
      <w:tr>
        <w:trPr/>
        <w:tc>
          <w:tcPr>
            <w:tcW w:w="4655"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w:t>
            </w:r>
          </w:p>
        </w:tc>
        <w:tc>
          <w:tcPr>
            <w:tcW w:w="1053"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w:t>
            </w:r>
          </w:p>
        </w:tc>
        <w:tc>
          <w:tcPr>
            <w:tcW w:w="1053"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w:t>
            </w:r>
          </w:p>
        </w:tc>
        <w:tc>
          <w:tcPr>
            <w:tcW w:w="1053"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w:t>
            </w:r>
          </w:p>
        </w:tc>
        <w:tc>
          <w:tcPr>
            <w:tcW w:w="1103" w:type="dxa"/>
            <w:tcBorders/>
            <w:shd w:fill="CCEEFF" w:val="clear"/>
            <w:vAlign w:val="center"/>
          </w:tcPr>
          <w:p>
            <w:pPr>
              <w:pStyle w:val="TableContents"/>
              <w:bidi w:val="0"/>
              <w:spacing w:before="0" w:after="1"/>
              <w:ind w:left="0" w:right="0" w:hanging="0"/>
              <w:jc w:val="left"/>
              <w:rPr/>
            </w:pPr>
            <w:r>
              <w:rPr/>
              <w:t>​</w:t>
            </w:r>
          </w:p>
        </w:tc>
      </w:tr>
      <w:tr>
        <w:trPr/>
        <w:tc>
          <w:tcPr>
            <w:tcW w:w="465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Weighted Average Number of Common Shares:</w:t>
            </w:r>
          </w:p>
        </w:tc>
        <w:tc>
          <w:tcPr>
            <w:tcW w:w="109"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w:t>
            </w:r>
          </w:p>
        </w:tc>
        <w:tc>
          <w:tcPr>
            <w:tcW w:w="1053"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w:t>
            </w:r>
          </w:p>
        </w:tc>
        <w:tc>
          <w:tcPr>
            <w:tcW w:w="1053"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w:t>
            </w:r>
          </w:p>
        </w:tc>
        <w:tc>
          <w:tcPr>
            <w:tcW w:w="1053"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w:t>
            </w:r>
          </w:p>
        </w:tc>
        <w:tc>
          <w:tcPr>
            <w:tcW w:w="1103" w:type="dxa"/>
            <w:tcBorders/>
            <w:vAlign w:val="center"/>
          </w:tcPr>
          <w:p>
            <w:pPr>
              <w:pStyle w:val="TableContents"/>
              <w:bidi w:val="0"/>
              <w:spacing w:before="0" w:after="1"/>
              <w:ind w:left="0" w:right="0" w:hanging="0"/>
              <w:jc w:val="right"/>
              <w:rPr/>
            </w:pPr>
            <w:r>
              <w:rPr/>
              <w:t>​</w:t>
            </w:r>
          </w:p>
        </w:tc>
      </w:tr>
      <w:tr>
        <w:trPr/>
        <w:tc>
          <w:tcPr>
            <w:tcW w:w="465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Basic</w:t>
            </w:r>
          </w:p>
        </w:tc>
        <w:tc>
          <w:tcPr>
            <w:tcW w:w="109"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w:t>
            </w:r>
          </w:p>
        </w:tc>
        <w:tc>
          <w:tcPr>
            <w:tcW w:w="105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17,066,917</w:t>
            </w:r>
          </w:p>
        </w:tc>
        <w:tc>
          <w:tcPr>
            <w:tcW w:w="109"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w:t>
            </w:r>
          </w:p>
        </w:tc>
        <w:tc>
          <w:tcPr>
            <w:tcW w:w="105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14,202,796</w:t>
            </w:r>
          </w:p>
        </w:tc>
        <w:tc>
          <w:tcPr>
            <w:tcW w:w="109"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w:t>
            </w:r>
          </w:p>
        </w:tc>
        <w:tc>
          <w:tcPr>
            <w:tcW w:w="105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16,310,036</w:t>
            </w:r>
          </w:p>
        </w:tc>
        <w:tc>
          <w:tcPr>
            <w:tcW w:w="109"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w:t>
            </w:r>
          </w:p>
        </w:tc>
        <w:tc>
          <w:tcPr>
            <w:tcW w:w="110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14,414,682</w:t>
            </w:r>
          </w:p>
        </w:tc>
      </w:tr>
      <w:tr>
        <w:trPr/>
        <w:tc>
          <w:tcPr>
            <w:tcW w:w="465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Diluted</w:t>
            </w:r>
          </w:p>
        </w:tc>
        <w:tc>
          <w:tcPr>
            <w:tcW w:w="109"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w:t>
            </w:r>
          </w:p>
        </w:tc>
        <w:tc>
          <w:tcPr>
            <w:tcW w:w="105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18,290,771</w:t>
            </w:r>
          </w:p>
        </w:tc>
        <w:tc>
          <w:tcPr>
            <w:tcW w:w="109"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w:t>
            </w:r>
          </w:p>
        </w:tc>
        <w:tc>
          <w:tcPr>
            <w:tcW w:w="105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15,426,650</w:t>
            </w:r>
          </w:p>
        </w:tc>
        <w:tc>
          <w:tcPr>
            <w:tcW w:w="109"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w:t>
            </w:r>
          </w:p>
        </w:tc>
        <w:tc>
          <w:tcPr>
            <w:tcW w:w="105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17,533,890</w:t>
            </w:r>
          </w:p>
        </w:tc>
        <w:tc>
          <w:tcPr>
            <w:tcW w:w="109"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w:t>
            </w:r>
          </w:p>
        </w:tc>
        <w:tc>
          <w:tcPr>
            <w:tcW w:w="110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15,638,536</w:t>
            </w:r>
          </w:p>
        </w:tc>
      </w:tr>
      <w:tr>
        <w:trPr/>
        <w:tc>
          <w:tcPr>
            <w:tcW w:w="4655"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w:t>
            </w:r>
          </w:p>
        </w:tc>
        <w:tc>
          <w:tcPr>
            <w:tcW w:w="1053"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w:t>
            </w:r>
          </w:p>
        </w:tc>
        <w:tc>
          <w:tcPr>
            <w:tcW w:w="1053"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w:t>
            </w:r>
          </w:p>
        </w:tc>
        <w:tc>
          <w:tcPr>
            <w:tcW w:w="1053"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w:t>
            </w:r>
          </w:p>
        </w:tc>
        <w:tc>
          <w:tcPr>
            <w:tcW w:w="1103" w:type="dxa"/>
            <w:tcBorders/>
            <w:shd w:fill="CCEEFF" w:val="clear"/>
            <w:vAlign w:val="center"/>
          </w:tcPr>
          <w:p>
            <w:pPr>
              <w:pStyle w:val="TableContents"/>
              <w:bidi w:val="0"/>
              <w:spacing w:before="0" w:after="1"/>
              <w:ind w:left="0" w:right="0" w:hanging="0"/>
              <w:jc w:val="left"/>
              <w:rPr/>
            </w:pPr>
            <w:r>
              <w:rPr/>
              <w:t>​</w:t>
            </w:r>
          </w:p>
        </w:tc>
      </w:tr>
      <w:tr>
        <w:trPr/>
        <w:tc>
          <w:tcPr>
            <w:tcW w:w="465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Supplemental Disclosure: </w:t>
            </w:r>
          </w:p>
        </w:tc>
        <w:tc>
          <w:tcPr>
            <w:tcW w:w="109"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right"/>
              <w:rPr/>
            </w:pPr>
            <w:r>
              <w:rPr/>
              <w:t>​</w:t>
            </w:r>
          </w:p>
        </w:tc>
        <w:tc>
          <w:tcPr>
            <w:tcW w:w="1053"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right"/>
              <w:rPr/>
            </w:pPr>
            <w:r>
              <w:rPr/>
              <w:t>​</w:t>
            </w:r>
          </w:p>
        </w:tc>
        <w:tc>
          <w:tcPr>
            <w:tcW w:w="1053"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right"/>
              <w:rPr/>
            </w:pPr>
            <w:r>
              <w:rPr/>
              <w:t>​</w:t>
            </w:r>
          </w:p>
        </w:tc>
        <w:tc>
          <w:tcPr>
            <w:tcW w:w="1053"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right"/>
              <w:rPr/>
            </w:pPr>
            <w:r>
              <w:rPr/>
              <w:t>​</w:t>
            </w:r>
          </w:p>
        </w:tc>
        <w:tc>
          <w:tcPr>
            <w:tcW w:w="1103" w:type="dxa"/>
            <w:tcBorders/>
            <w:vAlign w:val="center"/>
          </w:tcPr>
          <w:p>
            <w:pPr>
              <w:pStyle w:val="TableContents"/>
              <w:bidi w:val="0"/>
              <w:spacing w:before="0" w:after="1"/>
              <w:ind w:left="0" w:right="0" w:hanging="0"/>
              <w:jc w:val="left"/>
              <w:rPr/>
            </w:pPr>
            <w:r>
              <w:rPr/>
              <w:t>​</w:t>
            </w:r>
          </w:p>
        </w:tc>
      </w:tr>
      <w:tr>
        <w:trPr/>
        <w:tc>
          <w:tcPr>
            <w:tcW w:w="465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PIK Interest Earned</w:t>
            </w:r>
          </w:p>
        </w:tc>
        <w:tc>
          <w:tcPr>
            <w:tcW w:w="109"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5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879</w:t>
            </w:r>
          </w:p>
        </w:tc>
        <w:tc>
          <w:tcPr>
            <w:tcW w:w="109"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53"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5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1,473</w:t>
            </w:r>
          </w:p>
        </w:tc>
        <w:tc>
          <w:tcPr>
            <w:tcW w:w="109"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03" w:type="dxa"/>
            <w:tcBorders/>
            <w:shd w:fill="CCEEFF" w:val="clear"/>
            <w:vAlign w:val="center"/>
          </w:tcPr>
          <w:p>
            <w:pPr>
              <w:pStyle w:val="TableContents"/>
              <w:bidi w:val="0"/>
              <w:spacing w:before="0" w:after="1"/>
              <w:ind w:left="0" w:right="0" w:hanging="0"/>
              <w:jc w:val="right"/>
              <w:rPr/>
            </w:pPr>
            <w:r>
              <w:rPr/>
              <w:t>—</w:t>
            </w:r>
          </w:p>
        </w:tc>
      </w:tr>
      <w:tr>
        <w:trPr/>
        <w:tc>
          <w:tcPr>
            <w:tcW w:w="465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PIK Interest Paid</w:t>
            </w:r>
          </w:p>
        </w:tc>
        <w:tc>
          <w:tcPr>
            <w:tcW w:w="109" w:type="dxa"/>
            <w:tcBorders/>
            <w:vAlign w:val="center"/>
          </w:tcPr>
          <w:p>
            <w:pPr>
              <w:pStyle w:val="TableContents"/>
              <w:bidi w:val="0"/>
              <w:spacing w:before="0" w:after="1"/>
              <w:ind w:left="0" w:right="0" w:hanging="0"/>
              <w:jc w:val="left"/>
              <w:rPr/>
            </w:pPr>
            <w:r>
              <w:rPr/>
              <w:t>​</w:t>
            </w:r>
          </w:p>
        </w:tc>
        <w:tc>
          <w:tcPr>
            <w:tcW w:w="21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53"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53"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5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w:t>
            </w:r>
          </w:p>
        </w:tc>
        <w:tc>
          <w:tcPr>
            <w:tcW w:w="109" w:type="dxa"/>
            <w:tcBorders/>
            <w:vAlign w:val="center"/>
          </w:tcPr>
          <w:p>
            <w:pPr>
              <w:pStyle w:val="TableContents"/>
              <w:bidi w:val="0"/>
              <w:spacing w:before="0" w:after="1"/>
              <w:ind w:left="0" w:right="0" w:hanging="0"/>
              <w:jc w:val="left"/>
              <w:rPr/>
            </w:pPr>
            <w:r>
              <w:rPr/>
              <w:t>​</w:t>
            </w:r>
          </w:p>
        </w:tc>
        <w:tc>
          <w:tcPr>
            <w:tcW w:w="21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03"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465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PIK Interest Earned in Excess of Cash Paid</w:t>
            </w:r>
          </w:p>
        </w:tc>
        <w:tc>
          <w:tcPr>
            <w:tcW w:w="109" w:type="dxa"/>
            <w:tcBorders/>
            <w:shd w:fill="CCEEFF" w:val="clear"/>
            <w:vAlign w:val="center"/>
          </w:tcPr>
          <w:p>
            <w:pPr>
              <w:pStyle w:val="TableContents"/>
              <w:bidi w:val="0"/>
              <w:spacing w:before="0" w:after="1"/>
              <w:ind w:left="0" w:right="0" w:hanging="0"/>
              <w:jc w:val="left"/>
              <w:rPr/>
            </w:pPr>
            <w:r>
              <w:rPr/>
              <w:t>​</w:t>
            </w:r>
          </w:p>
        </w:tc>
        <w:tc>
          <w:tcPr>
            <w:tcW w:w="21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5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879</w:t>
            </w:r>
          </w:p>
        </w:tc>
        <w:tc>
          <w:tcPr>
            <w:tcW w:w="109" w:type="dxa"/>
            <w:tcBorders/>
            <w:shd w:fill="CCEEFF" w:val="clear"/>
            <w:vAlign w:val="center"/>
          </w:tcPr>
          <w:p>
            <w:pPr>
              <w:pStyle w:val="TableContents"/>
              <w:bidi w:val="0"/>
              <w:spacing w:before="0" w:after="1"/>
              <w:ind w:left="0" w:right="0" w:hanging="0"/>
              <w:jc w:val="left"/>
              <w:rPr/>
            </w:pPr>
            <w:r>
              <w:rPr/>
              <w:t>​</w:t>
            </w:r>
          </w:p>
        </w:tc>
        <w:tc>
          <w:tcPr>
            <w:tcW w:w="21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5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5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1,423</w:t>
            </w:r>
          </w:p>
        </w:tc>
        <w:tc>
          <w:tcPr>
            <w:tcW w:w="109" w:type="dxa"/>
            <w:tcBorders/>
            <w:shd w:fill="CCEEFF" w:val="clear"/>
            <w:vAlign w:val="center"/>
          </w:tcPr>
          <w:p>
            <w:pPr>
              <w:pStyle w:val="TableContents"/>
              <w:bidi w:val="0"/>
              <w:spacing w:before="0" w:after="1"/>
              <w:ind w:left="0" w:right="0" w:hanging="0"/>
              <w:jc w:val="left"/>
              <w:rPr/>
            </w:pPr>
            <w:r>
              <w:rPr/>
              <w:t>​</w:t>
            </w:r>
          </w:p>
        </w:tc>
        <w:tc>
          <w:tcPr>
            <w:tcW w:w="21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03"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pPr>
            <w:r>
              <w:rPr/>
              <w:t>—</w:t>
            </w:r>
          </w:p>
        </w:tc>
      </w:tr>
    </w:tbl>
    <w:p>
      <w:pPr>
        <w:pStyle w:val="TextBody"/>
        <w:bidi w:val="0"/>
        <w:spacing w:before="240" w:after="240"/>
        <w:ind w:left="0" w:right="0" w:hanging="0"/>
        <w:jc w:val="both"/>
        <w:rPr>
          <w:rFonts w:ascii="Times New Roman;Times;serif" w:hAnsi="Times New Roman;Times;serif"/>
          <w:b/>
          <w:sz w:val="20"/>
        </w:rPr>
      </w:pPr>
      <w:r>
        <w:rPr>
          <w:rFonts w:ascii="Times New Roman;Times;serif" w:hAnsi="Times New Roman;Times;serif"/>
          <w:b/>
          <w:sz w:val="20"/>
        </w:rPr>
        <w:t>Other Data (in thousands, except per share data):</w:t>
      </w:r>
    </w:p>
    <w:tbl>
      <w:tblPr>
        <w:tblW w:w="10205" w:type="dxa"/>
        <w:jc w:val="left"/>
        <w:tblInd w:w="0" w:type="dxa"/>
        <w:tblLayout w:type="fixed"/>
        <w:tblCellMar>
          <w:top w:w="0" w:type="dxa"/>
          <w:left w:w="0" w:type="dxa"/>
          <w:bottom w:w="0" w:type="dxa"/>
          <w:right w:w="0" w:type="dxa"/>
        </w:tblCellMar>
      </w:tblPr>
      <w:tblGrid>
        <w:gridCol w:w="4787"/>
        <w:gridCol w:w="109"/>
        <w:gridCol w:w="292"/>
        <w:gridCol w:w="942"/>
        <w:gridCol w:w="114"/>
        <w:gridCol w:w="330"/>
        <w:gridCol w:w="896"/>
        <w:gridCol w:w="109"/>
        <w:gridCol w:w="293"/>
        <w:gridCol w:w="941"/>
        <w:gridCol w:w="109"/>
        <w:gridCol w:w="289"/>
        <w:gridCol w:w="994"/>
      </w:tblGrid>
      <w:tr>
        <w:trPr/>
        <w:tc>
          <w:tcPr>
            <w:tcW w:w="4787"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6">
                      <wp:simplePos x="0" y="0"/>
                      <wp:positionH relativeFrom="character">
                        <wp:align>left</wp:align>
                      </wp:positionH>
                      <wp:positionV relativeFrom="line">
                        <wp:posOffset>635</wp:posOffset>
                      </wp:positionV>
                      <wp:extent cx="69215" cy="175260"/>
                      <wp:effectExtent l="0" t="0" r="0" b="0"/>
                      <wp:wrapNone/>
                      <wp:docPr id="455" name="Frame45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7">
                      <wp:simplePos x="0" y="0"/>
                      <wp:positionH relativeFrom="character">
                        <wp:align>left</wp:align>
                      </wp:positionH>
                      <wp:positionV relativeFrom="line">
                        <wp:posOffset>635</wp:posOffset>
                      </wp:positionV>
                      <wp:extent cx="185420" cy="175260"/>
                      <wp:effectExtent l="0" t="0" r="0" b="0"/>
                      <wp:wrapNone/>
                      <wp:docPr id="456" name="Frame456"/>
                      <a:graphic xmlns:a="http://schemas.openxmlformats.org/drawingml/2006/main">
                        <a:graphicData uri="http://schemas.microsoft.com/office/word/2010/wordprocessingShape">
                          <wps:wsp>
                            <wps:cNvSpPr txBox="1"/>
                            <wps:spPr>
                              <a:xfrm>
                                <a:off x="0" y="0"/>
                                <a:ext cx="1854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8">
                      <wp:simplePos x="0" y="0"/>
                      <wp:positionH relativeFrom="character">
                        <wp:align>left</wp:align>
                      </wp:positionH>
                      <wp:positionV relativeFrom="line">
                        <wp:posOffset>635</wp:posOffset>
                      </wp:positionV>
                      <wp:extent cx="598170" cy="175260"/>
                      <wp:effectExtent l="0" t="0" r="0" b="0"/>
                      <wp:wrapNone/>
                      <wp:docPr id="457" name="Frame457"/>
                      <a:graphic xmlns:a="http://schemas.openxmlformats.org/drawingml/2006/main">
                        <a:graphicData uri="http://schemas.microsoft.com/office/word/2010/wordprocessingShape">
                          <wps:wsp>
                            <wps:cNvSpPr txBox="1"/>
                            <wps:spPr>
                              <a:xfrm>
                                <a:off x="0" y="0"/>
                                <a:ext cx="5981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9">
                      <wp:simplePos x="0" y="0"/>
                      <wp:positionH relativeFrom="character">
                        <wp:align>left</wp:align>
                      </wp:positionH>
                      <wp:positionV relativeFrom="line">
                        <wp:posOffset>635</wp:posOffset>
                      </wp:positionV>
                      <wp:extent cx="72390" cy="175260"/>
                      <wp:effectExtent l="0" t="0" r="0" b="0"/>
                      <wp:wrapNone/>
                      <wp:docPr id="458" name="Frame458"/>
                      <a:graphic xmlns:a="http://schemas.openxmlformats.org/drawingml/2006/main">
                        <a:graphicData uri="http://schemas.microsoft.com/office/word/2010/wordprocessingShape">
                          <wps:wsp>
                            <wps:cNvSpPr txBox="1"/>
                            <wps:spPr>
                              <a:xfrm>
                                <a:off x="0" y="0"/>
                                <a:ext cx="723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0">
                      <wp:simplePos x="0" y="0"/>
                      <wp:positionH relativeFrom="character">
                        <wp:align>left</wp:align>
                      </wp:positionH>
                      <wp:positionV relativeFrom="line">
                        <wp:posOffset>635</wp:posOffset>
                      </wp:positionV>
                      <wp:extent cx="209550" cy="175260"/>
                      <wp:effectExtent l="0" t="0" r="0" b="0"/>
                      <wp:wrapNone/>
                      <wp:docPr id="459" name="Frame459"/>
                      <a:graphic xmlns:a="http://schemas.openxmlformats.org/drawingml/2006/main">
                        <a:graphicData uri="http://schemas.microsoft.com/office/word/2010/wordprocessingShape">
                          <wps:wsp>
                            <wps:cNvSpPr txBox="1"/>
                            <wps:spPr>
                              <a:xfrm>
                                <a:off x="0" y="0"/>
                                <a:ext cx="2095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1">
                      <wp:simplePos x="0" y="0"/>
                      <wp:positionH relativeFrom="character">
                        <wp:align>left</wp:align>
                      </wp:positionH>
                      <wp:positionV relativeFrom="line">
                        <wp:posOffset>635</wp:posOffset>
                      </wp:positionV>
                      <wp:extent cx="568960" cy="175260"/>
                      <wp:effectExtent l="0" t="0" r="0" b="0"/>
                      <wp:wrapNone/>
                      <wp:docPr id="460" name="Frame460"/>
                      <a:graphic xmlns:a="http://schemas.openxmlformats.org/drawingml/2006/main">
                        <a:graphicData uri="http://schemas.microsoft.com/office/word/2010/wordprocessingShape">
                          <wps:wsp>
                            <wps:cNvSpPr txBox="1"/>
                            <wps:spPr>
                              <a:xfrm>
                                <a:off x="0" y="0"/>
                                <a:ext cx="568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2">
                      <wp:simplePos x="0" y="0"/>
                      <wp:positionH relativeFrom="character">
                        <wp:align>left</wp:align>
                      </wp:positionH>
                      <wp:positionV relativeFrom="line">
                        <wp:posOffset>635</wp:posOffset>
                      </wp:positionV>
                      <wp:extent cx="69215" cy="175260"/>
                      <wp:effectExtent l="0" t="0" r="0" b="0"/>
                      <wp:wrapNone/>
                      <wp:docPr id="461" name="Frame46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3">
                      <wp:simplePos x="0" y="0"/>
                      <wp:positionH relativeFrom="character">
                        <wp:align>left</wp:align>
                      </wp:positionH>
                      <wp:positionV relativeFrom="line">
                        <wp:posOffset>635</wp:posOffset>
                      </wp:positionV>
                      <wp:extent cx="186055" cy="175260"/>
                      <wp:effectExtent l="0" t="0" r="0" b="0"/>
                      <wp:wrapNone/>
                      <wp:docPr id="462" name="Frame462"/>
                      <a:graphic xmlns:a="http://schemas.openxmlformats.org/drawingml/2006/main">
                        <a:graphicData uri="http://schemas.microsoft.com/office/word/2010/wordprocessingShape">
                          <wps:wsp>
                            <wps:cNvSpPr txBox="1"/>
                            <wps:spPr>
                              <a:xfrm>
                                <a:off x="0" y="0"/>
                                <a:ext cx="1860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4">
                      <wp:simplePos x="0" y="0"/>
                      <wp:positionH relativeFrom="character">
                        <wp:align>left</wp:align>
                      </wp:positionH>
                      <wp:positionV relativeFrom="line">
                        <wp:posOffset>635</wp:posOffset>
                      </wp:positionV>
                      <wp:extent cx="597535" cy="175260"/>
                      <wp:effectExtent l="0" t="0" r="0" b="0"/>
                      <wp:wrapNone/>
                      <wp:docPr id="463" name="Frame463"/>
                      <a:graphic xmlns:a="http://schemas.openxmlformats.org/drawingml/2006/main">
                        <a:graphicData uri="http://schemas.microsoft.com/office/word/2010/wordprocessingShape">
                          <wps:wsp>
                            <wps:cNvSpPr txBox="1"/>
                            <wps:spPr>
                              <a:xfrm>
                                <a:off x="0" y="0"/>
                                <a:ext cx="597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5">
                      <wp:simplePos x="0" y="0"/>
                      <wp:positionH relativeFrom="character">
                        <wp:align>left</wp:align>
                      </wp:positionH>
                      <wp:positionV relativeFrom="line">
                        <wp:posOffset>635</wp:posOffset>
                      </wp:positionV>
                      <wp:extent cx="69215" cy="175260"/>
                      <wp:effectExtent l="0" t="0" r="0" b="0"/>
                      <wp:wrapNone/>
                      <wp:docPr id="464" name="Frame46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6">
                      <wp:simplePos x="0" y="0"/>
                      <wp:positionH relativeFrom="character">
                        <wp:align>left</wp:align>
                      </wp:positionH>
                      <wp:positionV relativeFrom="line">
                        <wp:posOffset>635</wp:posOffset>
                      </wp:positionV>
                      <wp:extent cx="183515" cy="175260"/>
                      <wp:effectExtent l="0" t="0" r="0" b="0"/>
                      <wp:wrapNone/>
                      <wp:docPr id="465" name="Frame465"/>
                      <a:graphic xmlns:a="http://schemas.openxmlformats.org/drawingml/2006/main">
                        <a:graphicData uri="http://schemas.microsoft.com/office/word/2010/wordprocessingShape">
                          <wps:wsp>
                            <wps:cNvSpPr txBox="1"/>
                            <wps:spPr>
                              <a:xfrm>
                                <a:off x="0" y="0"/>
                                <a:ext cx="1835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7">
                      <wp:simplePos x="0" y="0"/>
                      <wp:positionH relativeFrom="character">
                        <wp:align>left</wp:align>
                      </wp:positionH>
                      <wp:positionV relativeFrom="line">
                        <wp:posOffset>635</wp:posOffset>
                      </wp:positionV>
                      <wp:extent cx="631190" cy="175260"/>
                      <wp:effectExtent l="0" t="0" r="0" b="0"/>
                      <wp:wrapNone/>
                      <wp:docPr id="466" name="Frame466"/>
                      <a:graphic xmlns:a="http://schemas.openxmlformats.org/drawingml/2006/main">
                        <a:graphicData uri="http://schemas.microsoft.com/office/word/2010/wordprocessingShape">
                          <wps:wsp>
                            <wps:cNvSpPr txBox="1"/>
                            <wps:spPr>
                              <a:xfrm>
                                <a:off x="0" y="0"/>
                                <a:ext cx="6311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787"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257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Three Months Ended</w:t>
            </w:r>
          </w:p>
        </w:tc>
        <w:tc>
          <w:tcPr>
            <w:tcW w:w="109" w:type="dxa"/>
            <w:tcBorders/>
            <w:vAlign w:val="center"/>
          </w:tcPr>
          <w:p>
            <w:pPr>
              <w:pStyle w:val="TableContents"/>
              <w:bidi w:val="0"/>
              <w:spacing w:before="0" w:after="0"/>
              <w:ind w:left="0" w:right="0" w:hanging="0"/>
              <w:jc w:val="center"/>
              <w:rPr/>
            </w:pPr>
            <w:r>
              <w:rPr/>
              <w:t>​</w:t>
            </w:r>
          </w:p>
        </w:tc>
        <w:tc>
          <w:tcPr>
            <w:tcW w:w="2626"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Six Months Ended</w:t>
            </w:r>
          </w:p>
        </w:tc>
      </w:tr>
      <w:tr>
        <w:trPr/>
        <w:tc>
          <w:tcPr>
            <w:tcW w:w="4787"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23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2026</w:t>
            </w:r>
          </w:p>
        </w:tc>
        <w:tc>
          <w:tcPr>
            <w:tcW w:w="114" w:type="dxa"/>
            <w:tcBorders/>
            <w:vAlign w:val="center"/>
          </w:tcPr>
          <w:p>
            <w:pPr>
              <w:pStyle w:val="TableContents"/>
              <w:bidi w:val="0"/>
              <w:spacing w:before="0" w:after="0"/>
              <w:ind w:left="0" w:right="0" w:hanging="0"/>
              <w:jc w:val="center"/>
              <w:rPr/>
            </w:pPr>
            <w:r>
              <w:rPr/>
              <w:t>​</w:t>
            </w:r>
          </w:p>
        </w:tc>
        <w:tc>
          <w:tcPr>
            <w:tcW w:w="12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2025</w:t>
            </w:r>
          </w:p>
        </w:tc>
        <w:tc>
          <w:tcPr>
            <w:tcW w:w="109" w:type="dxa"/>
            <w:tcBorders/>
            <w:vAlign w:val="center"/>
          </w:tcPr>
          <w:p>
            <w:pPr>
              <w:pStyle w:val="TableContents"/>
              <w:bidi w:val="0"/>
              <w:spacing w:before="0" w:after="0"/>
              <w:ind w:left="0" w:right="0" w:hanging="0"/>
              <w:jc w:val="center"/>
              <w:rPr/>
            </w:pPr>
            <w:r>
              <w:rPr/>
              <w:t>​</w:t>
            </w:r>
          </w:p>
        </w:tc>
        <w:tc>
          <w:tcPr>
            <w:tcW w:w="123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2026</w:t>
            </w:r>
          </w:p>
        </w:tc>
        <w:tc>
          <w:tcPr>
            <w:tcW w:w="109" w:type="dxa"/>
            <w:tcBorders/>
            <w:vAlign w:val="center"/>
          </w:tcPr>
          <w:p>
            <w:pPr>
              <w:pStyle w:val="TableContents"/>
              <w:bidi w:val="0"/>
              <w:spacing w:before="0" w:after="0"/>
              <w:ind w:left="0" w:right="0" w:hanging="0"/>
              <w:jc w:val="center"/>
              <w:rPr/>
            </w:pPr>
            <w:r>
              <w:rPr/>
              <w:t>​</w:t>
            </w:r>
          </w:p>
        </w:tc>
        <w:tc>
          <w:tcPr>
            <w:tcW w:w="128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2025</w:t>
            </w:r>
          </w:p>
        </w:tc>
      </w:tr>
      <w:tr>
        <w:trPr/>
        <w:tc>
          <w:tcPr>
            <w:tcW w:w="478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FFO Attributable to Common Stockholders</w:t>
            </w:r>
          </w:p>
        </w:tc>
        <w:tc>
          <w:tcPr>
            <w:tcW w:w="109" w:type="dxa"/>
            <w:tcBorders/>
            <w:shd w:fill="CCEEFF" w:val="clear"/>
            <w:vAlign w:val="center"/>
          </w:tcPr>
          <w:p>
            <w:pPr>
              <w:pStyle w:val="TableContents"/>
              <w:bidi w:val="0"/>
              <w:spacing w:before="0" w:after="0"/>
              <w:ind w:left="0" w:right="0" w:hanging="0"/>
              <w:jc w:val="left"/>
              <w:rPr/>
            </w:pPr>
            <w:r>
              <w:rPr/>
              <w:t>​</w:t>
            </w:r>
          </w:p>
        </w:tc>
        <w:tc>
          <w:tcPr>
            <w:tcW w:w="29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10,487</w:t>
            </w:r>
          </w:p>
        </w:tc>
        <w:tc>
          <w:tcPr>
            <w:tcW w:w="114" w:type="dxa"/>
            <w:tcBorders/>
            <w:shd w:fill="CCEEFF" w:val="clear"/>
            <w:vAlign w:val="center"/>
          </w:tcPr>
          <w:p>
            <w:pPr>
              <w:pStyle w:val="TableContents"/>
              <w:bidi w:val="0"/>
              <w:spacing w:before="0" w:after="0"/>
              <w:ind w:left="0" w:right="0" w:hanging="0"/>
              <w:jc w:val="left"/>
              <w:rPr/>
            </w:pPr>
            <w:r>
              <w:rPr/>
              <w:t>​</w:t>
            </w:r>
          </w:p>
        </w:tc>
        <w:tc>
          <w:tcPr>
            <w:tcW w:w="3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6,788</w:t>
            </w:r>
          </w:p>
        </w:tc>
        <w:tc>
          <w:tcPr>
            <w:tcW w:w="109" w:type="dxa"/>
            <w:tcBorders/>
            <w:shd w:fill="CCEEFF" w:val="clear"/>
            <w:vAlign w:val="center"/>
          </w:tcPr>
          <w:p>
            <w:pPr>
              <w:pStyle w:val="TableContents"/>
              <w:bidi w:val="0"/>
              <w:spacing w:before="0" w:after="0"/>
              <w:ind w:left="0" w:right="0" w:hanging="0"/>
              <w:jc w:val="left"/>
              <w:rPr/>
            </w:pPr>
            <w:r>
              <w:rPr/>
              <w:t>​</w:t>
            </w:r>
          </w:p>
        </w:tc>
        <w:tc>
          <w:tcPr>
            <w:tcW w:w="29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19,348</w:t>
            </w:r>
          </w:p>
        </w:tc>
        <w:tc>
          <w:tcPr>
            <w:tcW w:w="109" w:type="dxa"/>
            <w:tcBorders/>
            <w:shd w:fill="CCEEFF" w:val="clear"/>
            <w:vAlign w:val="center"/>
          </w:tcPr>
          <w:p>
            <w:pPr>
              <w:pStyle w:val="TableContents"/>
              <w:bidi w:val="0"/>
              <w:spacing w:before="0" w:after="0"/>
              <w:ind w:left="0" w:right="0" w:hanging="0"/>
              <w:jc w:val="left"/>
              <w:rPr/>
            </w:pPr>
            <w:r>
              <w:rPr/>
              <w:t>​</w:t>
            </w:r>
          </w:p>
        </w:tc>
        <w:tc>
          <w:tcPr>
            <w:tcW w:w="28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13,697</w:t>
            </w:r>
          </w:p>
        </w:tc>
      </w:tr>
      <w:tr>
        <w:trPr/>
        <w:tc>
          <w:tcPr>
            <w:tcW w:w="478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FFO Attributable to Common Stockholders per Diluted Share</w:t>
            </w:r>
          </w:p>
        </w:tc>
        <w:tc>
          <w:tcPr>
            <w:tcW w:w="109" w:type="dxa"/>
            <w:tcBorders/>
            <w:vAlign w:val="center"/>
          </w:tcPr>
          <w:p>
            <w:pPr>
              <w:pStyle w:val="TableContents"/>
              <w:bidi w:val="0"/>
              <w:spacing w:before="0" w:after="0"/>
              <w:ind w:left="0" w:right="0" w:hanging="0"/>
              <w:jc w:val="left"/>
              <w:rPr/>
            </w:pPr>
            <w:r>
              <w:rPr/>
              <w:t>​</w:t>
            </w:r>
          </w:p>
        </w:tc>
        <w:tc>
          <w:tcPr>
            <w:tcW w:w="29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0.57</w:t>
            </w:r>
          </w:p>
        </w:tc>
        <w:tc>
          <w:tcPr>
            <w:tcW w:w="114" w:type="dxa"/>
            <w:tcBorders/>
            <w:vAlign w:val="center"/>
          </w:tcPr>
          <w:p>
            <w:pPr>
              <w:pStyle w:val="TableContents"/>
              <w:bidi w:val="0"/>
              <w:spacing w:before="0" w:after="0"/>
              <w:ind w:left="0" w:right="0" w:hanging="0"/>
              <w:jc w:val="left"/>
              <w:rPr/>
            </w:pPr>
            <w:r>
              <w:rPr/>
              <w:t>​</w:t>
            </w:r>
          </w:p>
        </w:tc>
        <w:tc>
          <w:tcPr>
            <w:tcW w:w="3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0.44</w:t>
            </w:r>
          </w:p>
        </w:tc>
        <w:tc>
          <w:tcPr>
            <w:tcW w:w="109" w:type="dxa"/>
            <w:tcBorders/>
            <w:vAlign w:val="center"/>
          </w:tcPr>
          <w:p>
            <w:pPr>
              <w:pStyle w:val="TableContents"/>
              <w:bidi w:val="0"/>
              <w:spacing w:before="0" w:after="0"/>
              <w:ind w:left="0" w:right="0" w:hanging="0"/>
              <w:jc w:val="left"/>
              <w:rPr/>
            </w:pPr>
            <w:r>
              <w:rPr/>
              <w:t>​</w:t>
            </w:r>
          </w:p>
        </w:tc>
        <w:tc>
          <w:tcPr>
            <w:tcW w:w="29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w:t>
            </w:r>
          </w:p>
        </w:tc>
        <w:tc>
          <w:tcPr>
            <w:tcW w:w="109" w:type="dxa"/>
            <w:tcBorders/>
            <w:vAlign w:val="center"/>
          </w:tcPr>
          <w:p>
            <w:pPr>
              <w:pStyle w:val="TableContents"/>
              <w:bidi w:val="0"/>
              <w:spacing w:before="0" w:after="0"/>
              <w:ind w:left="0" w:right="0" w:hanging="0"/>
              <w:jc w:val="left"/>
              <w:rPr/>
            </w:pPr>
            <w:r>
              <w:rPr/>
              <w:t>​</w:t>
            </w:r>
          </w:p>
        </w:tc>
        <w:tc>
          <w:tcPr>
            <w:tcW w:w="28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0.88</w:t>
            </w:r>
          </w:p>
        </w:tc>
      </w:tr>
      <w:tr>
        <w:trPr/>
        <w:tc>
          <w:tcPr>
            <w:tcW w:w="4787"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92" w:type="dxa"/>
            <w:tcBorders/>
            <w:shd w:fill="CCEEFF" w:val="clear"/>
            <w:vAlign w:val="center"/>
          </w:tcPr>
          <w:p>
            <w:pPr>
              <w:pStyle w:val="TableContents"/>
              <w:bidi w:val="0"/>
              <w:spacing w:before="0" w:after="0"/>
              <w:ind w:left="0" w:right="0" w:hanging="0"/>
              <w:jc w:val="left"/>
              <w:rPr/>
            </w:pPr>
            <w:r>
              <w:rPr/>
              <w:t>​</w:t>
            </w:r>
          </w:p>
        </w:tc>
        <w:tc>
          <w:tcPr>
            <w:tcW w:w="942" w:type="dxa"/>
            <w:tcBorders/>
            <w:shd w:fill="CCEEFF" w:val="clear"/>
            <w:vAlign w:val="center"/>
          </w:tcPr>
          <w:p>
            <w:pPr>
              <w:pStyle w:val="TableContents"/>
              <w:bidi w:val="0"/>
              <w:spacing w:before="0" w:after="0"/>
              <w:ind w:left="0" w:right="0" w:hanging="0"/>
              <w:jc w:val="right"/>
              <w:rPr/>
            </w:pPr>
            <w:r>
              <w:rPr/>
              <w:t>​</w:t>
            </w:r>
          </w:p>
        </w:tc>
        <w:tc>
          <w:tcPr>
            <w:tcW w:w="114" w:type="dxa"/>
            <w:tcBorders/>
            <w:shd w:fill="CCEEFF" w:val="clear"/>
            <w:vAlign w:val="center"/>
          </w:tcPr>
          <w:p>
            <w:pPr>
              <w:pStyle w:val="TableContents"/>
              <w:bidi w:val="0"/>
              <w:spacing w:before="0" w:after="0"/>
              <w:ind w:left="0" w:right="0" w:hanging="0"/>
              <w:jc w:val="left"/>
              <w:rPr/>
            </w:pPr>
            <w:r>
              <w:rPr/>
              <w:t>​</w:t>
            </w:r>
          </w:p>
        </w:tc>
        <w:tc>
          <w:tcPr>
            <w:tcW w:w="330" w:type="dxa"/>
            <w:tcBorders/>
            <w:shd w:fill="CCEEFF" w:val="clear"/>
            <w:vAlign w:val="center"/>
          </w:tcPr>
          <w:p>
            <w:pPr>
              <w:pStyle w:val="TableContents"/>
              <w:bidi w:val="0"/>
              <w:spacing w:before="0" w:after="0"/>
              <w:ind w:left="0" w:right="0" w:hanging="0"/>
              <w:jc w:val="left"/>
              <w:rPr/>
            </w:pPr>
            <w:r>
              <w:rPr/>
              <w:t>​</w:t>
            </w:r>
          </w:p>
        </w:tc>
        <w:tc>
          <w:tcPr>
            <w:tcW w:w="89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93" w:type="dxa"/>
            <w:tcBorders/>
            <w:shd w:fill="CCEEFF" w:val="clear"/>
            <w:vAlign w:val="center"/>
          </w:tcPr>
          <w:p>
            <w:pPr>
              <w:pStyle w:val="TableContents"/>
              <w:bidi w:val="0"/>
              <w:spacing w:before="0" w:after="0"/>
              <w:ind w:left="0" w:right="0" w:hanging="0"/>
              <w:jc w:val="left"/>
              <w:rPr/>
            </w:pPr>
            <w:r>
              <w:rPr/>
              <w:t>​</w:t>
            </w:r>
          </w:p>
        </w:tc>
        <w:tc>
          <w:tcPr>
            <w:tcW w:w="94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89" w:type="dxa"/>
            <w:tcBorders/>
            <w:shd w:fill="CCEEFF" w:val="clear"/>
            <w:vAlign w:val="center"/>
          </w:tcPr>
          <w:p>
            <w:pPr>
              <w:pStyle w:val="TableContents"/>
              <w:bidi w:val="0"/>
              <w:spacing w:before="0" w:after="0"/>
              <w:ind w:left="0" w:right="0" w:hanging="0"/>
              <w:jc w:val="left"/>
              <w:rPr/>
            </w:pPr>
            <w:r>
              <w:rPr/>
              <w:t>​</w:t>
            </w:r>
          </w:p>
        </w:tc>
        <w:tc>
          <w:tcPr>
            <w:tcW w:w="994" w:type="dxa"/>
            <w:tcBorders/>
            <w:shd w:fill="CCEEFF" w:val="clear"/>
            <w:vAlign w:val="center"/>
          </w:tcPr>
          <w:p>
            <w:pPr>
              <w:pStyle w:val="TableContents"/>
              <w:bidi w:val="0"/>
              <w:spacing w:before="0" w:after="0"/>
              <w:ind w:left="0" w:right="0" w:hanging="0"/>
              <w:jc w:val="right"/>
              <w:rPr/>
            </w:pPr>
            <w:r>
              <w:rPr/>
              <w:t>​</w:t>
            </w:r>
          </w:p>
        </w:tc>
      </w:tr>
      <w:tr>
        <w:trPr/>
        <w:tc>
          <w:tcPr>
            <w:tcW w:w="478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AFFO Attributable to Common Stockholders</w:t>
            </w:r>
          </w:p>
        </w:tc>
        <w:tc>
          <w:tcPr>
            <w:tcW w:w="109" w:type="dxa"/>
            <w:tcBorders/>
            <w:vAlign w:val="center"/>
          </w:tcPr>
          <w:p>
            <w:pPr>
              <w:pStyle w:val="TableContents"/>
              <w:bidi w:val="0"/>
              <w:spacing w:before="0" w:after="0"/>
              <w:ind w:left="0" w:right="0" w:hanging="0"/>
              <w:jc w:val="left"/>
              <w:rPr/>
            </w:pPr>
            <w:r>
              <w:rPr/>
              <w:t>​</w:t>
            </w:r>
          </w:p>
        </w:tc>
        <w:tc>
          <w:tcPr>
            <w:tcW w:w="29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10,557</w:t>
            </w:r>
          </w:p>
        </w:tc>
        <w:tc>
          <w:tcPr>
            <w:tcW w:w="114" w:type="dxa"/>
            <w:tcBorders/>
            <w:vAlign w:val="center"/>
          </w:tcPr>
          <w:p>
            <w:pPr>
              <w:pStyle w:val="TableContents"/>
              <w:bidi w:val="0"/>
              <w:spacing w:before="0" w:after="0"/>
              <w:ind w:left="0" w:right="0" w:hanging="0"/>
              <w:jc w:val="left"/>
              <w:rPr/>
            </w:pPr>
            <w:r>
              <w:rPr/>
              <w:t>​</w:t>
            </w:r>
          </w:p>
        </w:tc>
        <w:tc>
          <w:tcPr>
            <w:tcW w:w="3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6,742</w:t>
            </w:r>
          </w:p>
        </w:tc>
        <w:tc>
          <w:tcPr>
            <w:tcW w:w="109" w:type="dxa"/>
            <w:tcBorders/>
            <w:vAlign w:val="center"/>
          </w:tcPr>
          <w:p>
            <w:pPr>
              <w:pStyle w:val="TableContents"/>
              <w:bidi w:val="0"/>
              <w:spacing w:before="0" w:after="0"/>
              <w:ind w:left="0" w:right="0" w:hanging="0"/>
              <w:jc w:val="left"/>
              <w:rPr/>
            </w:pPr>
            <w:r>
              <w:rPr/>
              <w:t>​</w:t>
            </w:r>
          </w:p>
        </w:tc>
        <w:tc>
          <w:tcPr>
            <w:tcW w:w="29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19,463</w:t>
            </w:r>
          </w:p>
        </w:tc>
        <w:tc>
          <w:tcPr>
            <w:tcW w:w="109" w:type="dxa"/>
            <w:tcBorders/>
            <w:vAlign w:val="center"/>
          </w:tcPr>
          <w:p>
            <w:pPr>
              <w:pStyle w:val="TableContents"/>
              <w:bidi w:val="0"/>
              <w:spacing w:before="0" w:after="0"/>
              <w:ind w:left="0" w:right="0" w:hanging="0"/>
              <w:jc w:val="left"/>
              <w:rPr/>
            </w:pPr>
            <w:r>
              <w:rPr/>
              <w:t>​</w:t>
            </w:r>
          </w:p>
        </w:tc>
        <w:tc>
          <w:tcPr>
            <w:tcW w:w="28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13,781</w:t>
            </w:r>
          </w:p>
        </w:tc>
      </w:tr>
      <w:tr>
        <w:trPr/>
        <w:tc>
          <w:tcPr>
            <w:tcW w:w="478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AFFO Attributable to Common Stockholders per Diluted Share</w:t>
            </w:r>
          </w:p>
        </w:tc>
        <w:tc>
          <w:tcPr>
            <w:tcW w:w="109" w:type="dxa"/>
            <w:tcBorders/>
            <w:shd w:fill="CCEEFF" w:val="clear"/>
            <w:vAlign w:val="center"/>
          </w:tcPr>
          <w:p>
            <w:pPr>
              <w:pStyle w:val="TableContents"/>
              <w:bidi w:val="0"/>
              <w:spacing w:before="0" w:after="0"/>
              <w:ind w:left="0" w:right="0" w:hanging="0"/>
              <w:jc w:val="left"/>
              <w:rPr/>
            </w:pPr>
            <w:r>
              <w:rPr/>
              <w:t>​</w:t>
            </w:r>
          </w:p>
        </w:tc>
        <w:tc>
          <w:tcPr>
            <w:tcW w:w="29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0.58</w:t>
            </w:r>
          </w:p>
        </w:tc>
        <w:tc>
          <w:tcPr>
            <w:tcW w:w="114" w:type="dxa"/>
            <w:tcBorders/>
            <w:shd w:fill="CCEEFF" w:val="clear"/>
            <w:vAlign w:val="center"/>
          </w:tcPr>
          <w:p>
            <w:pPr>
              <w:pStyle w:val="TableContents"/>
              <w:bidi w:val="0"/>
              <w:spacing w:before="0" w:after="0"/>
              <w:ind w:left="0" w:right="0" w:hanging="0"/>
              <w:jc w:val="left"/>
              <w:rPr/>
            </w:pPr>
            <w:r>
              <w:rPr/>
              <w:t>​</w:t>
            </w:r>
          </w:p>
        </w:tc>
        <w:tc>
          <w:tcPr>
            <w:tcW w:w="3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0.44</w:t>
            </w:r>
          </w:p>
        </w:tc>
        <w:tc>
          <w:tcPr>
            <w:tcW w:w="109" w:type="dxa"/>
            <w:tcBorders/>
            <w:shd w:fill="CCEEFF" w:val="clear"/>
            <w:vAlign w:val="center"/>
          </w:tcPr>
          <w:p>
            <w:pPr>
              <w:pStyle w:val="TableContents"/>
              <w:bidi w:val="0"/>
              <w:spacing w:before="0" w:after="0"/>
              <w:ind w:left="0" w:right="0" w:hanging="0"/>
              <w:jc w:val="left"/>
              <w:rPr/>
            </w:pPr>
            <w:r>
              <w:rPr/>
              <w:t>​</w:t>
            </w:r>
          </w:p>
        </w:tc>
        <w:tc>
          <w:tcPr>
            <w:tcW w:w="29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w:t>
            </w:r>
          </w:p>
        </w:tc>
        <w:tc>
          <w:tcPr>
            <w:tcW w:w="109" w:type="dxa"/>
            <w:tcBorders/>
            <w:shd w:fill="CCEEFF" w:val="clear"/>
            <w:vAlign w:val="center"/>
          </w:tcPr>
          <w:p>
            <w:pPr>
              <w:pStyle w:val="TableContents"/>
              <w:bidi w:val="0"/>
              <w:spacing w:before="0" w:after="0"/>
              <w:ind w:left="0" w:right="0" w:hanging="0"/>
              <w:jc w:val="left"/>
              <w:rPr/>
            </w:pPr>
            <w:r>
              <w:rPr/>
              <w:t>​</w:t>
            </w:r>
          </w:p>
        </w:tc>
        <w:tc>
          <w:tcPr>
            <w:tcW w:w="28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4" w:type="dxa"/>
            <w:tcBorders/>
            <w:shd w:fill="CCEEFF" w:val="cle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0.88</w:t>
            </w:r>
          </w:p>
        </w:tc>
      </w:tr>
    </w:tbl>
    <w:p>
      <w:pPr>
        <w:pStyle w:val="TextBody"/>
        <w:bidi w:val="0"/>
        <w:spacing w:before="4" w:after="4"/>
        <w:ind w:left="0" w:right="0" w:firstLine="360"/>
        <w:jc w:val="center"/>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OFF-BALANCE SHEET ARRANGEMENTS</w:t>
      </w:r>
    </w:p>
    <w:p>
      <w:pPr>
        <w:pStyle w:val="TextBody"/>
        <w:bidi w:val="0"/>
        <w:spacing w:before="0" w:after="0"/>
        <w:ind w:left="0" w:right="0" w:hanging="0"/>
        <w:jc w:val="both"/>
        <w:rPr/>
      </w:pPr>
      <w:r>
        <w:rPr/>
        <w:t>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CRITICAL ACCOUNTING ESTIMATES</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Critical accounting estimates include those estimates made in accordance with GAAP that involve a significant level of estimation uncertainty and have had or are reasonably likely to have a material impact on the Company’s financial condition or results of operations. Our most significant estimate is as follows: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i/>
          <w:sz w:val="20"/>
        </w:rPr>
        <w:t>Purchase Accounting for Acquisitions of Real Estate Subject to a Lease</w:t>
      </w:r>
      <w:r>
        <w:rPr>
          <w:rFonts w:ascii="Times New Roman;Times;serif" w:hAnsi="Times New Roman;Times;serif"/>
          <w:sz w:val="20"/>
        </w:rPr>
        <w:t xml:space="preserve">. As required by GAAP, the fair value of the real estate acquired with in-place leases is allocated to the acquired tangible assets, consisting of land, building and tenant improvements, and identified intangible assets and liabilities, consisting of the value of above-market and below-market leases, the value of in-place leases, and the value of leasing costs, based in each case on their relative fair values. In allocating the fair value of the identified intangible assets and liabilities of an acquired property, above-market and below-market in-place lease values are recorded as other assets or liabilities based on the present value. The assumptions underlying the allocation of relative fair values are based on market information including, but not limited to: (i) the estimate of replacement cost of improvements under the cost approach, (ii) the estimate of land values based on comparable sales under the sales comparison approach, and (iii) the estimate of future benefits determined by either a reasonable rate of return over a single year’s net cash flow, or a forecast of net cash flows projected over a reasonable investment horizon under the income capitalization approach. The underlying assumptions are subject to uncertainty and thus any changes to the allocation of fair value to each of the various line items within the Company’s consolidated balance sheets could have an impact on the Company’s financial condition as well as results of operations due to resulting changes in depreciation and amortization as a result of the fair value allocation. </w:t>
      </w:r>
      <w:r>
        <w:rPr>
          <w:rFonts w:ascii="Times New Roman;Times;serif" w:hAnsi="Times New Roman;Times;serif"/>
          <w:sz w:val="20"/>
          <w:shd w:fill="FFFFFF" w:val="clear"/>
        </w:rPr>
        <w:t xml:space="preserve">The acquisitions of real estate subject to this estimate totaled two properties for a combined purchase price of $20.5 million, </w:t>
      </w:r>
      <w:r>
        <w:rPr>
          <w:rFonts w:ascii="Times New Roman;Times;serif" w:hAnsi="Times New Roman;Times;serif"/>
          <w:sz w:val="20"/>
        </w:rPr>
        <w:t>including capitalized acquisition costs,</w:t>
      </w:r>
      <w:r>
        <w:rPr>
          <w:rFonts w:ascii="Times New Roman;Times;serif" w:hAnsi="Times New Roman;Times;serif"/>
          <w:sz w:val="20"/>
          <w:shd w:fill="FFFFFF" w:val="clear"/>
        </w:rPr>
        <w:t xml:space="preserve"> for the six months ended June 30, 2026.</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See Note 2, “Summary of Significant Accounting Policies”, for further discussion of the Company’s accounting estimates and policies.</w:t>
      </w:r>
    </w:p>
    <w:p>
      <w:pPr>
        <w:pStyle w:val="TextBody"/>
        <w:bidi w:val="0"/>
        <w:spacing w:before="0" w:after="0"/>
        <w:ind w:left="0" w:right="0" w:firstLine="360"/>
        <w:jc w:val="both"/>
        <w:rPr/>
      </w:pPr>
      <w:r>
        <w:rPr/>
        <w:t>​</w:t>
      </w:r>
    </w:p>
    <w:p>
      <w:pPr>
        <w:pStyle w:val="TextBody"/>
        <w:bidi w:val="0"/>
        <w:spacing w:before="0" w:after="200"/>
        <w:ind w:left="0" w:right="0" w:hanging="0"/>
        <w:jc w:val="left"/>
        <w:rPr>
          <w:rFonts w:ascii="Times New Roman;Times;serif" w:hAnsi="Times New Roman;Times;serif"/>
          <w:b/>
          <w:sz w:val="20"/>
        </w:rPr>
      </w:pPr>
      <w:bookmarkStart w:id="1753" w:name="ITEM3QUANTITATIVEANDQUALITATIVEDISC"/>
      <w:bookmarkStart w:id="1754" w:name="INC_PROP_ACQUIRED"/>
      <w:bookmarkStart w:id="1755" w:name="_81174206_cfde_4aab_b05d_fbe0de295250"/>
      <w:bookmarkEnd w:id="1753"/>
      <w:bookmarkEnd w:id="1754"/>
      <w:bookmarkEnd w:id="1755"/>
      <w:r>
        <w:rPr>
          <w:rFonts w:ascii="Times New Roman;Times;serif" w:hAnsi="Times New Roman;Times;serif"/>
          <w:b/>
          <w:sz w:val="20"/>
        </w:rPr>
        <w:t xml:space="preserve">ITEM 3. QUANTITATIVE AND QUALITATIVE DISCLOSURES ABOUT MARKET RISK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We are a smaller reporting company as defined in Item 10(f)(1) of Regulation S-K. As a result, pursuant to Item 305(e) of Regulation S-K, we are not required to provide the information required by this Item.</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756" w:name="ITEM4CONTROLSANDPROCEDURES_93254"/>
      <w:bookmarkStart w:id="1757" w:name="_a1ad733d_c5b3_4b32_962d_2177ba8a63bd"/>
      <w:bookmarkEnd w:id="1756"/>
      <w:bookmarkEnd w:id="1757"/>
      <w:r>
        <w:rPr>
          <w:rFonts w:ascii="Times New Roman;Times;serif" w:hAnsi="Times New Roman;Times;serif"/>
          <w:b/>
          <w:sz w:val="20"/>
        </w:rPr>
        <w:t>ITEM 4. CONTROLS AND PROCEDURES</w:t>
      </w:r>
    </w:p>
    <w:p>
      <w:pPr>
        <w:pStyle w:val="TextBody"/>
        <w:bidi w:val="0"/>
        <w:spacing w:before="4" w:after="4"/>
        <w:ind w:left="0" w:right="0" w:firstLine="360"/>
        <w:jc w:val="both"/>
        <w:rPr>
          <w:rFonts w:ascii="Times New Roman;Times;serif" w:hAnsi="Times New Roman;Times;serif"/>
          <w:sz w:val="20"/>
        </w:rPr>
      </w:pPr>
      <w:r>
        <w:rPr>
          <w:rFonts w:ascii="Times New Roman;Times;serif" w:hAnsi="Times New Roman;Times;serif"/>
          <w:sz w:val="20"/>
        </w:rPr>
        <w:t xml:space="preserve">As of the end of the period covered by this report, an evaluation, as required by Rules 13(a)-15 and 15(d)-15 of the Exchange Act was carried out under the supervision and with the participation of the Company’s management, including the Chief Executive Officer (“CEO”) and Chief Financial Officer (“CFO”), of the effectiveness of the Company’s disclosure controls and procedures (as defined in Rules 13a-15(e) or 15d-15(e) of the Exchange Act). Based on that evaluation, the CEO and CFO have concluded that the design and operation of the Company’s disclosure controls and procedures are effective to ensure that information required to be disclosed by the Company in reports that it files or submits under the Exchange Act is recorded, processed, summarized, and reported within the time periods specified in SEC rules and forms, and to provide reasonable assurance that information required to be disclosed by the Company in such reports is accumulated and communicated to the Company’s management, including its CEO and CFO, as appropriate to allow timely decisions regarding required disclosure. There were no changes in the Company’s internal control over financial reporting (as defined in Rules 13a-15(f) or 15d-15(f) under the Exchange Act) during the three months ended June 30, 2026, that have materially affected, or are reasonably likely to materially affect, the Company’s internal control over financial reporting. </w:t>
      </w:r>
    </w:p>
    <w:p>
      <w:pPr>
        <w:pStyle w:val="TextBody"/>
        <w:bidi w:val="0"/>
        <w:spacing w:before="0" w:after="0"/>
        <w:ind w:left="0" w:right="0" w:firstLine="360"/>
        <w:jc w:val="both"/>
        <w:rPr/>
      </w:pPr>
      <w:r>
        <w:rPr/>
        <w:t>​</w:t>
      </w:r>
    </w:p>
    <w:p>
      <w:pPr>
        <w:pStyle w:val="TextBody"/>
        <w:bidi w:val="0"/>
        <w:spacing w:before="0" w:after="200"/>
        <w:ind w:left="0" w:right="0" w:hanging="0"/>
        <w:jc w:val="left"/>
        <w:rPr>
          <w:rFonts w:ascii="Times New Roman;Times;serif" w:hAnsi="Times New Roman;Times;serif"/>
          <w:b/>
          <w:sz w:val="20"/>
        </w:rPr>
      </w:pPr>
      <w:bookmarkStart w:id="1758" w:name="PARTIIOTHERINFORMATION_482394"/>
      <w:bookmarkStart w:id="1759" w:name="_220086a4_8411_41a2_b8d1_e0b9b04b0431"/>
      <w:bookmarkEnd w:id="1758"/>
      <w:bookmarkEnd w:id="1759"/>
      <w:r>
        <w:rPr>
          <w:rFonts w:ascii="Times New Roman;Times;serif" w:hAnsi="Times New Roman;Times;serif"/>
          <w:b/>
          <w:sz w:val="20"/>
        </w:rPr>
        <w:t>PART II—OTHER INFORMATION</w:t>
      </w:r>
    </w:p>
    <w:p>
      <w:pPr>
        <w:pStyle w:val="TextBody"/>
        <w:bidi w:val="0"/>
        <w:spacing w:before="0" w:after="200"/>
        <w:ind w:left="0" w:right="0" w:hanging="0"/>
        <w:jc w:val="left"/>
        <w:rPr>
          <w:rFonts w:ascii="Times New Roman;Times;serif" w:hAnsi="Times New Roman;Times;serif"/>
          <w:b/>
          <w:sz w:val="20"/>
        </w:rPr>
      </w:pPr>
      <w:bookmarkStart w:id="1760" w:name="ITEM1LEGALPROCEEDINGS_782791"/>
      <w:bookmarkEnd w:id="1760"/>
      <w:r>
        <w:rPr>
          <w:rFonts w:ascii="Times New Roman;Times;serif" w:hAnsi="Times New Roman;Times;serif"/>
          <w:b/>
          <w:sz w:val="20"/>
        </w:rPr>
        <w:t>ITEM 1. LEGAL PROCEEDINGS</w:t>
      </w:r>
    </w:p>
    <w:p>
      <w:pPr>
        <w:pStyle w:val="TextBody"/>
        <w:bidi w:val="0"/>
        <w:spacing w:lineRule="auto" w:line="268" w:before="4" w:after="4"/>
        <w:ind w:left="0" w:right="0" w:firstLine="360"/>
        <w:jc w:val="both"/>
        <w:rPr>
          <w:rFonts w:ascii="Times New Roman;Times;serif" w:hAnsi="Times New Roman;Times;serif"/>
          <w:sz w:val="20"/>
        </w:rPr>
      </w:pPr>
      <w:r>
        <w:rPr>
          <w:rFonts w:ascii="Times New Roman;Times;serif" w:hAnsi="Times New Roman;Times;serif"/>
          <w:sz w:val="20"/>
        </w:rPr>
        <w:t>From time to time, the Company may be a party to certain legal proceedings, incidental to the normal course of business. The Company is not currently a party to any pending or threatened legal proceedings that we believe could have a material adverse effect on the Company’s business or financial condition.</w:t>
      </w:r>
    </w:p>
    <w:p>
      <w:pPr>
        <w:pStyle w:val="TextBody"/>
        <w:bidi w:val="0"/>
        <w:spacing w:lineRule="auto" w:line="268" w:before="4" w:after="4"/>
        <w:ind w:left="0" w:right="0" w:firstLine="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bookmarkStart w:id="1761" w:name="ITEM1ARISKFACTORS_792917"/>
      <w:bookmarkStart w:id="1762" w:name="_845b37c3_f2ec_4b56_9276_d653ce083778"/>
      <w:bookmarkEnd w:id="1761"/>
      <w:bookmarkEnd w:id="1762"/>
      <w:r>
        <w:rPr>
          <w:rFonts w:ascii="Times New Roman;Times;serif" w:hAnsi="Times New Roman;Times;serif"/>
          <w:b/>
          <w:sz w:val="20"/>
        </w:rPr>
        <w:t>ITEM 1A. RISK FACTORS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As of June 30, 2026, there have been no material changes in our risk factors from those set forth under the heading Part I, “Item 1A. Risk Factors” in the Company’s Annual Report on Form 10-K for the year ended December 31, 2025 (the “Form 10-K”). The risks described in the Form 10-K are not the only risks facing the Company. Additional risks and uncertainties not currently known to the Company or that the Company currently deems to be immaterial also may materially adversely affect the Company.</w:t>
      </w:r>
    </w:p>
    <w:p>
      <w:pPr>
        <w:pStyle w:val="TextBody"/>
        <w:bidi w:val="0"/>
        <w:spacing w:before="0" w:after="0"/>
        <w:ind w:left="0" w:right="0" w:firstLine="360"/>
        <w:jc w:val="both"/>
        <w:rPr/>
      </w:pPr>
      <w:r>
        <w:rPr/>
        <w:t>​</w:t>
      </w:r>
    </w:p>
    <w:p>
      <w:pPr>
        <w:pStyle w:val="TextBody"/>
        <w:bidi w:val="0"/>
        <w:spacing w:before="0" w:after="0"/>
        <w:ind w:left="0" w:right="0" w:hanging="0"/>
        <w:jc w:val="both"/>
        <w:rPr>
          <w:rFonts w:ascii="Times New Roman;Times;serif" w:hAnsi="Times New Roman;Times;serif"/>
          <w:b/>
          <w:sz w:val="20"/>
        </w:rPr>
      </w:pPr>
      <w:bookmarkStart w:id="1763" w:name="ITEM2UNREGISTEREDSALESOFEQUITYSECURITIES"/>
      <w:bookmarkStart w:id="1764" w:name="_e1cd3b4a_449c_416d_be23_d5c2be8c0a9b"/>
      <w:bookmarkEnd w:id="1763"/>
      <w:bookmarkEnd w:id="1764"/>
      <w:r>
        <w:rPr>
          <w:rFonts w:ascii="Times New Roman;Times;serif" w:hAnsi="Times New Roman;Times;serif"/>
          <w:b/>
          <w:sz w:val="20"/>
        </w:rPr>
        <w:t>ITEM 2. UNREGISTERED SALES OF EQUITY SECURITIES AND USE OF PROCEEDS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0"/>
        <w:ind w:left="0" w:right="0" w:hanging="0"/>
        <w:jc w:val="both"/>
        <w:rPr/>
      </w:pPr>
      <w:r>
        <w:rPr/>
        <w:t>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1765" w:name="ITEM3DEFAULTSUPONSENIORSECURITIES_376496"/>
      <w:bookmarkStart w:id="1766" w:name="_59de228a_f6ae_4ddd_a6fe_c5fcb80b03aa"/>
      <w:bookmarkStart w:id="1767" w:name="_ITEM_3._DEFAULTS"/>
      <w:bookmarkEnd w:id="1765"/>
      <w:bookmarkEnd w:id="1766"/>
      <w:bookmarkEnd w:id="1767"/>
      <w:r>
        <w:rPr>
          <w:rFonts w:ascii="Times New Roman;Times;serif" w:hAnsi="Times New Roman;Times;serif"/>
          <w:b/>
          <w:sz w:val="20"/>
        </w:rPr>
        <w:t>ITEM 3. DEFAULTS UPON SENIOR SECURITIES</w:t>
      </w:r>
    </w:p>
    <w:p>
      <w:pPr>
        <w:pStyle w:val="TextBody"/>
        <w:bidi w:val="0"/>
        <w:spacing w:before="0" w:after="24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120" w:after="240"/>
        <w:ind w:left="0" w:right="0" w:hanging="0"/>
        <w:jc w:val="left"/>
        <w:rPr>
          <w:rFonts w:ascii="Times New Roman;Times;serif" w:hAnsi="Times New Roman;Times;serif"/>
          <w:b/>
          <w:sz w:val="20"/>
        </w:rPr>
      </w:pPr>
      <w:bookmarkStart w:id="1768" w:name="ITEM4MINESAFETYDISCLOSURES_109581"/>
      <w:bookmarkStart w:id="1769" w:name="_2c542bc8_4c06_429f_9707_4bfc93bfa1e7"/>
      <w:bookmarkEnd w:id="1768"/>
      <w:bookmarkEnd w:id="1769"/>
      <w:r>
        <w:rPr>
          <w:rFonts w:ascii="Times New Roman;Times;serif" w:hAnsi="Times New Roman;Times;serif"/>
          <w:b/>
          <w:sz w:val="20"/>
        </w:rPr>
        <w:t>ITEM 4. MINE SAFETY DISCLOSURES</w:t>
      </w:r>
    </w:p>
    <w:p>
      <w:pPr>
        <w:pStyle w:val="TextBody"/>
        <w:bidi w:val="0"/>
        <w:spacing w:before="120" w:after="240"/>
        <w:ind w:left="0" w:right="0" w:firstLine="36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120" w:after="240"/>
        <w:ind w:left="0" w:right="0" w:hanging="0"/>
        <w:jc w:val="left"/>
        <w:rPr>
          <w:rFonts w:ascii="Times New Roman;Times;serif" w:hAnsi="Times New Roman;Times;serif"/>
          <w:b/>
          <w:sz w:val="20"/>
        </w:rPr>
      </w:pPr>
      <w:bookmarkStart w:id="1770" w:name="ITEM5OTHERINFORMATION_915711"/>
      <w:bookmarkStart w:id="1771" w:name="_c83c80e5_4c7d_4312_a9fa_f4bfb12cdc0c"/>
      <w:bookmarkEnd w:id="1770"/>
      <w:bookmarkEnd w:id="1771"/>
      <w:r>
        <w:rPr>
          <w:rFonts w:ascii="Times New Roman;Times;serif" w:hAnsi="Times New Roman;Times;serif"/>
          <w:b/>
          <w:sz w:val="20"/>
        </w:rPr>
        <w:t>ITEM 5. OTHER INFORMATION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4"/>
        <w:ind w:left="0" w:right="0" w:hanging="0"/>
        <w:jc w:val="left"/>
        <w:rPr>
          <w:rFonts w:ascii="Times New Roman;Times;serif" w:hAnsi="Times New Roman;Times;serif"/>
          <w:b/>
          <w:sz w:val="20"/>
        </w:rPr>
      </w:pPr>
      <w:bookmarkStart w:id="1772" w:name="ITEM6EXHIBITS_110802"/>
      <w:bookmarkStart w:id="1773" w:name="_7e5e8e70_dfa1_4d4b_bfa7_0d149c4b4437"/>
      <w:bookmarkEnd w:id="1772"/>
      <w:bookmarkEnd w:id="1773"/>
      <w:r>
        <w:rPr>
          <w:rFonts w:ascii="Times New Roman;Times;serif" w:hAnsi="Times New Roman;Times;serif"/>
          <w:b/>
          <w:sz w:val="20"/>
        </w:rPr>
        <w:t>ITEM 6. EXHIBITS</w:t>
      </w:r>
    </w:p>
    <w:p>
      <w:pPr>
        <w:pStyle w:val="TextBody"/>
        <w:bidi w:val="0"/>
        <w:spacing w:before="0" w:after="240"/>
        <w:ind w:left="0" w:right="0" w:hanging="0"/>
        <w:jc w:val="left"/>
        <w:rPr/>
      </w:pPr>
      <w:r>
        <w:rPr/>
        <w:t>​</w:t>
      </w:r>
    </w:p>
    <w:tbl>
      <w:tblPr>
        <w:tblW w:w="1232" w:type="dxa"/>
        <w:jc w:val="left"/>
        <w:tblInd w:w="0" w:type="dxa"/>
        <w:tblLayout w:type="fixed"/>
        <w:tblCellMar>
          <w:top w:w="0" w:type="dxa"/>
          <w:left w:w="0" w:type="dxa"/>
          <w:bottom w:w="0" w:type="dxa"/>
          <w:right w:w="0" w:type="dxa"/>
        </w:tblCellMar>
      </w:tblPr>
      <w:tblGrid>
        <w:gridCol w:w="331"/>
        <w:gridCol w:w="901"/>
      </w:tblGrid>
      <w:tr>
        <w:trPr/>
        <w:tc>
          <w:tcPr>
            <w:tcW w:w="33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Exhibits:</w:t>
            </w:r>
          </w:p>
        </w:tc>
      </w:tr>
    </w:tbl>
    <w:tbl>
      <w:tblPr>
        <w:tblW w:w="10205" w:type="dxa"/>
        <w:jc w:val="left"/>
        <w:tblInd w:w="0" w:type="dxa"/>
        <w:tblLayout w:type="fixed"/>
        <w:tblCellMar>
          <w:top w:w="0" w:type="dxa"/>
          <w:left w:w="0" w:type="dxa"/>
          <w:bottom w:w="0" w:type="dxa"/>
          <w:right w:w="0" w:type="dxa"/>
        </w:tblCellMar>
      </w:tblPr>
      <w:tblGrid>
        <w:gridCol w:w="1269"/>
        <w:gridCol w:w="109"/>
        <w:gridCol w:w="8827"/>
      </w:tblGrid>
      <w:tr>
        <w:trPr/>
        <w:tc>
          <w:tcPr>
            <w:tcW w:w="126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827" w:type="dxa"/>
            <w:tcBorders/>
            <w:vAlign w:val="center"/>
          </w:tcPr>
          <w:p>
            <w:pPr>
              <w:pStyle w:val="TableContents"/>
              <w:bidi w:val="0"/>
              <w:spacing w:before="0" w:after="0"/>
              <w:ind w:left="0" w:right="0" w:hanging="0"/>
              <w:jc w:val="left"/>
              <w:rPr/>
            </w:pPr>
            <w:r>
              <w:rPr/>
              <w:t>​</w:t>
            </w:r>
          </w:p>
        </w:tc>
      </w:tr>
      <w:tr>
        <w:trPr/>
        <w:tc>
          <w:tcPr>
            <w:tcW w:w="1269"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Exhibit 3.1</w:t>
            </w:r>
          </w:p>
        </w:tc>
        <w:tc>
          <w:tcPr>
            <w:tcW w:w="109" w:type="dxa"/>
            <w:tcBorders/>
            <w:vAlign w:val="center"/>
          </w:tcPr>
          <w:p>
            <w:pPr>
              <w:pStyle w:val="TableContents"/>
              <w:bidi w:val="0"/>
              <w:spacing w:before="0" w:after="0"/>
              <w:ind w:left="0" w:right="0" w:hanging="0"/>
              <w:jc w:val="left"/>
              <w:rPr/>
            </w:pPr>
            <w:r>
              <w:rPr/>
              <w:t>​</w:t>
            </w:r>
          </w:p>
        </w:tc>
        <w:tc>
          <w:tcPr>
            <w:tcW w:w="8827" w:type="dxa"/>
            <w:tcBorders/>
            <w:vAlign w:val="center"/>
          </w:tcPr>
          <w:p>
            <w:pPr>
              <w:pStyle w:val="TableContents"/>
              <w:bidi w:val="0"/>
              <w:spacing w:before="0" w:after="0"/>
              <w:ind w:left="0" w:right="0" w:hanging="0"/>
              <w:jc w:val="both"/>
              <w:rPr/>
            </w:pPr>
            <w:hyperlink r:id="rId2">
              <w:r>
                <w:rPr>
                  <w:rStyle w:val="InternetLink"/>
                  <w:rFonts w:ascii="Times New Roman;Times;serif" w:hAnsi="Times New Roman;Times;serif"/>
                  <w:b w:val="false"/>
                  <w:i w:val="false"/>
                  <w:caps w:val="false"/>
                  <w:smallCaps w:val="false"/>
                  <w:sz w:val="20"/>
                </w:rPr>
                <w:t>Articles of Amendment and Restatement of Alpine Income Property Trust, Inc. (incorporated by reference to Exhibit 3.1 to the Company’s Current Report on Form 8-K filed on December 3, 2019).</w:t>
              </w:r>
            </w:hyperlink>
          </w:p>
        </w:tc>
      </w:tr>
      <w:tr>
        <w:trPr/>
        <w:tc>
          <w:tcPr>
            <w:tcW w:w="126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827" w:type="dxa"/>
            <w:tcBorders/>
            <w:vAlign w:val="center"/>
          </w:tcPr>
          <w:p>
            <w:pPr>
              <w:pStyle w:val="TableContents"/>
              <w:bidi w:val="0"/>
              <w:spacing w:before="0" w:after="0"/>
              <w:ind w:left="0" w:right="0" w:hanging="0"/>
              <w:jc w:val="both"/>
              <w:rPr/>
            </w:pPr>
            <w:r>
              <w:rPr/>
              <w:t>​</w:t>
            </w:r>
          </w:p>
        </w:tc>
      </w:tr>
      <w:tr>
        <w:trPr/>
        <w:tc>
          <w:tcPr>
            <w:tcW w:w="1269"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Exhibit 3.2</w:t>
            </w:r>
          </w:p>
        </w:tc>
        <w:tc>
          <w:tcPr>
            <w:tcW w:w="109" w:type="dxa"/>
            <w:tcBorders/>
            <w:vAlign w:val="center"/>
          </w:tcPr>
          <w:p>
            <w:pPr>
              <w:pStyle w:val="TableContents"/>
              <w:bidi w:val="0"/>
              <w:spacing w:before="0" w:after="0"/>
              <w:ind w:left="0" w:right="0" w:hanging="0"/>
              <w:jc w:val="left"/>
              <w:rPr/>
            </w:pPr>
            <w:r>
              <w:rPr/>
              <w:t>​</w:t>
            </w:r>
          </w:p>
        </w:tc>
        <w:tc>
          <w:tcPr>
            <w:tcW w:w="8827" w:type="dxa"/>
            <w:tcBorders/>
            <w:vAlign w:val="center"/>
          </w:tcPr>
          <w:p>
            <w:pPr>
              <w:pStyle w:val="TableContents"/>
              <w:bidi w:val="0"/>
              <w:spacing w:before="0" w:after="0"/>
              <w:ind w:left="0" w:right="0" w:hanging="0"/>
              <w:jc w:val="both"/>
              <w:rPr/>
            </w:pPr>
            <w:hyperlink r:id="rId3">
              <w:r>
                <w:rPr>
                  <w:rStyle w:val="InternetLink"/>
                  <w:rFonts w:ascii="Times New Roman;Times;serif" w:hAnsi="Times New Roman;Times;serif"/>
                  <w:b w:val="false"/>
                  <w:i w:val="false"/>
                  <w:caps w:val="false"/>
                  <w:smallCaps w:val="false"/>
                  <w:sz w:val="20"/>
                </w:rPr>
                <w:t>Third Amended and Restated Bylaws of Alpine Income Property Trust, Inc. (incorporated by reference to Exhibit 3.1 to the Company’s Current Report on Form 8-K filed on February 3, 2023).</w:t>
              </w:r>
            </w:hyperlink>
          </w:p>
        </w:tc>
      </w:tr>
      <w:tr>
        <w:trPr/>
        <w:tc>
          <w:tcPr>
            <w:tcW w:w="126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827" w:type="dxa"/>
            <w:tcBorders/>
            <w:vAlign w:val="center"/>
          </w:tcPr>
          <w:p>
            <w:pPr>
              <w:pStyle w:val="TableContents"/>
              <w:bidi w:val="0"/>
              <w:spacing w:before="0" w:after="0"/>
              <w:ind w:left="0" w:right="0" w:hanging="0"/>
              <w:jc w:val="both"/>
              <w:rPr/>
            </w:pPr>
            <w:r>
              <w:rPr/>
              <w:t>​</w:t>
            </w:r>
          </w:p>
        </w:tc>
      </w:tr>
      <w:tr>
        <w:trPr/>
        <w:tc>
          <w:tcPr>
            <w:tcW w:w="1269"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Exhibit 3.3</w:t>
            </w:r>
          </w:p>
        </w:tc>
        <w:tc>
          <w:tcPr>
            <w:tcW w:w="109" w:type="dxa"/>
            <w:tcBorders/>
            <w:vAlign w:val="center"/>
          </w:tcPr>
          <w:p>
            <w:pPr>
              <w:pStyle w:val="TableContents"/>
              <w:bidi w:val="0"/>
              <w:spacing w:before="0" w:after="0"/>
              <w:ind w:left="0" w:right="0" w:hanging="0"/>
              <w:jc w:val="left"/>
              <w:rPr/>
            </w:pPr>
            <w:r>
              <w:rPr/>
              <w:t>​</w:t>
            </w:r>
          </w:p>
        </w:tc>
        <w:tc>
          <w:tcPr>
            <w:tcW w:w="8827" w:type="dxa"/>
            <w:tcBorders/>
            <w:vAlign w:val="center"/>
          </w:tcPr>
          <w:p>
            <w:pPr>
              <w:pStyle w:val="TableContents"/>
              <w:bidi w:val="0"/>
              <w:spacing w:before="0" w:after="0"/>
              <w:ind w:left="0" w:right="0" w:hanging="0"/>
              <w:jc w:val="both"/>
              <w:rPr/>
            </w:pPr>
            <w:hyperlink r:id="rId4">
              <w:r>
                <w:rPr>
                  <w:rStyle w:val="InternetLink"/>
                  <w:rFonts w:ascii="Times New Roman;Times;serif" w:hAnsi="Times New Roman;Times;serif"/>
                  <w:b w:val="false"/>
                  <w:i w:val="false"/>
                  <w:caps w:val="false"/>
                  <w:smallCaps w:val="false"/>
                  <w:sz w:val="20"/>
                </w:rPr>
                <w:t>Articles Supplementary, designating Alpine Income Property Trust, Inc.’s 8.00% Series A Cumulative Redeemable Preferred Stock (incorporated by reference to Exhibit 3.2 to the Company’s Registration Statement on Form 8-A filed on November 10, 2025).</w:t>
              </w:r>
            </w:hyperlink>
          </w:p>
        </w:tc>
      </w:tr>
      <w:tr>
        <w:trPr/>
        <w:tc>
          <w:tcPr>
            <w:tcW w:w="126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827" w:type="dxa"/>
            <w:tcBorders/>
            <w:vAlign w:val="center"/>
          </w:tcPr>
          <w:p>
            <w:pPr>
              <w:pStyle w:val="TableContents"/>
              <w:bidi w:val="0"/>
              <w:spacing w:before="0" w:after="0"/>
              <w:ind w:left="0" w:right="0" w:hanging="0"/>
              <w:jc w:val="both"/>
              <w:rPr/>
            </w:pPr>
            <w:r>
              <w:rPr/>
              <w:t>​</w:t>
            </w:r>
          </w:p>
        </w:tc>
      </w:tr>
      <w:tr>
        <w:trPr/>
        <w:tc>
          <w:tcPr>
            <w:tcW w:w="1269"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Exhibit 3.4</w:t>
            </w:r>
          </w:p>
        </w:tc>
        <w:tc>
          <w:tcPr>
            <w:tcW w:w="109" w:type="dxa"/>
            <w:tcBorders/>
            <w:vAlign w:val="center"/>
          </w:tcPr>
          <w:p>
            <w:pPr>
              <w:pStyle w:val="TableContents"/>
              <w:bidi w:val="0"/>
              <w:spacing w:before="0" w:after="0"/>
              <w:ind w:left="0" w:right="0" w:hanging="0"/>
              <w:jc w:val="left"/>
              <w:rPr/>
            </w:pPr>
            <w:r>
              <w:rPr/>
              <w:t>​</w:t>
            </w:r>
          </w:p>
        </w:tc>
        <w:tc>
          <w:tcPr>
            <w:tcW w:w="8827" w:type="dxa"/>
            <w:tcBorders/>
            <w:vAlign w:val="center"/>
          </w:tcPr>
          <w:p>
            <w:pPr>
              <w:pStyle w:val="TableContents"/>
              <w:bidi w:val="0"/>
              <w:spacing w:before="0" w:after="0"/>
              <w:ind w:left="0" w:right="0" w:hanging="0"/>
              <w:jc w:val="both"/>
              <w:rPr/>
            </w:pPr>
            <w:hyperlink r:id="rId5">
              <w:r>
                <w:rPr>
                  <w:rStyle w:val="InternetLink"/>
                  <w:rFonts w:ascii="Times New Roman;Times;serif" w:hAnsi="Times New Roman;Times;serif"/>
                  <w:b w:val="false"/>
                  <w:i w:val="false"/>
                  <w:caps w:val="false"/>
                  <w:smallCaps w:val="false"/>
                  <w:sz w:val="20"/>
                </w:rPr>
                <w:t>Articles Supplementary, classifying and designating 1,458,334 additional shares of Alpine Income Property Trust, Inc.’s 8.00% Series A Cumulative Redeemable Preferred Stock (incorporated by reference to Exhibit 3.1 to the Company’s Current Report on Form 8-K filed on December 5, 2025).</w:t>
              </w:r>
            </w:hyperlink>
          </w:p>
        </w:tc>
      </w:tr>
      <w:tr>
        <w:trPr/>
        <w:tc>
          <w:tcPr>
            <w:tcW w:w="126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827" w:type="dxa"/>
            <w:tcBorders/>
            <w:vAlign w:val="center"/>
          </w:tcPr>
          <w:p>
            <w:pPr>
              <w:pStyle w:val="TableContents"/>
              <w:bidi w:val="0"/>
              <w:spacing w:before="0" w:after="0"/>
              <w:ind w:left="0" w:right="0" w:hanging="0"/>
              <w:jc w:val="both"/>
              <w:rPr/>
            </w:pPr>
            <w:r>
              <w:rPr/>
              <w:t>​</w:t>
            </w:r>
          </w:p>
        </w:tc>
      </w:tr>
      <w:tr>
        <w:trPr/>
        <w:tc>
          <w:tcPr>
            <w:tcW w:w="1269"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Exhibit 4.1</w:t>
            </w:r>
          </w:p>
        </w:tc>
        <w:tc>
          <w:tcPr>
            <w:tcW w:w="109" w:type="dxa"/>
            <w:tcBorders/>
            <w:vAlign w:val="center"/>
          </w:tcPr>
          <w:p>
            <w:pPr>
              <w:pStyle w:val="TableContents"/>
              <w:bidi w:val="0"/>
              <w:spacing w:before="0" w:after="0"/>
              <w:ind w:left="0" w:right="0" w:hanging="0"/>
              <w:jc w:val="left"/>
              <w:rPr/>
            </w:pPr>
            <w:r>
              <w:rPr/>
              <w:t>​</w:t>
            </w:r>
          </w:p>
        </w:tc>
        <w:tc>
          <w:tcPr>
            <w:tcW w:w="8827" w:type="dxa"/>
            <w:tcBorders/>
            <w:vAlign w:val="center"/>
          </w:tcPr>
          <w:p>
            <w:pPr>
              <w:pStyle w:val="TableContents"/>
              <w:bidi w:val="0"/>
              <w:spacing w:before="0" w:after="0"/>
              <w:ind w:left="0" w:right="0" w:hanging="0"/>
              <w:jc w:val="both"/>
              <w:rPr/>
            </w:pPr>
            <w:hyperlink r:id="rId6">
              <w:r>
                <w:rPr>
                  <w:rStyle w:val="InternetLink"/>
                  <w:rFonts w:ascii="Times New Roman;Times;serif" w:hAnsi="Times New Roman;Times;serif"/>
                  <w:b w:val="false"/>
                  <w:i w:val="false"/>
                  <w:caps w:val="false"/>
                  <w:smallCaps w:val="false"/>
                  <w:sz w:val="20"/>
                </w:rPr>
                <w:t>Specimen Common Stock Certificate of Alpine Income Property Trust, Inc. (incorporated by reference to Exhibit 4.1 to the Registrant’s Registration Statement on Form S-11/A (File No. 333-234304) filed with the Commission on October 29, 2019).</w:t>
              </w:r>
            </w:hyperlink>
          </w:p>
        </w:tc>
      </w:tr>
      <w:tr>
        <w:trPr/>
        <w:tc>
          <w:tcPr>
            <w:tcW w:w="126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827" w:type="dxa"/>
            <w:tcBorders/>
            <w:vAlign w:val="center"/>
          </w:tcPr>
          <w:p>
            <w:pPr>
              <w:pStyle w:val="TableContents"/>
              <w:bidi w:val="0"/>
              <w:spacing w:before="0" w:after="0"/>
              <w:ind w:left="0" w:right="0" w:hanging="0"/>
              <w:jc w:val="both"/>
              <w:rPr/>
            </w:pPr>
            <w:r>
              <w:rPr/>
              <w:t>​</w:t>
            </w:r>
          </w:p>
        </w:tc>
      </w:tr>
      <w:tr>
        <w:trPr/>
        <w:tc>
          <w:tcPr>
            <w:tcW w:w="1269"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Exhibit 31.1*</w:t>
            </w:r>
          </w:p>
        </w:tc>
        <w:tc>
          <w:tcPr>
            <w:tcW w:w="109" w:type="dxa"/>
            <w:tcBorders/>
            <w:vAlign w:val="center"/>
          </w:tcPr>
          <w:p>
            <w:pPr>
              <w:pStyle w:val="TableContents"/>
              <w:bidi w:val="0"/>
              <w:spacing w:before="0" w:after="0"/>
              <w:ind w:left="0" w:right="0" w:hanging="0"/>
              <w:jc w:val="left"/>
              <w:rPr/>
            </w:pPr>
            <w:r>
              <w:rPr/>
              <w:t>​</w:t>
            </w:r>
          </w:p>
        </w:tc>
        <w:tc>
          <w:tcPr>
            <w:tcW w:w="8827" w:type="dxa"/>
            <w:tcBorders/>
            <w:vAlign w:val="center"/>
          </w:tcPr>
          <w:p>
            <w:pPr>
              <w:pStyle w:val="TableContents"/>
              <w:bidi w:val="0"/>
              <w:spacing w:before="0" w:after="0"/>
              <w:ind w:left="0" w:right="0" w:hanging="0"/>
              <w:jc w:val="both"/>
              <w:rPr/>
            </w:pPr>
            <w:hyperlink w:anchor="pine-20260630xex31d1.htm">
              <w:r>
                <w:rPr>
                  <w:rStyle w:val="InternetLink"/>
                  <w:rFonts w:ascii="Times New Roman;Times;serif" w:hAnsi="Times New Roman;Times;serif"/>
                  <w:b w:val="false"/>
                  <w:i w:val="false"/>
                  <w:caps w:val="false"/>
                  <w:smallCaps w:val="false"/>
                  <w:sz w:val="20"/>
                </w:rPr>
                <w:t>Certification filed pursuant to Section 302 of the Sarbanes-Oxley Act of 2002.</w:t>
              </w:r>
            </w:hyperlink>
          </w:p>
        </w:tc>
      </w:tr>
      <w:tr>
        <w:trPr/>
        <w:tc>
          <w:tcPr>
            <w:tcW w:w="126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827" w:type="dxa"/>
            <w:tcBorders/>
            <w:vAlign w:val="center"/>
          </w:tcPr>
          <w:p>
            <w:pPr>
              <w:pStyle w:val="TableContents"/>
              <w:bidi w:val="0"/>
              <w:spacing w:before="0" w:after="0"/>
              <w:ind w:left="0" w:right="0" w:hanging="0"/>
              <w:jc w:val="both"/>
              <w:rPr/>
            </w:pPr>
            <w:r>
              <w:rPr/>
              <w:t>​</w:t>
            </w:r>
          </w:p>
        </w:tc>
      </w:tr>
      <w:tr>
        <w:trPr/>
        <w:tc>
          <w:tcPr>
            <w:tcW w:w="1269"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Exhibit 31.2*</w:t>
            </w:r>
          </w:p>
        </w:tc>
        <w:tc>
          <w:tcPr>
            <w:tcW w:w="109" w:type="dxa"/>
            <w:tcBorders/>
            <w:vAlign w:val="center"/>
          </w:tcPr>
          <w:p>
            <w:pPr>
              <w:pStyle w:val="TableContents"/>
              <w:bidi w:val="0"/>
              <w:spacing w:before="0" w:after="0"/>
              <w:ind w:left="0" w:right="0" w:hanging="0"/>
              <w:jc w:val="left"/>
              <w:rPr/>
            </w:pPr>
            <w:r>
              <w:rPr/>
              <w:t>​</w:t>
            </w:r>
          </w:p>
        </w:tc>
        <w:tc>
          <w:tcPr>
            <w:tcW w:w="8827" w:type="dxa"/>
            <w:tcBorders/>
            <w:vAlign w:val="center"/>
          </w:tcPr>
          <w:p>
            <w:pPr>
              <w:pStyle w:val="TableContents"/>
              <w:bidi w:val="0"/>
              <w:spacing w:before="0" w:after="0"/>
              <w:ind w:left="0" w:right="0" w:hanging="0"/>
              <w:jc w:val="both"/>
              <w:rPr/>
            </w:pPr>
            <w:hyperlink w:anchor="pine-20260630xex31d2.htm">
              <w:r>
                <w:rPr>
                  <w:rStyle w:val="InternetLink"/>
                  <w:rFonts w:ascii="Times New Roman;Times;serif" w:hAnsi="Times New Roman;Times;serif"/>
                  <w:b w:val="false"/>
                  <w:i w:val="false"/>
                  <w:caps w:val="false"/>
                  <w:smallCaps w:val="false"/>
                  <w:sz w:val="20"/>
                </w:rPr>
                <w:t>Certification filed pursuant to Section 302 of the Sarbanes-Oxley Act of 2002.</w:t>
              </w:r>
            </w:hyperlink>
          </w:p>
        </w:tc>
      </w:tr>
      <w:tr>
        <w:trPr/>
        <w:tc>
          <w:tcPr>
            <w:tcW w:w="126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827" w:type="dxa"/>
            <w:tcBorders/>
            <w:vAlign w:val="center"/>
          </w:tcPr>
          <w:p>
            <w:pPr>
              <w:pStyle w:val="TableContents"/>
              <w:bidi w:val="0"/>
              <w:spacing w:before="0" w:after="0"/>
              <w:ind w:left="0" w:right="0" w:hanging="0"/>
              <w:jc w:val="both"/>
              <w:rPr/>
            </w:pPr>
            <w:r>
              <w:rPr/>
              <w:t>​</w:t>
            </w:r>
          </w:p>
        </w:tc>
      </w:tr>
      <w:tr>
        <w:trPr/>
        <w:tc>
          <w:tcPr>
            <w:tcW w:w="1269"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Exhibit 32.1**</w:t>
            </w:r>
          </w:p>
        </w:tc>
        <w:tc>
          <w:tcPr>
            <w:tcW w:w="109" w:type="dxa"/>
            <w:tcBorders/>
            <w:vAlign w:val="center"/>
          </w:tcPr>
          <w:p>
            <w:pPr>
              <w:pStyle w:val="TableContents"/>
              <w:bidi w:val="0"/>
              <w:spacing w:before="0" w:after="0"/>
              <w:ind w:left="0" w:right="0" w:hanging="0"/>
              <w:jc w:val="left"/>
              <w:rPr/>
            </w:pPr>
            <w:r>
              <w:rPr/>
              <w:t>​</w:t>
            </w:r>
          </w:p>
        </w:tc>
        <w:tc>
          <w:tcPr>
            <w:tcW w:w="8827" w:type="dxa"/>
            <w:tcBorders/>
            <w:vAlign w:val="center"/>
          </w:tcPr>
          <w:p>
            <w:pPr>
              <w:pStyle w:val="TableContents"/>
              <w:bidi w:val="0"/>
              <w:spacing w:before="0" w:after="0"/>
              <w:ind w:left="0" w:right="0" w:hanging="0"/>
              <w:jc w:val="both"/>
              <w:rPr/>
            </w:pPr>
            <w:hyperlink w:anchor="pine-20260630xex32d1.htm">
              <w:r>
                <w:rPr>
                  <w:rStyle w:val="InternetLink"/>
                  <w:rFonts w:ascii="Times New Roman;Times;serif" w:hAnsi="Times New Roman;Times;serif"/>
                  <w:b w:val="false"/>
                  <w:i w:val="false"/>
                  <w:caps w:val="false"/>
                  <w:smallCaps w:val="false"/>
                  <w:sz w:val="20"/>
                </w:rPr>
                <w:t>Certification furnished pursuant to 18 U.S.C. Section 1350, as Adopted pursuant to Section 906 of the Sarbanes-Oxley Act of 2002.</w:t>
              </w:r>
            </w:hyperlink>
          </w:p>
        </w:tc>
      </w:tr>
      <w:tr>
        <w:trPr/>
        <w:tc>
          <w:tcPr>
            <w:tcW w:w="126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827" w:type="dxa"/>
            <w:tcBorders/>
            <w:vAlign w:val="center"/>
          </w:tcPr>
          <w:p>
            <w:pPr>
              <w:pStyle w:val="TableContents"/>
              <w:bidi w:val="0"/>
              <w:spacing w:before="0" w:after="0"/>
              <w:ind w:left="0" w:right="0" w:hanging="0"/>
              <w:jc w:val="both"/>
              <w:rPr/>
            </w:pPr>
            <w:r>
              <w:rPr/>
              <w:t>​</w:t>
            </w:r>
          </w:p>
        </w:tc>
      </w:tr>
      <w:tr>
        <w:trPr/>
        <w:tc>
          <w:tcPr>
            <w:tcW w:w="1269"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Exhibit 32.2**</w:t>
            </w:r>
          </w:p>
        </w:tc>
        <w:tc>
          <w:tcPr>
            <w:tcW w:w="109" w:type="dxa"/>
            <w:tcBorders/>
            <w:vAlign w:val="center"/>
          </w:tcPr>
          <w:p>
            <w:pPr>
              <w:pStyle w:val="TableContents"/>
              <w:bidi w:val="0"/>
              <w:spacing w:before="0" w:after="0"/>
              <w:ind w:left="0" w:right="0" w:hanging="0"/>
              <w:jc w:val="left"/>
              <w:rPr/>
            </w:pPr>
            <w:r>
              <w:rPr/>
              <w:t>​</w:t>
            </w:r>
          </w:p>
        </w:tc>
        <w:tc>
          <w:tcPr>
            <w:tcW w:w="8827" w:type="dxa"/>
            <w:tcBorders/>
            <w:vAlign w:val="center"/>
          </w:tcPr>
          <w:p>
            <w:pPr>
              <w:pStyle w:val="TableContents"/>
              <w:bidi w:val="0"/>
              <w:spacing w:before="0" w:after="0"/>
              <w:ind w:left="0" w:right="0" w:hanging="0"/>
              <w:jc w:val="both"/>
              <w:rPr/>
            </w:pPr>
            <w:hyperlink w:anchor="pine-20260630xex32d2.htm">
              <w:r>
                <w:rPr>
                  <w:rStyle w:val="InternetLink"/>
                  <w:rFonts w:ascii="Times New Roman;Times;serif" w:hAnsi="Times New Roman;Times;serif"/>
                  <w:b w:val="false"/>
                  <w:i w:val="false"/>
                  <w:caps w:val="false"/>
                  <w:smallCaps w:val="false"/>
                  <w:sz w:val="20"/>
                </w:rPr>
                <w:t>Certification furnished pursuant to 18 U.S.C. Section 1350, as Adopted pursuant to Section 906 of the Sarbanes-Oxley Act of 2002.</w:t>
              </w:r>
            </w:hyperlink>
          </w:p>
        </w:tc>
      </w:tr>
      <w:tr>
        <w:trPr/>
        <w:tc>
          <w:tcPr>
            <w:tcW w:w="126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827" w:type="dxa"/>
            <w:tcBorders/>
            <w:vAlign w:val="center"/>
          </w:tcPr>
          <w:p>
            <w:pPr>
              <w:pStyle w:val="TableContents"/>
              <w:bidi w:val="0"/>
              <w:spacing w:before="0" w:after="0"/>
              <w:ind w:left="0" w:right="0" w:hanging="0"/>
              <w:jc w:val="both"/>
              <w:rPr/>
            </w:pPr>
            <w:r>
              <w:rPr/>
              <w:t>​</w:t>
            </w:r>
          </w:p>
        </w:tc>
      </w:tr>
      <w:tr>
        <w:trPr/>
        <w:tc>
          <w:tcPr>
            <w:tcW w:w="1269"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Exhibit 101.INS</w:t>
            </w:r>
          </w:p>
        </w:tc>
        <w:tc>
          <w:tcPr>
            <w:tcW w:w="109" w:type="dxa"/>
            <w:tcBorders/>
            <w:vAlign w:val="center"/>
          </w:tcPr>
          <w:p>
            <w:pPr>
              <w:pStyle w:val="TableContents"/>
              <w:bidi w:val="0"/>
              <w:spacing w:before="0" w:after="0"/>
              <w:ind w:left="0" w:right="0" w:hanging="0"/>
              <w:jc w:val="left"/>
              <w:rPr/>
            </w:pPr>
            <w:r>
              <w:rPr/>
              <w:t>​</w:t>
            </w:r>
          </w:p>
        </w:tc>
        <w:tc>
          <w:tcPr>
            <w:tcW w:w="8827" w:type="dxa"/>
            <w:tcBorders/>
            <w:vAlign w:val="center"/>
          </w:tcPr>
          <w:p>
            <w:pPr>
              <w:pStyle w:val="TableContents"/>
              <w:bidi w:val="0"/>
              <w:spacing w:before="0" w:after="0"/>
              <w:ind w:left="0" w:right="0" w:hanging="0"/>
              <w:jc w:val="both"/>
              <w:rPr>
                <w:rFonts w:ascii="Times New Roman;Times;serif" w:hAnsi="Times New Roman;Times;serif"/>
                <w:sz w:val="19"/>
              </w:rPr>
            </w:pPr>
            <w:r>
              <w:rPr>
                <w:rFonts w:ascii="Times New Roman;Times;serif" w:hAnsi="Times New Roman;Times;serif"/>
                <w:sz w:val="19"/>
              </w:rPr>
              <w:t>Inline XBRL Instance Document</w:t>
            </w:r>
          </w:p>
        </w:tc>
      </w:tr>
      <w:tr>
        <w:trPr/>
        <w:tc>
          <w:tcPr>
            <w:tcW w:w="126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827" w:type="dxa"/>
            <w:tcBorders/>
            <w:vAlign w:val="center"/>
          </w:tcPr>
          <w:p>
            <w:pPr>
              <w:pStyle w:val="TableContents"/>
              <w:bidi w:val="0"/>
              <w:spacing w:before="0" w:after="0"/>
              <w:ind w:left="0" w:right="0" w:hanging="0"/>
              <w:jc w:val="both"/>
              <w:rPr/>
            </w:pPr>
            <w:r>
              <w:rPr/>
              <w:t>​</w:t>
            </w:r>
          </w:p>
        </w:tc>
      </w:tr>
      <w:tr>
        <w:trPr/>
        <w:tc>
          <w:tcPr>
            <w:tcW w:w="1269"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Exhibit 101.SCH</w:t>
            </w:r>
          </w:p>
        </w:tc>
        <w:tc>
          <w:tcPr>
            <w:tcW w:w="109" w:type="dxa"/>
            <w:tcBorders/>
            <w:vAlign w:val="center"/>
          </w:tcPr>
          <w:p>
            <w:pPr>
              <w:pStyle w:val="TableContents"/>
              <w:bidi w:val="0"/>
              <w:spacing w:before="0" w:after="0"/>
              <w:ind w:left="0" w:right="0" w:hanging="0"/>
              <w:jc w:val="left"/>
              <w:rPr/>
            </w:pPr>
            <w:r>
              <w:rPr/>
              <w:t>​</w:t>
            </w:r>
          </w:p>
        </w:tc>
        <w:tc>
          <w:tcPr>
            <w:tcW w:w="8827" w:type="dxa"/>
            <w:tcBorders/>
            <w:vAlign w:val="center"/>
          </w:tcPr>
          <w:p>
            <w:pPr>
              <w:pStyle w:val="TableContents"/>
              <w:bidi w:val="0"/>
              <w:spacing w:before="0" w:after="0"/>
              <w:ind w:left="0" w:right="0" w:hanging="0"/>
              <w:jc w:val="both"/>
              <w:rPr>
                <w:rFonts w:ascii="Times New Roman;Times;serif" w:hAnsi="Times New Roman;Times;serif"/>
                <w:sz w:val="19"/>
              </w:rPr>
            </w:pPr>
            <w:r>
              <w:rPr>
                <w:rFonts w:ascii="Times New Roman;Times;serif" w:hAnsi="Times New Roman;Times;serif"/>
                <w:sz w:val="19"/>
              </w:rPr>
              <w:t>Inline XBRL Taxonomy Extension Schema Document</w:t>
            </w:r>
          </w:p>
        </w:tc>
      </w:tr>
      <w:tr>
        <w:trPr/>
        <w:tc>
          <w:tcPr>
            <w:tcW w:w="126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827" w:type="dxa"/>
            <w:tcBorders/>
            <w:vAlign w:val="center"/>
          </w:tcPr>
          <w:p>
            <w:pPr>
              <w:pStyle w:val="TableContents"/>
              <w:bidi w:val="0"/>
              <w:spacing w:before="0" w:after="0"/>
              <w:ind w:left="0" w:right="0" w:hanging="0"/>
              <w:jc w:val="both"/>
              <w:rPr/>
            </w:pPr>
            <w:r>
              <w:rPr/>
              <w:t>​</w:t>
            </w:r>
          </w:p>
        </w:tc>
      </w:tr>
      <w:tr>
        <w:trPr/>
        <w:tc>
          <w:tcPr>
            <w:tcW w:w="1269"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Exhibit 101.CAL</w:t>
            </w:r>
          </w:p>
        </w:tc>
        <w:tc>
          <w:tcPr>
            <w:tcW w:w="109" w:type="dxa"/>
            <w:tcBorders/>
            <w:vAlign w:val="center"/>
          </w:tcPr>
          <w:p>
            <w:pPr>
              <w:pStyle w:val="TableContents"/>
              <w:bidi w:val="0"/>
              <w:spacing w:before="0" w:after="0"/>
              <w:ind w:left="0" w:right="0" w:hanging="0"/>
              <w:jc w:val="left"/>
              <w:rPr/>
            </w:pPr>
            <w:r>
              <w:rPr/>
              <w:t>​</w:t>
            </w:r>
          </w:p>
        </w:tc>
        <w:tc>
          <w:tcPr>
            <w:tcW w:w="8827" w:type="dxa"/>
            <w:tcBorders/>
            <w:vAlign w:val="center"/>
          </w:tcPr>
          <w:p>
            <w:pPr>
              <w:pStyle w:val="TableContents"/>
              <w:bidi w:val="0"/>
              <w:spacing w:before="0" w:after="0"/>
              <w:ind w:left="0" w:right="0" w:hanging="0"/>
              <w:jc w:val="both"/>
              <w:rPr>
                <w:rFonts w:ascii="Times New Roman;Times;serif" w:hAnsi="Times New Roman;Times;serif"/>
                <w:sz w:val="19"/>
              </w:rPr>
            </w:pPr>
            <w:r>
              <w:rPr>
                <w:rFonts w:ascii="Times New Roman;Times;serif" w:hAnsi="Times New Roman;Times;serif"/>
                <w:sz w:val="19"/>
              </w:rPr>
              <w:t>Inline XBRL Taxonomy Extension Calculation Linkbase Document</w:t>
            </w:r>
          </w:p>
        </w:tc>
      </w:tr>
      <w:tr>
        <w:trPr/>
        <w:tc>
          <w:tcPr>
            <w:tcW w:w="126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827" w:type="dxa"/>
            <w:tcBorders/>
            <w:vAlign w:val="center"/>
          </w:tcPr>
          <w:p>
            <w:pPr>
              <w:pStyle w:val="TableContents"/>
              <w:bidi w:val="0"/>
              <w:spacing w:before="0" w:after="0"/>
              <w:ind w:left="0" w:right="0" w:hanging="0"/>
              <w:jc w:val="both"/>
              <w:rPr/>
            </w:pPr>
            <w:r>
              <w:rPr/>
              <w:t>​</w:t>
            </w:r>
          </w:p>
        </w:tc>
      </w:tr>
      <w:tr>
        <w:trPr/>
        <w:tc>
          <w:tcPr>
            <w:tcW w:w="1269"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Exhibit 101.DEF</w:t>
            </w:r>
          </w:p>
        </w:tc>
        <w:tc>
          <w:tcPr>
            <w:tcW w:w="109" w:type="dxa"/>
            <w:tcBorders/>
            <w:vAlign w:val="center"/>
          </w:tcPr>
          <w:p>
            <w:pPr>
              <w:pStyle w:val="TableContents"/>
              <w:bidi w:val="0"/>
              <w:spacing w:before="0" w:after="0"/>
              <w:ind w:left="0" w:right="0" w:hanging="0"/>
              <w:jc w:val="left"/>
              <w:rPr/>
            </w:pPr>
            <w:r>
              <w:rPr/>
              <w:t>​</w:t>
            </w:r>
          </w:p>
        </w:tc>
        <w:tc>
          <w:tcPr>
            <w:tcW w:w="8827" w:type="dxa"/>
            <w:tcBorders/>
            <w:vAlign w:val="center"/>
          </w:tcPr>
          <w:p>
            <w:pPr>
              <w:pStyle w:val="TableContents"/>
              <w:bidi w:val="0"/>
              <w:spacing w:before="0" w:after="0"/>
              <w:ind w:left="0" w:right="0" w:hanging="0"/>
              <w:jc w:val="both"/>
              <w:rPr>
                <w:rFonts w:ascii="Times New Roman;Times;serif" w:hAnsi="Times New Roman;Times;serif"/>
                <w:sz w:val="19"/>
              </w:rPr>
            </w:pPr>
            <w:r>
              <w:rPr>
                <w:rFonts w:ascii="Times New Roman;Times;serif" w:hAnsi="Times New Roman;Times;serif"/>
                <w:sz w:val="19"/>
              </w:rPr>
              <w:t>Inline XBRL Taxonomy Definition Linkbase Document</w:t>
            </w:r>
          </w:p>
        </w:tc>
      </w:tr>
      <w:tr>
        <w:trPr/>
        <w:tc>
          <w:tcPr>
            <w:tcW w:w="126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827" w:type="dxa"/>
            <w:tcBorders/>
            <w:vAlign w:val="center"/>
          </w:tcPr>
          <w:p>
            <w:pPr>
              <w:pStyle w:val="TableContents"/>
              <w:bidi w:val="0"/>
              <w:spacing w:before="0" w:after="0"/>
              <w:ind w:left="0" w:right="0" w:hanging="0"/>
              <w:jc w:val="both"/>
              <w:rPr/>
            </w:pPr>
            <w:r>
              <w:rPr/>
              <w:t>​</w:t>
            </w:r>
          </w:p>
        </w:tc>
      </w:tr>
      <w:tr>
        <w:trPr/>
        <w:tc>
          <w:tcPr>
            <w:tcW w:w="1269"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Exhibit 101.LAB</w:t>
            </w:r>
          </w:p>
        </w:tc>
        <w:tc>
          <w:tcPr>
            <w:tcW w:w="109" w:type="dxa"/>
            <w:tcBorders/>
            <w:vAlign w:val="center"/>
          </w:tcPr>
          <w:p>
            <w:pPr>
              <w:pStyle w:val="TableContents"/>
              <w:bidi w:val="0"/>
              <w:spacing w:before="0" w:after="0"/>
              <w:ind w:left="0" w:right="0" w:hanging="0"/>
              <w:jc w:val="left"/>
              <w:rPr/>
            </w:pPr>
            <w:r>
              <w:rPr/>
              <w:t>​</w:t>
            </w:r>
          </w:p>
        </w:tc>
        <w:tc>
          <w:tcPr>
            <w:tcW w:w="8827" w:type="dxa"/>
            <w:tcBorders/>
            <w:vAlign w:val="center"/>
          </w:tcPr>
          <w:p>
            <w:pPr>
              <w:pStyle w:val="TableContents"/>
              <w:bidi w:val="0"/>
              <w:spacing w:before="0" w:after="0"/>
              <w:ind w:left="0" w:right="0" w:hanging="0"/>
              <w:jc w:val="both"/>
              <w:rPr>
                <w:rFonts w:ascii="Times New Roman;Times;serif" w:hAnsi="Times New Roman;Times;serif"/>
                <w:sz w:val="19"/>
              </w:rPr>
            </w:pPr>
            <w:r>
              <w:rPr>
                <w:rFonts w:ascii="Times New Roman;Times;serif" w:hAnsi="Times New Roman;Times;serif"/>
                <w:sz w:val="19"/>
              </w:rPr>
              <w:t>Inline XBRL Taxonomy Extension Label Linkbase Document</w:t>
            </w:r>
          </w:p>
        </w:tc>
      </w:tr>
      <w:tr>
        <w:trPr/>
        <w:tc>
          <w:tcPr>
            <w:tcW w:w="126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827" w:type="dxa"/>
            <w:tcBorders/>
            <w:vAlign w:val="center"/>
          </w:tcPr>
          <w:p>
            <w:pPr>
              <w:pStyle w:val="TableContents"/>
              <w:bidi w:val="0"/>
              <w:spacing w:before="0" w:after="0"/>
              <w:ind w:left="0" w:right="0" w:hanging="0"/>
              <w:jc w:val="both"/>
              <w:rPr/>
            </w:pPr>
            <w:r>
              <w:rPr/>
              <w:t>​</w:t>
            </w:r>
          </w:p>
        </w:tc>
      </w:tr>
      <w:tr>
        <w:trPr/>
        <w:tc>
          <w:tcPr>
            <w:tcW w:w="1269"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Exhibit 101.PRE</w:t>
            </w:r>
          </w:p>
        </w:tc>
        <w:tc>
          <w:tcPr>
            <w:tcW w:w="109" w:type="dxa"/>
            <w:tcBorders/>
            <w:vAlign w:val="center"/>
          </w:tcPr>
          <w:p>
            <w:pPr>
              <w:pStyle w:val="TableContents"/>
              <w:bidi w:val="0"/>
              <w:spacing w:before="0" w:after="0"/>
              <w:ind w:left="0" w:right="0" w:hanging="0"/>
              <w:jc w:val="left"/>
              <w:rPr/>
            </w:pPr>
            <w:r>
              <w:rPr/>
              <w:t>​</w:t>
            </w:r>
          </w:p>
        </w:tc>
        <w:tc>
          <w:tcPr>
            <w:tcW w:w="8827" w:type="dxa"/>
            <w:tcBorders/>
            <w:vAlign w:val="center"/>
          </w:tcPr>
          <w:p>
            <w:pPr>
              <w:pStyle w:val="TableContents"/>
              <w:bidi w:val="0"/>
              <w:spacing w:before="0" w:after="0"/>
              <w:ind w:left="0" w:right="0" w:hanging="0"/>
              <w:jc w:val="both"/>
              <w:rPr>
                <w:rFonts w:ascii="Times New Roman;Times;serif" w:hAnsi="Times New Roman;Times;serif"/>
                <w:sz w:val="19"/>
              </w:rPr>
            </w:pPr>
            <w:r>
              <w:rPr>
                <w:rFonts w:ascii="Times New Roman;Times;serif" w:hAnsi="Times New Roman;Times;serif"/>
                <w:sz w:val="19"/>
              </w:rPr>
              <w:t>Inline XBRL Taxonomy Extension Presentation Linkbase Document</w:t>
            </w:r>
          </w:p>
        </w:tc>
      </w:tr>
      <w:tr>
        <w:trPr/>
        <w:tc>
          <w:tcPr>
            <w:tcW w:w="126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827" w:type="dxa"/>
            <w:tcBorders/>
            <w:vAlign w:val="center"/>
          </w:tcPr>
          <w:p>
            <w:pPr>
              <w:pStyle w:val="TableContents"/>
              <w:bidi w:val="0"/>
              <w:spacing w:before="0" w:after="0"/>
              <w:ind w:left="0" w:right="0" w:hanging="0"/>
              <w:jc w:val="both"/>
              <w:rPr/>
            </w:pPr>
            <w:r>
              <w:rPr/>
              <w:t>​</w:t>
            </w:r>
          </w:p>
        </w:tc>
      </w:tr>
      <w:tr>
        <w:trPr/>
        <w:tc>
          <w:tcPr>
            <w:tcW w:w="1269"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Exhibit 104</w:t>
            </w:r>
          </w:p>
        </w:tc>
        <w:tc>
          <w:tcPr>
            <w:tcW w:w="109" w:type="dxa"/>
            <w:tcBorders/>
            <w:vAlign w:val="center"/>
          </w:tcPr>
          <w:p>
            <w:pPr>
              <w:pStyle w:val="TableContents"/>
              <w:bidi w:val="0"/>
              <w:spacing w:before="0" w:after="0"/>
              <w:ind w:left="0" w:right="0" w:hanging="0"/>
              <w:jc w:val="left"/>
              <w:rPr/>
            </w:pPr>
            <w:r>
              <w:rPr/>
              <w:t>​</w:t>
            </w:r>
          </w:p>
        </w:tc>
        <w:tc>
          <w:tcPr>
            <w:tcW w:w="8827" w:type="dxa"/>
            <w:tcBorders/>
            <w:vAlign w:val="center"/>
          </w:tcPr>
          <w:p>
            <w:pPr>
              <w:pStyle w:val="TableContents"/>
              <w:bidi w:val="0"/>
              <w:spacing w:before="0" w:after="0"/>
              <w:ind w:left="0" w:right="0" w:hanging="0"/>
              <w:jc w:val="both"/>
              <w:rPr>
                <w:rFonts w:ascii="Times New Roman;Times;serif" w:hAnsi="Times New Roman;Times;serif"/>
                <w:sz w:val="19"/>
              </w:rPr>
            </w:pPr>
            <w:r>
              <w:rPr>
                <w:rFonts w:ascii="Times New Roman;Times;serif" w:hAnsi="Times New Roman;Times;serif"/>
                <w:sz w:val="19"/>
              </w:rPr>
              <w:t>Cover Page Interactive Data File (embedded within the Inline XBRL document)</w:t>
            </w:r>
          </w:p>
        </w:tc>
      </w:tr>
    </w:tbl>
    <w:tbl>
      <w:tblPr>
        <w:tblW w:w="1547" w:type="dxa"/>
        <w:jc w:val="left"/>
        <w:tblInd w:w="0" w:type="dxa"/>
        <w:tblLayout w:type="fixed"/>
        <w:tblCellMar>
          <w:top w:w="0" w:type="dxa"/>
          <w:left w:w="0" w:type="dxa"/>
          <w:bottom w:w="0" w:type="dxa"/>
          <w:right w:w="0" w:type="dxa"/>
        </w:tblCellMar>
      </w:tblPr>
      <w:tblGrid>
        <w:gridCol w:w="226"/>
        <w:gridCol w:w="1321"/>
      </w:tblGrid>
      <w:tr>
        <w:trPr/>
        <w:tc>
          <w:tcPr>
            <w:tcW w:w="226" w:type="dxa"/>
            <w:tcBorders/>
            <w:vAlign w:val="center"/>
          </w:tcPr>
          <w:p>
            <w:pPr>
              <w:pStyle w:val="TableContents"/>
              <w:bidi w:val="0"/>
              <w:spacing w:before="0" w:after="0"/>
              <w:jc w:val="left"/>
              <w:rPr>
                <w:rFonts w:ascii="Times New Roman;Times;serif" w:hAnsi="Times New Roman;Times;serif"/>
                <w:sz w:val="19"/>
              </w:rPr>
            </w:pPr>
            <w:r>
              <w:rPr>
                <w:rFonts w:ascii="Times New Roman;Times;serif" w:hAnsi="Times New Roman;Times;serif"/>
                <w:sz w:val="19"/>
              </w:rPr>
              <w:t>*</w:t>
            </w:r>
          </w:p>
        </w:tc>
        <w:tc>
          <w:tcPr>
            <w:tcW w:w="1321" w:type="dxa"/>
            <w:tcBorders/>
            <w:vAlign w:val="center"/>
          </w:tcPr>
          <w:p>
            <w:pPr>
              <w:pStyle w:val="TableContents"/>
              <w:bidi w:val="0"/>
              <w:spacing w:before="0" w:after="0"/>
              <w:jc w:val="left"/>
              <w:rPr>
                <w:rFonts w:ascii="Times New Roman;Times;serif" w:hAnsi="Times New Roman;Times;serif"/>
                <w:sz w:val="19"/>
              </w:rPr>
            </w:pPr>
            <w:r>
              <w:rPr>
                <w:rFonts w:ascii="Times New Roman;Times;serif" w:hAnsi="Times New Roman;Times;serif"/>
                <w:sz w:val="19"/>
              </w:rPr>
              <w:t>Filed herewith</w:t>
            </w:r>
          </w:p>
        </w:tc>
      </w:tr>
    </w:tbl>
    <w:tbl>
      <w:tblPr>
        <w:tblW w:w="2042" w:type="dxa"/>
        <w:jc w:val="left"/>
        <w:tblInd w:w="0" w:type="dxa"/>
        <w:tblLayout w:type="fixed"/>
        <w:tblCellMar>
          <w:top w:w="0" w:type="dxa"/>
          <w:left w:w="0" w:type="dxa"/>
          <w:bottom w:w="0" w:type="dxa"/>
          <w:right w:w="0" w:type="dxa"/>
        </w:tblCellMar>
      </w:tblPr>
      <w:tblGrid>
        <w:gridCol w:w="331"/>
        <w:gridCol w:w="1711"/>
      </w:tblGrid>
      <w:tr>
        <w:trPr/>
        <w:tc>
          <w:tcPr>
            <w:tcW w:w="331" w:type="dxa"/>
            <w:tcBorders/>
            <w:vAlign w:val="center"/>
          </w:tcPr>
          <w:p>
            <w:pPr>
              <w:pStyle w:val="TableContents"/>
              <w:bidi w:val="0"/>
              <w:spacing w:before="0" w:after="0"/>
              <w:jc w:val="left"/>
              <w:rPr>
                <w:rFonts w:ascii="Times New Roman;Times;serif" w:hAnsi="Times New Roman;Times;serif"/>
                <w:sz w:val="19"/>
              </w:rPr>
            </w:pPr>
            <w:r>
              <w:rPr>
                <w:rFonts w:ascii="Times New Roman;Times;serif" w:hAnsi="Times New Roman;Times;serif"/>
                <w:sz w:val="19"/>
              </w:rPr>
              <w:t>**</w:t>
            </w:r>
          </w:p>
        </w:tc>
        <w:tc>
          <w:tcPr>
            <w:tcW w:w="1711" w:type="dxa"/>
            <w:tcBorders/>
            <w:vAlign w:val="center"/>
          </w:tcPr>
          <w:p>
            <w:pPr>
              <w:pStyle w:val="TableContents"/>
              <w:bidi w:val="0"/>
              <w:spacing w:before="0" w:after="0"/>
              <w:jc w:val="left"/>
              <w:rPr>
                <w:rFonts w:ascii="Times New Roman;Times;serif" w:hAnsi="Times New Roman;Times;serif"/>
                <w:sz w:val="19"/>
              </w:rPr>
            </w:pPr>
            <w:r>
              <w:rPr>
                <w:rFonts w:ascii="Times New Roman;Times;serif" w:hAnsi="Times New Roman;Times;serif"/>
                <w:sz w:val="19"/>
              </w:rPr>
              <w:t>Furnished herewith</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774" w:name="Signatures_946901"/>
      <w:bookmarkStart w:id="1775" w:name="_8b3ee2de_dbfe_4924_9707_c9c389928bbe"/>
      <w:bookmarkEnd w:id="1774"/>
      <w:bookmarkEnd w:id="1775"/>
      <w:r>
        <w:rPr>
          <w:rFonts w:ascii="Times New Roman;Times;serif" w:hAnsi="Times New Roman;Times;serif"/>
          <w:b/>
          <w:sz w:val="20"/>
        </w:rPr>
        <w:t>Signatures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p>
      <w:pPr>
        <w:pStyle w:val="TextBody"/>
        <w:bidi w:val="0"/>
        <w:spacing w:before="0" w:after="240"/>
        <w:ind w:left="0" w:right="0" w:hanging="0"/>
        <w:jc w:val="left"/>
        <w:rPr/>
      </w:pPr>
      <w:r>
        <w:rPr/>
        <w:t>​</w:t>
      </w:r>
    </w:p>
    <w:tbl>
      <w:tblPr>
        <w:tblW w:w="5538" w:type="dxa"/>
        <w:jc w:val="left"/>
        <w:tblInd w:w="0" w:type="dxa"/>
        <w:tblLayout w:type="fixed"/>
        <w:tblCellMar>
          <w:top w:w="0" w:type="dxa"/>
          <w:left w:w="0" w:type="dxa"/>
          <w:bottom w:w="0" w:type="dxa"/>
          <w:right w:w="0" w:type="dxa"/>
        </w:tblCellMar>
      </w:tblPr>
      <w:tblGrid>
        <w:gridCol w:w="1231"/>
        <w:gridCol w:w="146"/>
        <w:gridCol w:w="406"/>
        <w:gridCol w:w="109"/>
        <w:gridCol w:w="3646"/>
      </w:tblGrid>
      <w:tr>
        <w:trPr/>
        <w:tc>
          <w:tcPr>
            <w:tcW w:w="1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8">
                      <wp:simplePos x="0" y="0"/>
                      <wp:positionH relativeFrom="character">
                        <wp:align>left</wp:align>
                      </wp:positionH>
                      <wp:positionV relativeFrom="line">
                        <wp:posOffset>635</wp:posOffset>
                      </wp:positionV>
                      <wp:extent cx="781685" cy="175260"/>
                      <wp:effectExtent l="0" t="0" r="0" b="0"/>
                      <wp:wrapNone/>
                      <wp:docPr id="467" name="Frame467"/>
                      <a:graphic xmlns:a="http://schemas.openxmlformats.org/drawingml/2006/main">
                        <a:graphicData uri="http://schemas.microsoft.com/office/word/2010/wordprocessingShape">
                          <wps:wsp>
                            <wps:cNvSpPr txBox="1"/>
                            <wps:spPr>
                              <a:xfrm>
                                <a:off x="0" y="0"/>
                                <a:ext cx="781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9">
                      <wp:simplePos x="0" y="0"/>
                      <wp:positionH relativeFrom="character">
                        <wp:align>left</wp:align>
                      </wp:positionH>
                      <wp:positionV relativeFrom="line">
                        <wp:posOffset>635</wp:posOffset>
                      </wp:positionV>
                      <wp:extent cx="92710" cy="175260"/>
                      <wp:effectExtent l="0" t="0" r="0" b="0"/>
                      <wp:wrapNone/>
                      <wp:docPr id="468" name="Frame468"/>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0">
                      <wp:simplePos x="0" y="0"/>
                      <wp:positionH relativeFrom="character">
                        <wp:align>left</wp:align>
                      </wp:positionH>
                      <wp:positionV relativeFrom="line">
                        <wp:posOffset>635</wp:posOffset>
                      </wp:positionV>
                      <wp:extent cx="257810" cy="175260"/>
                      <wp:effectExtent l="0" t="0" r="0" b="0"/>
                      <wp:wrapNone/>
                      <wp:docPr id="469" name="Frame469"/>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1">
                      <wp:simplePos x="0" y="0"/>
                      <wp:positionH relativeFrom="character">
                        <wp:align>left</wp:align>
                      </wp:positionH>
                      <wp:positionV relativeFrom="line">
                        <wp:posOffset>635</wp:posOffset>
                      </wp:positionV>
                      <wp:extent cx="69215" cy="175260"/>
                      <wp:effectExtent l="0" t="0" r="0" b="0"/>
                      <wp:wrapNone/>
                      <wp:docPr id="470" name="Frame47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2">
                      <wp:simplePos x="0" y="0"/>
                      <wp:positionH relativeFrom="character">
                        <wp:align>left</wp:align>
                      </wp:positionH>
                      <wp:positionV relativeFrom="line">
                        <wp:posOffset>635</wp:posOffset>
                      </wp:positionV>
                      <wp:extent cx="2315210" cy="175260"/>
                      <wp:effectExtent l="0" t="0" r="0" b="0"/>
                      <wp:wrapNone/>
                      <wp:docPr id="471" name="Frame471"/>
                      <a:graphic xmlns:a="http://schemas.openxmlformats.org/drawingml/2006/main">
                        <a:graphicData uri="http://schemas.microsoft.com/office/word/2010/wordprocessingShape">
                          <wps:wsp>
                            <wps:cNvSpPr txBox="1"/>
                            <wps:spPr>
                              <a:xfrm>
                                <a:off x="0" y="0"/>
                                <a:ext cx="2315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3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4161"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ALPINE INCOME PROPERTY TRUST, INC.</w:t>
            </w:r>
          </w:p>
        </w:tc>
      </w:tr>
      <w:tr>
        <w:trPr/>
        <w:tc>
          <w:tcPr>
            <w:tcW w:w="123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4161"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(Registrant)</w:t>
            </w:r>
          </w:p>
        </w:tc>
      </w:tr>
      <w:tr>
        <w:trPr/>
        <w:tc>
          <w:tcPr>
            <w:tcW w:w="1231" w:type="dxa"/>
            <w:tcBorders/>
            <w:vAlign w:val="center"/>
          </w:tcPr>
          <w:p>
            <w:pPr>
              <w:pStyle w:val="TableContents"/>
              <w:bidi w:val="0"/>
              <w:spacing w:before="0" w:after="0"/>
              <w:ind w:left="0" w:right="0" w:hanging="0"/>
              <w:jc w:val="left"/>
              <w:rPr/>
            </w:pPr>
            <w:r>
              <w:rPr/>
              <w:t>​</w:t>
            </w:r>
          </w:p>
        </w:tc>
        <w:tc>
          <w:tcPr>
            <w:tcW w:w="552" w:type="dxa"/>
            <w:gridSpan w:val="2"/>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646" w:type="dxa"/>
            <w:tcBorders/>
            <w:vAlign w:val="center"/>
          </w:tcPr>
          <w:p>
            <w:pPr>
              <w:pStyle w:val="TableContents"/>
              <w:bidi w:val="0"/>
              <w:spacing w:before="0" w:after="0"/>
              <w:ind w:left="0" w:right="0" w:hanging="0"/>
              <w:jc w:val="left"/>
              <w:rPr/>
            </w:pPr>
            <w:r>
              <w:rPr/>
              <w:t>​</w:t>
            </w:r>
          </w:p>
        </w:tc>
      </w:tr>
      <w:tr>
        <w:trPr/>
        <w:tc>
          <w:tcPr>
            <w:tcW w:w="12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July 23, 2026</w:t>
            </w:r>
          </w:p>
        </w:tc>
        <w:tc>
          <w:tcPr>
            <w:tcW w:w="14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109" w:type="dxa"/>
            <w:tcBorders/>
            <w:vAlign w:val="center"/>
          </w:tcPr>
          <w:p>
            <w:pPr>
              <w:pStyle w:val="TableContents"/>
              <w:bidi w:val="0"/>
              <w:spacing w:before="0" w:after="0"/>
              <w:ind w:left="0" w:right="0" w:hanging="0"/>
              <w:jc w:val="left"/>
              <w:rPr/>
            </w:pPr>
            <w:r>
              <w:rPr/>
              <w:t>​</w:t>
            </w:r>
          </w:p>
        </w:tc>
        <w:tc>
          <w:tcPr>
            <w:tcW w:w="364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John P. Albright</w:t>
            </w:r>
          </w:p>
        </w:tc>
      </w:tr>
      <w:tr>
        <w:trPr/>
        <w:tc>
          <w:tcPr>
            <w:tcW w:w="123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64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John P. Albright</w:t>
            </w:r>
          </w:p>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President and Chief Executive Officer</w:t>
            </w:r>
          </w:p>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(Principal Executive Officer)</w:t>
            </w:r>
          </w:p>
        </w:tc>
      </w:tr>
      <w:tr>
        <w:trPr/>
        <w:tc>
          <w:tcPr>
            <w:tcW w:w="1231" w:type="dxa"/>
            <w:tcBorders/>
            <w:vAlign w:val="center"/>
          </w:tcPr>
          <w:p>
            <w:pPr>
              <w:pStyle w:val="TableContents"/>
              <w:bidi w:val="0"/>
              <w:spacing w:before="0" w:after="0"/>
              <w:ind w:left="0" w:right="0" w:hanging="0"/>
              <w:jc w:val="left"/>
              <w:rPr/>
            </w:pPr>
            <w:r>
              <w:rPr/>
              <w:t>​</w:t>
            </w:r>
          </w:p>
        </w:tc>
        <w:tc>
          <w:tcPr>
            <w:tcW w:w="552" w:type="dxa"/>
            <w:gridSpan w:val="2"/>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caps w:val="false"/>
                <w:smallCaps w:val="false"/>
                <w:color w:val="000000"/>
              </w:rPr>
            </w:pPr>
            <w:r>
              <w:rPr>
                <w:caps w:val="false"/>
                <w:smallCaps w:val="false"/>
                <w:color w:val="000000"/>
              </w:rPr>
              <w:t>​</w:t>
            </w:r>
          </w:p>
        </w:tc>
        <w:tc>
          <w:tcPr>
            <w:tcW w:w="3646" w:type="dxa"/>
            <w:tcBorders/>
            <w:vAlign w:val="center"/>
          </w:tcPr>
          <w:p>
            <w:pPr>
              <w:pStyle w:val="TableContents"/>
              <w:bidi w:val="0"/>
              <w:spacing w:before="0" w:after="0"/>
              <w:ind w:left="0" w:right="0" w:hanging="0"/>
              <w:jc w:val="left"/>
              <w:rPr>
                <w:caps w:val="false"/>
                <w:smallCaps w:val="false"/>
                <w:color w:val="000000"/>
              </w:rPr>
            </w:pPr>
            <w:r>
              <w:rPr>
                <w:caps w:val="false"/>
                <w:smallCaps w:val="false"/>
                <w:color w:val="000000"/>
              </w:rPr>
              <w:t>​</w:t>
            </w:r>
          </w:p>
        </w:tc>
      </w:tr>
      <w:tr>
        <w:trPr/>
        <w:tc>
          <w:tcPr>
            <w:tcW w:w="12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July 23, 2026</w:t>
            </w:r>
          </w:p>
        </w:tc>
        <w:tc>
          <w:tcPr>
            <w:tcW w:w="14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109" w:type="dxa"/>
            <w:tcBorders/>
            <w:vAlign w:val="center"/>
          </w:tcPr>
          <w:p>
            <w:pPr>
              <w:pStyle w:val="TableContents"/>
              <w:bidi w:val="0"/>
              <w:spacing w:before="0" w:after="0"/>
              <w:ind w:left="0" w:right="0" w:hanging="0"/>
              <w:jc w:val="left"/>
              <w:rPr/>
            </w:pPr>
            <w:r>
              <w:rPr/>
              <w:t>​</w:t>
            </w:r>
          </w:p>
        </w:tc>
        <w:tc>
          <w:tcPr>
            <w:tcW w:w="364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Philip R. Mays</w:t>
            </w:r>
          </w:p>
        </w:tc>
      </w:tr>
      <w:tr>
        <w:trPr/>
        <w:tc>
          <w:tcPr>
            <w:tcW w:w="123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64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Philip R. Mays, Senior Vice President,</w:t>
            </w:r>
          </w:p>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Chief Financial Officer and Treasurer</w:t>
            </w:r>
          </w:p>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(Principal Financial Officer)</w:t>
            </w:r>
          </w:p>
          <w:p>
            <w:pPr>
              <w:pStyle w:val="TableContents"/>
              <w:bidi w:val="0"/>
              <w:spacing w:before="0" w:after="0"/>
              <w:ind w:left="0" w:right="0" w:hanging="0"/>
              <w:jc w:val="left"/>
              <w:rPr/>
            </w:pPr>
            <w:r>
              <w:rPr/>
              <w:t>​</w:t>
            </w:r>
          </w:p>
        </w:tc>
      </w:tr>
      <w:tr>
        <w:trPr/>
        <w:tc>
          <w:tcPr>
            <w:tcW w:w="12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July 23, 2026</w:t>
            </w:r>
          </w:p>
        </w:tc>
        <w:tc>
          <w:tcPr>
            <w:tcW w:w="14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109" w:type="dxa"/>
            <w:tcBorders/>
            <w:vAlign w:val="center"/>
          </w:tcPr>
          <w:p>
            <w:pPr>
              <w:pStyle w:val="TableContents"/>
              <w:bidi w:val="0"/>
              <w:spacing w:before="0" w:after="0"/>
              <w:ind w:left="0" w:right="0" w:hanging="0"/>
              <w:jc w:val="left"/>
              <w:rPr/>
            </w:pPr>
            <w:r>
              <w:rPr/>
              <w:t>​</w:t>
            </w:r>
          </w:p>
        </w:tc>
        <w:tc>
          <w:tcPr>
            <w:tcW w:w="364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Lisa M. Vorakoun</w:t>
            </w:r>
          </w:p>
        </w:tc>
      </w:tr>
      <w:tr>
        <w:trPr/>
        <w:tc>
          <w:tcPr>
            <w:tcW w:w="123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64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Lisa M. Vorakoun, Senior Vice President </w:t>
            </w:r>
          </w:p>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and Chief Accounting Officer </w:t>
            </w:r>
          </w:p>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(Principal Accounting Officer)</w:t>
            </w:r>
          </w:p>
          <w:p>
            <w:pPr>
              <w:pStyle w:val="TableContents"/>
              <w:bidi w:val="0"/>
              <w:spacing w:before="0" w:after="0"/>
              <w:ind w:left="0" w:right="0" w:hanging="0"/>
              <w:jc w:val="left"/>
              <w:rPr/>
            </w:pPr>
            <w:r>
              <w:rPr/>
              <w:t>​</w:t>
            </w:r>
          </w:p>
        </w:tc>
      </w:tr>
      <w:tr>
        <w:trPr/>
        <w:tc>
          <w:tcPr>
            <w:tcW w:w="123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646" w:type="dxa"/>
            <w:tcBorders/>
            <w:vAlign w:val="center"/>
          </w:tcPr>
          <w:p>
            <w:pPr>
              <w:pStyle w:val="TableContents"/>
              <w:bidi w:val="0"/>
              <w:spacing w:before="0" w:after="0"/>
              <w:ind w:left="0" w:right="0" w:hanging="0"/>
              <w:jc w:val="left"/>
              <w:rPr/>
            </w:pPr>
            <w:r>
              <w:rPr/>
              <w:t>​</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55</w:t>
      </w:r>
    </w:p>
    <w:p>
      <w:pPr>
        <w:pStyle w:val="TextBody"/>
        <w:bidi w:val="0"/>
        <w:spacing w:lineRule="atLeast" w:line="142" w:before="0" w:after="0"/>
        <w:ind w:left="0" w:right="0" w:hanging="0"/>
        <w:jc w:val="left"/>
        <w:rPr/>
      </w:pPr>
      <w:bookmarkStart w:id="1776" w:name="pine-20260630xex31d1.htm"/>
      <w:bookmarkStart w:id="1777" w:name="kspine20260630xex31d1"/>
      <w:bookmarkEnd w:id="1776"/>
      <w:bookmarkEnd w:id="1777"/>
      <w:r>
        <w:rPr/>
        <w:t>​</w:t>
      </w:r>
      <w:r>
        <w:br w:type="page"/>
      </w:r>
    </w:p>
    <w:p>
      <w:pPr>
        <w:pStyle w:val="TextBody"/>
        <w:bidi w:val="0"/>
        <w:spacing w:before="0" w:after="200"/>
        <w:ind w:left="0" w:right="0" w:hanging="0"/>
        <w:jc w:val="right"/>
        <w:rPr>
          <w:rFonts w:ascii="Times New Roman;Times;serif" w:hAnsi="Times New Roman;Times;serif"/>
          <w:b/>
          <w:sz w:val="20"/>
        </w:rPr>
      </w:pPr>
      <w:r>
        <w:rPr>
          <w:rFonts w:ascii="Times New Roman;Times;serif" w:hAnsi="Times New Roman;Times;serif"/>
          <w:b/>
          <w:sz w:val="20"/>
        </w:rPr>
        <w:t>Exhibit 31.1</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CERTIFICATIONS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I, John P. Albright, certify that:</w:t>
      </w:r>
    </w:p>
    <w:tbl>
      <w:tblPr>
        <w:tblW w:w="7390" w:type="dxa"/>
        <w:jc w:val="left"/>
        <w:tblInd w:w="0" w:type="dxa"/>
        <w:tblLayout w:type="fixed"/>
        <w:tblCellMar>
          <w:top w:w="0" w:type="dxa"/>
          <w:left w:w="0" w:type="dxa"/>
          <w:bottom w:w="0" w:type="dxa"/>
          <w:right w:w="0" w:type="dxa"/>
        </w:tblCellMar>
      </w:tblPr>
      <w:tblGrid>
        <w:gridCol w:w="170"/>
        <w:gridCol w:w="7220"/>
      </w:tblGrid>
      <w:tr>
        <w:trPr/>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72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quarterly report on Form 10-Q of Alpine Income Property Trust, Inc.;</w:t>
            </w:r>
          </w:p>
        </w:tc>
      </w:tr>
    </w:tbl>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006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89"/>
        <w:gridCol w:w="9993"/>
      </w:tblGrid>
      <w:tr>
        <w:trPr/>
        <w:tc>
          <w:tcPr>
            <w:tcW w:w="2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9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95"/>
        <w:gridCol w:w="9987"/>
      </w:tblGrid>
      <w:tr>
        <w:trPr/>
        <w:tc>
          <w:tcPr>
            <w:tcW w:w="2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9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100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96"/>
        <w:gridCol w:w="9986"/>
      </w:tblGrid>
      <w:tr>
        <w:trPr/>
        <w:tc>
          <w:tcPr>
            <w:tcW w:w="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8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227"/>
        <w:gridCol w:w="9955"/>
      </w:tblGrid>
      <w:tr>
        <w:trPr/>
        <w:tc>
          <w:tcPr>
            <w:tcW w:w="2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Date: July 23, 2026</w:t>
      </w:r>
    </w:p>
    <w:tbl>
      <w:tblPr>
        <w:tblW w:w="3886" w:type="dxa"/>
        <w:jc w:val="left"/>
        <w:tblInd w:w="0" w:type="dxa"/>
        <w:tblLayout w:type="fixed"/>
        <w:tblCellMar>
          <w:top w:w="0" w:type="dxa"/>
          <w:left w:w="0" w:type="dxa"/>
          <w:bottom w:w="0" w:type="dxa"/>
          <w:right w:w="0" w:type="dxa"/>
        </w:tblCellMar>
      </w:tblPr>
      <w:tblGrid>
        <w:gridCol w:w="421"/>
        <w:gridCol w:w="146"/>
        <w:gridCol w:w="2614"/>
        <w:gridCol w:w="551"/>
        <w:gridCol w:w="154"/>
      </w:tblGrid>
      <w:tr>
        <w:trPr/>
        <w:tc>
          <w:tcPr>
            <w:tcW w:w="42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3">
                      <wp:simplePos x="0" y="0"/>
                      <wp:positionH relativeFrom="character">
                        <wp:align>left</wp:align>
                      </wp:positionH>
                      <wp:positionV relativeFrom="line">
                        <wp:posOffset>635</wp:posOffset>
                      </wp:positionV>
                      <wp:extent cx="92710" cy="175260"/>
                      <wp:effectExtent l="0" t="0" r="0" b="0"/>
                      <wp:wrapNone/>
                      <wp:docPr id="472" name="Frame472"/>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14" w:type="dxa"/>
            <w:tcBorders/>
            <w:vAlign w:val="center"/>
          </w:tcPr>
          <w:p>
            <w:pPr>
              <w:pStyle w:val="TableContents"/>
              <w:bidi w:val="0"/>
              <w:spacing w:before="0" w:after="0"/>
              <w:ind w:left="0" w:right="0" w:hanging="0"/>
              <w:jc w:val="left"/>
              <w:rPr/>
            </w:pPr>
            <w:r>
              <w:rPr/>
              <w:t>​</w:t>
            </w:r>
          </w:p>
        </w:tc>
        <w:tc>
          <w:tcPr>
            <w:tcW w:w="705" w:type="dxa"/>
            <w:gridSpan w:val="2"/>
            <w:tcBorders/>
            <w:vAlign w:val="center"/>
          </w:tcPr>
          <w:p>
            <w:pPr>
              <w:pStyle w:val="TableContents"/>
              <w:bidi w:val="0"/>
              <w:spacing w:before="0" w:after="0"/>
              <w:ind w:left="0" w:right="0" w:hanging="0"/>
              <w:jc w:val="left"/>
              <w:rPr/>
            </w:pPr>
            <w:r>
              <w:rPr/>
              <w:t>​</w:t>
            </w:r>
          </w:p>
        </w:tc>
      </w:tr>
      <w:tr>
        <w:trPr/>
        <w:tc>
          <w:tcPr>
            <w:tcW w:w="4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146" w:type="dxa"/>
            <w:tcBorders/>
            <w:vAlign w:val="center"/>
          </w:tcPr>
          <w:p>
            <w:pPr>
              <w:pStyle w:val="TableContents"/>
              <w:bidi w:val="0"/>
              <w:spacing w:before="0" w:after="0"/>
              <w:ind w:left="0" w:right="0" w:hanging="0"/>
              <w:jc w:val="left"/>
              <w:rPr/>
            </w:pPr>
            <w:r>
              <w:rPr/>
              <w:t> </w:t>
            </w:r>
          </w:p>
        </w:tc>
        <w:tc>
          <w:tcPr>
            <w:tcW w:w="3165"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John P. Albright</w:t>
            </w:r>
          </w:p>
        </w:tc>
        <w:tc>
          <w:tcPr>
            <w:tcW w:w="154" w:type="dxa"/>
            <w:tcBorders/>
            <w:vAlign w:val="center"/>
          </w:tcPr>
          <w:p>
            <w:pPr>
              <w:pStyle w:val="TableContents"/>
              <w:bidi w:val="0"/>
              <w:spacing w:before="0" w:after="0"/>
              <w:ind w:left="0" w:right="0" w:hanging="0"/>
              <w:jc w:val="left"/>
              <w:rPr/>
            </w:pPr>
            <w:r>
              <w:rPr/>
              <w:t>​</w:t>
            </w:r>
          </w:p>
        </w:tc>
      </w:tr>
      <w:tr>
        <w:trPr/>
        <w:tc>
          <w:tcPr>
            <w:tcW w:w="42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3165" w:type="dxa"/>
            <w:gridSpan w:val="2"/>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John P. Albright</w:t>
            </w:r>
          </w:p>
        </w:tc>
        <w:tc>
          <w:tcPr>
            <w:tcW w:w="154" w:type="dxa"/>
            <w:tcBorders/>
            <w:vAlign w:val="center"/>
          </w:tcPr>
          <w:p>
            <w:pPr>
              <w:pStyle w:val="TableContents"/>
              <w:bidi w:val="0"/>
              <w:spacing w:before="0" w:after="0"/>
              <w:ind w:left="0" w:right="0" w:hanging="0"/>
              <w:jc w:val="left"/>
              <w:rPr/>
            </w:pPr>
            <w:r>
              <w:rPr/>
              <w:t>​</w:t>
            </w:r>
          </w:p>
        </w:tc>
      </w:tr>
      <w:tr>
        <w:trPr/>
        <w:tc>
          <w:tcPr>
            <w:tcW w:w="42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316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and Chief Executive Officer</w:t>
            </w:r>
          </w:p>
        </w:tc>
        <w:tc>
          <w:tcPr>
            <w:tcW w:w="154" w:type="dxa"/>
            <w:tcBorders/>
            <w:vAlign w:val="center"/>
          </w:tcPr>
          <w:p>
            <w:pPr>
              <w:pStyle w:val="TableContents"/>
              <w:bidi w:val="0"/>
              <w:spacing w:before="0" w:after="0"/>
              <w:ind w:left="0" w:right="0" w:hanging="0"/>
              <w:jc w:val="left"/>
              <w:rPr/>
            </w:pPr>
            <w:r>
              <w:rPr/>
              <w:t>​</w:t>
            </w:r>
          </w:p>
        </w:tc>
      </w:tr>
      <w:tr>
        <w:trPr/>
        <w:tc>
          <w:tcPr>
            <w:tcW w:w="42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316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00"/>
        <w:ind w:left="0" w:right="0" w:hanging="0"/>
        <w:jc w:val="right"/>
        <w:rPr>
          <w:rFonts w:ascii="Times New Roman;Times;serif" w:hAnsi="Times New Roman;Times;serif"/>
          <w:b/>
          <w:sz w:val="20"/>
        </w:rPr>
      </w:pPr>
      <w:bookmarkStart w:id="1778" w:name="pine-20260630xex31d2.htm"/>
      <w:bookmarkStart w:id="1779" w:name="kspine20260630xex31d2"/>
      <w:bookmarkEnd w:id="1778"/>
      <w:bookmarkEnd w:id="1779"/>
      <w:r>
        <w:rPr>
          <w:rFonts w:ascii="Times New Roman;Times;serif" w:hAnsi="Times New Roman;Times;serif"/>
          <w:b/>
          <w:sz w:val="20"/>
        </w:rPr>
        <w:t>Exhibit 31.2</w:t>
      </w:r>
      <w:r>
        <w:br w:type="page"/>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CERTIFICATIONS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I, Philip R. Mays, certify that:</w:t>
      </w:r>
    </w:p>
    <w:tbl>
      <w:tblPr>
        <w:tblW w:w="7390" w:type="dxa"/>
        <w:jc w:val="left"/>
        <w:tblInd w:w="0" w:type="dxa"/>
        <w:tblLayout w:type="fixed"/>
        <w:tblCellMar>
          <w:top w:w="0" w:type="dxa"/>
          <w:left w:w="0" w:type="dxa"/>
          <w:bottom w:w="0" w:type="dxa"/>
          <w:right w:w="0" w:type="dxa"/>
        </w:tblCellMar>
      </w:tblPr>
      <w:tblGrid>
        <w:gridCol w:w="170"/>
        <w:gridCol w:w="7220"/>
      </w:tblGrid>
      <w:tr>
        <w:trPr/>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72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quarterly report on Form 10-Q of Alpine Income Property Trust, Inc.;</w:t>
            </w:r>
          </w:p>
        </w:tc>
      </w:tr>
    </w:tbl>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006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89"/>
        <w:gridCol w:w="9993"/>
      </w:tblGrid>
      <w:tr>
        <w:trPr/>
        <w:tc>
          <w:tcPr>
            <w:tcW w:w="2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9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95"/>
        <w:gridCol w:w="9987"/>
      </w:tblGrid>
      <w:tr>
        <w:trPr/>
        <w:tc>
          <w:tcPr>
            <w:tcW w:w="2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9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100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96"/>
        <w:gridCol w:w="9986"/>
      </w:tblGrid>
      <w:tr>
        <w:trPr/>
        <w:tc>
          <w:tcPr>
            <w:tcW w:w="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8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227"/>
        <w:gridCol w:w="9955"/>
      </w:tblGrid>
      <w:tr>
        <w:trPr/>
        <w:tc>
          <w:tcPr>
            <w:tcW w:w="2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Date: July 23, 2026</w:t>
      </w:r>
    </w:p>
    <w:tbl>
      <w:tblPr>
        <w:tblW w:w="3961" w:type="dxa"/>
        <w:jc w:val="left"/>
        <w:tblInd w:w="0" w:type="dxa"/>
        <w:tblLayout w:type="fixed"/>
        <w:tblCellMar>
          <w:top w:w="0" w:type="dxa"/>
          <w:left w:w="0" w:type="dxa"/>
          <w:bottom w:w="0" w:type="dxa"/>
          <w:right w:w="0" w:type="dxa"/>
        </w:tblCellMar>
      </w:tblPr>
      <w:tblGrid>
        <w:gridCol w:w="421"/>
        <w:gridCol w:w="146"/>
        <w:gridCol w:w="2675"/>
        <w:gridCol w:w="565"/>
        <w:gridCol w:w="154"/>
      </w:tblGrid>
      <w:tr>
        <w:trPr/>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4">
                      <wp:simplePos x="0" y="0"/>
                      <wp:positionH relativeFrom="character">
                        <wp:align>left</wp:align>
                      </wp:positionH>
                      <wp:positionV relativeFrom="line">
                        <wp:posOffset>635</wp:posOffset>
                      </wp:positionV>
                      <wp:extent cx="267335" cy="175260"/>
                      <wp:effectExtent l="0" t="0" r="0" b="0"/>
                      <wp:wrapNone/>
                      <wp:docPr id="473" name="Frame473"/>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5">
                      <wp:simplePos x="0" y="0"/>
                      <wp:positionH relativeFrom="character">
                        <wp:align>left</wp:align>
                      </wp:positionH>
                      <wp:positionV relativeFrom="line">
                        <wp:posOffset>635</wp:posOffset>
                      </wp:positionV>
                      <wp:extent cx="92710" cy="175260"/>
                      <wp:effectExtent l="0" t="0" r="0" b="0"/>
                      <wp:wrapNone/>
                      <wp:docPr id="474" name="Frame474"/>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6">
                      <wp:simplePos x="0" y="0"/>
                      <wp:positionH relativeFrom="character">
                        <wp:align>left</wp:align>
                      </wp:positionH>
                      <wp:positionV relativeFrom="line">
                        <wp:posOffset>635</wp:posOffset>
                      </wp:positionV>
                      <wp:extent cx="1698625" cy="175260"/>
                      <wp:effectExtent l="0" t="0" r="0" b="0"/>
                      <wp:wrapNone/>
                      <wp:docPr id="475" name="Frame475"/>
                      <a:graphic xmlns:a="http://schemas.openxmlformats.org/drawingml/2006/main">
                        <a:graphicData uri="http://schemas.microsoft.com/office/word/2010/wordprocessingShape">
                          <wps:wsp>
                            <wps:cNvSpPr txBox="1"/>
                            <wps:spPr>
                              <a:xfrm>
                                <a:off x="0" y="0"/>
                                <a:ext cx="16986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19" w:type="dxa"/>
            <w:gridSpan w:val="2"/>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7">
                      <wp:simplePos x="0" y="0"/>
                      <wp:positionH relativeFrom="character">
                        <wp:align>left</wp:align>
                      </wp:positionH>
                      <wp:positionV relativeFrom="line">
                        <wp:posOffset>635</wp:posOffset>
                      </wp:positionV>
                      <wp:extent cx="456565" cy="175260"/>
                      <wp:effectExtent l="0" t="0" r="0" b="0"/>
                      <wp:wrapNone/>
                      <wp:docPr id="476" name="Frame476"/>
                      <a:graphic xmlns:a="http://schemas.openxmlformats.org/drawingml/2006/main">
                        <a:graphicData uri="http://schemas.microsoft.com/office/word/2010/wordprocessingShape">
                          <wps:wsp>
                            <wps:cNvSpPr txBox="1"/>
                            <wps:spPr>
                              <a:xfrm>
                                <a:off x="0" y="0"/>
                                <a:ext cx="4565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146" w:type="dxa"/>
            <w:tcBorders/>
            <w:vAlign w:val="center"/>
          </w:tcPr>
          <w:p>
            <w:pPr>
              <w:pStyle w:val="TableContents"/>
              <w:bidi w:val="0"/>
              <w:spacing w:before="0" w:after="0"/>
              <w:ind w:left="0" w:right="0" w:hanging="0"/>
              <w:jc w:val="left"/>
              <w:rPr/>
            </w:pPr>
            <w:r>
              <w:rPr/>
              <w:t> </w:t>
            </w:r>
          </w:p>
        </w:tc>
        <w:tc>
          <w:tcPr>
            <w:tcW w:w="3240"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Philip R. Mays</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42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3240" w:type="dxa"/>
            <w:gridSpan w:val="2"/>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Philip R. Mays, Senior Vice President, </w:t>
            </w:r>
          </w:p>
        </w:tc>
        <w:tc>
          <w:tcPr>
            <w:tcW w:w="154" w:type="dxa"/>
            <w:tcBorders/>
            <w:vAlign w:val="center"/>
          </w:tcPr>
          <w:p>
            <w:pPr>
              <w:pStyle w:val="TableContents"/>
              <w:bidi w:val="0"/>
              <w:spacing w:before="0" w:after="0"/>
              <w:ind w:left="0" w:right="0" w:hanging="0"/>
              <w:jc w:val="left"/>
              <w:rPr/>
            </w:pPr>
            <w:r>
              <w:rPr/>
              <w:t>​</w:t>
            </w:r>
          </w:p>
        </w:tc>
      </w:tr>
      <w:tr>
        <w:trPr/>
        <w:tc>
          <w:tcPr>
            <w:tcW w:w="42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324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 and Treasurer</w:t>
            </w:r>
          </w:p>
        </w:tc>
        <w:tc>
          <w:tcPr>
            <w:tcW w:w="154" w:type="dxa"/>
            <w:tcBorders/>
            <w:vAlign w:val="center"/>
          </w:tcPr>
          <w:p>
            <w:pPr>
              <w:pStyle w:val="TableContents"/>
              <w:bidi w:val="0"/>
              <w:spacing w:before="0" w:after="0"/>
              <w:ind w:left="0" w:right="0" w:hanging="0"/>
              <w:jc w:val="left"/>
              <w:rPr/>
            </w:pPr>
            <w:r>
              <w:rPr/>
              <w:t>​</w:t>
            </w:r>
          </w:p>
        </w:tc>
      </w:tr>
      <w:tr>
        <w:trPr/>
        <w:tc>
          <w:tcPr>
            <w:tcW w:w="42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324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Officer)</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1780" w:name="pine-20260630xex32d1.htm"/>
      <w:bookmarkStart w:id="1781" w:name="kspine20260630xex32d1"/>
      <w:bookmarkEnd w:id="1780"/>
      <w:bookmarkEnd w:id="1781"/>
      <w:r>
        <w:rPr>
          <w:rFonts w:ascii="Times New Roman;Times;serif" w:hAnsi="Times New Roman;Times;serif"/>
          <w:b/>
          <w:sz w:val="20"/>
        </w:rPr>
        <w:t>Exhibit 32.1</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connection with the Quarterly Report of Alpine Income Property Trust, Inc. (the “Company”) on Form 10-Q for the period ended June 30, 2026, as filed with the Securities and Exchange Commission on the date hereof (the “Report”), I, John P. Albright, President and Chief Executive Officer of the Company, certify, pursuant to 18 U.S.C. Section 1350, as adopted pursuant to Section 906 of the Sarbanes-Oxley Act of 2002, that:</w:t>
      </w:r>
    </w:p>
    <w:tbl>
      <w:tblPr>
        <w:tblW w:w="9858" w:type="dxa"/>
        <w:jc w:val="left"/>
        <w:tblInd w:w="0" w:type="dxa"/>
        <w:tblLayout w:type="fixed"/>
        <w:tblCellMar>
          <w:top w:w="0" w:type="dxa"/>
          <w:left w:w="0" w:type="dxa"/>
          <w:bottom w:w="0" w:type="dxa"/>
          <w:right w:w="0" w:type="dxa"/>
        </w:tblCellMar>
      </w:tblPr>
      <w:tblGrid>
        <w:gridCol w:w="23"/>
        <w:gridCol w:w="245"/>
        <w:gridCol w:w="959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Report fully complies with the requirements of Section 13(a) or 15(d) of the Securities Exchange Act of 1934; and</w:t>
            </w:r>
          </w:p>
        </w:tc>
      </w:tr>
    </w:tbl>
    <w:tbl>
      <w:tblPr>
        <w:tblW w:w="10205" w:type="dxa"/>
        <w:jc w:val="left"/>
        <w:tblInd w:w="0" w:type="dxa"/>
        <w:tblLayout w:type="fixed"/>
        <w:tblCellMar>
          <w:top w:w="0" w:type="dxa"/>
          <w:left w:w="0" w:type="dxa"/>
          <w:bottom w:w="0" w:type="dxa"/>
          <w:right w:w="0" w:type="dxa"/>
        </w:tblCellMar>
      </w:tblPr>
      <w:tblGrid>
        <w:gridCol w:w="23"/>
        <w:gridCol w:w="234"/>
        <w:gridCol w:w="9948"/>
      </w:tblGrid>
      <w:tr>
        <w:trPr/>
        <w:tc>
          <w:tcPr>
            <w:tcW w:w="2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4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the Report fairly presents, in all material respects, the financial condition and results of operations of the Company.</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Date: July 23, 2026</w:t>
      </w:r>
    </w:p>
    <w:tbl>
      <w:tblPr>
        <w:tblW w:w="3886" w:type="dxa"/>
        <w:jc w:val="center"/>
        <w:tblInd w:w="0" w:type="dxa"/>
        <w:tblLayout w:type="fixed"/>
        <w:tblCellMar>
          <w:top w:w="0" w:type="dxa"/>
          <w:left w:w="0" w:type="dxa"/>
          <w:bottom w:w="0" w:type="dxa"/>
          <w:right w:w="0" w:type="dxa"/>
        </w:tblCellMar>
      </w:tblPr>
      <w:tblGrid>
        <w:gridCol w:w="421"/>
        <w:gridCol w:w="146"/>
        <w:gridCol w:w="2614"/>
        <w:gridCol w:w="551"/>
        <w:gridCol w:w="154"/>
      </w:tblGrid>
      <w:tr>
        <w:trPr/>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8">
                      <wp:simplePos x="0" y="0"/>
                      <wp:positionH relativeFrom="character">
                        <wp:align>left</wp:align>
                      </wp:positionH>
                      <wp:positionV relativeFrom="line">
                        <wp:posOffset>635</wp:posOffset>
                      </wp:positionV>
                      <wp:extent cx="267335" cy="175260"/>
                      <wp:effectExtent l="0" t="0" r="0" b="0"/>
                      <wp:wrapNone/>
                      <wp:docPr id="477" name="Frame477"/>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9">
                      <wp:simplePos x="0" y="0"/>
                      <wp:positionH relativeFrom="character">
                        <wp:align>left</wp:align>
                      </wp:positionH>
                      <wp:positionV relativeFrom="line">
                        <wp:posOffset>635</wp:posOffset>
                      </wp:positionV>
                      <wp:extent cx="92710" cy="175260"/>
                      <wp:effectExtent l="0" t="0" r="0" b="0"/>
                      <wp:wrapNone/>
                      <wp:docPr id="478" name="Frame478"/>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0">
                      <wp:simplePos x="0" y="0"/>
                      <wp:positionH relativeFrom="character">
                        <wp:align>left</wp:align>
                      </wp:positionH>
                      <wp:positionV relativeFrom="line">
                        <wp:posOffset>635</wp:posOffset>
                      </wp:positionV>
                      <wp:extent cx="1659890" cy="175260"/>
                      <wp:effectExtent l="0" t="0" r="0" b="0"/>
                      <wp:wrapNone/>
                      <wp:docPr id="479" name="Frame479"/>
                      <a:graphic xmlns:a="http://schemas.openxmlformats.org/drawingml/2006/main">
                        <a:graphicData uri="http://schemas.microsoft.com/office/word/2010/wordprocessingShape">
                          <wps:wsp>
                            <wps:cNvSpPr txBox="1"/>
                            <wps:spPr>
                              <a:xfrm>
                                <a:off x="0" y="0"/>
                                <a:ext cx="16598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5" w:type="dxa"/>
            <w:gridSpan w:val="2"/>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1">
                      <wp:simplePos x="0" y="0"/>
                      <wp:positionH relativeFrom="character">
                        <wp:align>left</wp:align>
                      </wp:positionH>
                      <wp:positionV relativeFrom="line">
                        <wp:posOffset>635</wp:posOffset>
                      </wp:positionV>
                      <wp:extent cx="448310" cy="175260"/>
                      <wp:effectExtent l="0" t="0" r="0" b="0"/>
                      <wp:wrapNone/>
                      <wp:docPr id="480" name="Frame480"/>
                      <a:graphic xmlns:a="http://schemas.openxmlformats.org/drawingml/2006/main">
                        <a:graphicData uri="http://schemas.microsoft.com/office/word/2010/wordprocessingShape">
                          <wps:wsp>
                            <wps:cNvSpPr txBox="1"/>
                            <wps:spPr>
                              <a:xfrm>
                                <a:off x="0" y="0"/>
                                <a:ext cx="448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146" w:type="dxa"/>
            <w:tcBorders/>
            <w:vAlign w:val="center"/>
          </w:tcPr>
          <w:p>
            <w:pPr>
              <w:pStyle w:val="TableContents"/>
              <w:bidi w:val="0"/>
              <w:spacing w:before="0" w:after="0"/>
              <w:ind w:left="0" w:right="0" w:hanging="0"/>
              <w:jc w:val="left"/>
              <w:rPr/>
            </w:pPr>
            <w:r>
              <w:rPr/>
              <w:t> </w:t>
            </w:r>
          </w:p>
        </w:tc>
        <w:tc>
          <w:tcPr>
            <w:tcW w:w="3165"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John P. Albright</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42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3165" w:type="dxa"/>
            <w:gridSpan w:val="2"/>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John P. Albright</w:t>
            </w:r>
          </w:p>
        </w:tc>
        <w:tc>
          <w:tcPr>
            <w:tcW w:w="154" w:type="dxa"/>
            <w:tcBorders/>
            <w:vAlign w:val="center"/>
          </w:tcPr>
          <w:p>
            <w:pPr>
              <w:pStyle w:val="TableContents"/>
              <w:bidi w:val="0"/>
              <w:spacing w:before="0" w:after="0"/>
              <w:ind w:left="0" w:right="0" w:hanging="0"/>
              <w:jc w:val="left"/>
              <w:rPr/>
            </w:pPr>
            <w:r>
              <w:rPr/>
              <w:t>​</w:t>
            </w:r>
          </w:p>
        </w:tc>
      </w:tr>
      <w:tr>
        <w:trPr/>
        <w:tc>
          <w:tcPr>
            <w:tcW w:w="42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316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and Chief Executive Officer</w:t>
            </w:r>
          </w:p>
        </w:tc>
        <w:tc>
          <w:tcPr>
            <w:tcW w:w="154" w:type="dxa"/>
            <w:tcBorders/>
            <w:vAlign w:val="center"/>
          </w:tcPr>
          <w:p>
            <w:pPr>
              <w:pStyle w:val="TableContents"/>
              <w:bidi w:val="0"/>
              <w:spacing w:before="0" w:after="0"/>
              <w:ind w:left="0" w:right="0" w:hanging="0"/>
              <w:jc w:val="left"/>
              <w:rPr/>
            </w:pPr>
            <w:r>
              <w:rPr/>
              <w:t>​</w:t>
            </w:r>
          </w:p>
        </w:tc>
      </w:tr>
      <w:tr>
        <w:trPr/>
        <w:tc>
          <w:tcPr>
            <w:tcW w:w="42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316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1782" w:name="pine-20260630xex32d2.htm"/>
      <w:bookmarkStart w:id="1783" w:name="kspine20260630xex32d2"/>
      <w:bookmarkEnd w:id="1782"/>
      <w:bookmarkEnd w:id="1783"/>
      <w:r>
        <w:rPr>
          <w:rFonts w:ascii="Times New Roman;Times;serif" w:hAnsi="Times New Roman;Times;serif"/>
          <w:b/>
          <w:sz w:val="20"/>
        </w:rPr>
        <w:t>Exhibit 32.2</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connection with the Quarterly Report of Alpine Income Property Trust, Inc. (the “Company”) on Form 10-Q for the period ended June 30, 2026, as filed with the Securities and Exchange Commission on the date hereof (the “Report”), I, Philip R. Mays, Senior Vice President, Chief Financial Officer and Treasurer of the Company, certify, pursuant to 18 U.S.C. Section 1350, as adopted pursuant to Section 906 of the Sarbanes-Oxley Act of 2002, that:</w:t>
      </w:r>
    </w:p>
    <w:tbl>
      <w:tblPr>
        <w:tblW w:w="9858" w:type="dxa"/>
        <w:jc w:val="left"/>
        <w:tblInd w:w="0" w:type="dxa"/>
        <w:tblLayout w:type="fixed"/>
        <w:tblCellMar>
          <w:top w:w="0" w:type="dxa"/>
          <w:left w:w="0" w:type="dxa"/>
          <w:bottom w:w="0" w:type="dxa"/>
          <w:right w:w="0" w:type="dxa"/>
        </w:tblCellMar>
      </w:tblPr>
      <w:tblGrid>
        <w:gridCol w:w="23"/>
        <w:gridCol w:w="245"/>
        <w:gridCol w:w="959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Report fully complies with the requirements of Section 13(a) or 15(d) of the Securities Exchange Act of 1934; and</w:t>
            </w:r>
          </w:p>
        </w:tc>
      </w:tr>
    </w:tbl>
    <w:tbl>
      <w:tblPr>
        <w:tblW w:w="10205" w:type="dxa"/>
        <w:jc w:val="left"/>
        <w:tblInd w:w="0" w:type="dxa"/>
        <w:tblLayout w:type="fixed"/>
        <w:tblCellMar>
          <w:top w:w="0" w:type="dxa"/>
          <w:left w:w="0" w:type="dxa"/>
          <w:bottom w:w="0" w:type="dxa"/>
          <w:right w:w="0" w:type="dxa"/>
        </w:tblCellMar>
      </w:tblPr>
      <w:tblGrid>
        <w:gridCol w:w="23"/>
        <w:gridCol w:w="234"/>
        <w:gridCol w:w="9948"/>
      </w:tblGrid>
      <w:tr>
        <w:trPr/>
        <w:tc>
          <w:tcPr>
            <w:tcW w:w="2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4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the Report fairly presents, in all material respects, the financial condition and results of operations of the Company.</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Date: July 23, 2026</w:t>
      </w:r>
    </w:p>
    <w:tbl>
      <w:tblPr>
        <w:tblW w:w="3961" w:type="dxa"/>
        <w:jc w:val="left"/>
        <w:tblInd w:w="0" w:type="dxa"/>
        <w:tblLayout w:type="fixed"/>
        <w:tblCellMar>
          <w:top w:w="0" w:type="dxa"/>
          <w:left w:w="0" w:type="dxa"/>
          <w:bottom w:w="0" w:type="dxa"/>
          <w:right w:w="0" w:type="dxa"/>
        </w:tblCellMar>
      </w:tblPr>
      <w:tblGrid>
        <w:gridCol w:w="421"/>
        <w:gridCol w:w="146"/>
        <w:gridCol w:w="2675"/>
        <w:gridCol w:w="565"/>
        <w:gridCol w:w="154"/>
      </w:tblGrid>
      <w:tr>
        <w:trPr/>
        <w:tc>
          <w:tcPr>
            <w:tcW w:w="42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2">
                      <wp:simplePos x="0" y="0"/>
                      <wp:positionH relativeFrom="character">
                        <wp:align>left</wp:align>
                      </wp:positionH>
                      <wp:positionV relativeFrom="line">
                        <wp:posOffset>635</wp:posOffset>
                      </wp:positionV>
                      <wp:extent cx="92710" cy="175260"/>
                      <wp:effectExtent l="0" t="0" r="0" b="0"/>
                      <wp:wrapNone/>
                      <wp:docPr id="481" name="Frame481"/>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75" w:type="dxa"/>
            <w:tcBorders/>
            <w:vAlign w:val="center"/>
          </w:tcPr>
          <w:p>
            <w:pPr>
              <w:pStyle w:val="TableContents"/>
              <w:bidi w:val="0"/>
              <w:spacing w:before="0" w:after="0"/>
              <w:ind w:left="0" w:right="0" w:hanging="0"/>
              <w:jc w:val="left"/>
              <w:rPr/>
            </w:pPr>
            <w:r>
              <w:rPr/>
              <w:t>​</w:t>
            </w:r>
          </w:p>
        </w:tc>
        <w:tc>
          <w:tcPr>
            <w:tcW w:w="719" w:type="dxa"/>
            <w:gridSpan w:val="2"/>
            <w:tcBorders/>
            <w:vAlign w:val="center"/>
          </w:tcPr>
          <w:p>
            <w:pPr>
              <w:pStyle w:val="TableContents"/>
              <w:bidi w:val="0"/>
              <w:spacing w:before="0" w:after="0"/>
              <w:ind w:left="0" w:right="0" w:hanging="0"/>
              <w:jc w:val="left"/>
              <w:rPr/>
            </w:pPr>
            <w:r>
              <w:rPr/>
              <w:t>​</w:t>
            </w:r>
          </w:p>
        </w:tc>
      </w:tr>
      <w:tr>
        <w:trPr/>
        <w:tc>
          <w:tcPr>
            <w:tcW w:w="4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146" w:type="dxa"/>
            <w:tcBorders/>
            <w:vAlign w:val="center"/>
          </w:tcPr>
          <w:p>
            <w:pPr>
              <w:pStyle w:val="TableContents"/>
              <w:bidi w:val="0"/>
              <w:spacing w:before="0" w:after="0"/>
              <w:ind w:left="0" w:right="0" w:hanging="0"/>
              <w:jc w:val="left"/>
              <w:rPr/>
            </w:pPr>
            <w:r>
              <w:rPr/>
              <w:t> </w:t>
            </w:r>
          </w:p>
        </w:tc>
        <w:tc>
          <w:tcPr>
            <w:tcW w:w="3240"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Philip R. Mays</w:t>
            </w:r>
          </w:p>
        </w:tc>
        <w:tc>
          <w:tcPr>
            <w:tcW w:w="154" w:type="dxa"/>
            <w:tcBorders/>
            <w:vAlign w:val="center"/>
          </w:tcPr>
          <w:p>
            <w:pPr>
              <w:pStyle w:val="TableContents"/>
              <w:bidi w:val="0"/>
              <w:spacing w:before="0" w:after="0"/>
              <w:ind w:left="0" w:right="0" w:hanging="0"/>
              <w:jc w:val="left"/>
              <w:rPr/>
            </w:pPr>
            <w:r>
              <w:rPr/>
              <w:t>​</w:t>
            </w:r>
          </w:p>
        </w:tc>
      </w:tr>
      <w:tr>
        <w:trPr/>
        <w:tc>
          <w:tcPr>
            <w:tcW w:w="42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3240" w:type="dxa"/>
            <w:gridSpan w:val="2"/>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Philip R. Mays, Senior Vice President, </w:t>
            </w:r>
          </w:p>
        </w:tc>
        <w:tc>
          <w:tcPr>
            <w:tcW w:w="154" w:type="dxa"/>
            <w:tcBorders/>
            <w:vAlign w:val="center"/>
          </w:tcPr>
          <w:p>
            <w:pPr>
              <w:pStyle w:val="TableContents"/>
              <w:bidi w:val="0"/>
              <w:spacing w:before="0" w:after="0"/>
              <w:ind w:left="0" w:right="0" w:hanging="0"/>
              <w:jc w:val="left"/>
              <w:rPr/>
            </w:pPr>
            <w:r>
              <w:rPr/>
              <w:t>​</w:t>
            </w:r>
          </w:p>
        </w:tc>
      </w:tr>
      <w:tr>
        <w:trPr/>
        <w:tc>
          <w:tcPr>
            <w:tcW w:w="42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324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 and Treasurer</w:t>
            </w:r>
          </w:p>
        </w:tc>
        <w:tc>
          <w:tcPr>
            <w:tcW w:w="154" w:type="dxa"/>
            <w:tcBorders/>
            <w:vAlign w:val="center"/>
          </w:tcPr>
          <w:p>
            <w:pPr>
              <w:pStyle w:val="TableContents"/>
              <w:bidi w:val="0"/>
              <w:spacing w:before="0" w:after="0"/>
              <w:ind w:left="0" w:right="0" w:hanging="0"/>
              <w:jc w:val="left"/>
              <w:rPr/>
            </w:pPr>
            <w:r>
              <w:rPr/>
              <w:t>​</w:t>
            </w:r>
          </w:p>
        </w:tc>
      </w:tr>
      <w:tr>
        <w:trPr/>
        <w:tc>
          <w:tcPr>
            <w:tcW w:w="42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324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Officer)</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0001786117/000155837019011294/ex-3d1.htm" TargetMode="External"/><Relationship Id="rId3" Type="http://schemas.openxmlformats.org/officeDocument/2006/relationships/hyperlink" Target="https://www.sec.gov/Archives/edgar/data/1786117/000155837023000881/pine-20230201xex3d1.htm" TargetMode="External"/><Relationship Id="rId4" Type="http://schemas.openxmlformats.org/officeDocument/2006/relationships/hyperlink" Target="https://www.sec.gov/Archives/edgar/data/1786117/000110465925109185/tm2530776d1_ex3-2.htm" TargetMode="External"/><Relationship Id="rId5" Type="http://schemas.openxmlformats.org/officeDocument/2006/relationships/hyperlink" Target="https://www.sec.gov/Archives/edgar/data/1786117/000110465925118920/tm2532814d1_ex3-1.htm" TargetMode="External"/><Relationship Id="rId6" Type="http://schemas.openxmlformats.org/officeDocument/2006/relationships/hyperlink" Target="https://www.sec.gov/Archives/edgar/data/0001786117/000119312519277917/d793798dex41.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26442</Words>
  <Characters>144230</Characters>
  <CharactersWithSpaces>172804</CharactersWithSpaces>
  <Paragraphs>8147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