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5" w:lineRule="exact"/>
        <w:rPr>
          <w:sz w:val="24"/>
          <w:szCs w:val="24"/>
          <w:color w:val="auto"/>
        </w:rPr>
      </w:pPr>
    </w:p>
    <w:p>
      <w:pPr>
        <w:ind w:left="3140" w:right="1379" w:hanging="3090"/>
        <w:spacing w:after="0" w:line="267" w:lineRule="auto"/>
        <w:tabs>
          <w:tab w:leader="none" w:pos="607"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16" w:lineRule="exact"/>
        <w:rPr>
          <w:sz w:val="24"/>
          <w:szCs w:val="24"/>
          <w:color w:val="auto"/>
        </w:rPr>
      </w:pPr>
    </w:p>
    <w:p>
      <w:pPr>
        <w:ind w:left="580" w:hanging="530"/>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6" w:lineRule="exact"/>
        <w:rPr>
          <w:sz w:val="24"/>
          <w:szCs w:val="24"/>
          <w:color w:val="auto"/>
        </w:rPr>
      </w:pPr>
    </w:p>
    <w:p>
      <w:pPr>
        <w:ind w:left="3160"/>
        <w:spacing w:after="0"/>
        <w:tabs>
          <w:tab w:leader="none" w:pos="53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3206750</wp:posOffset>
            </wp:positionH>
            <wp:positionV relativeFrom="paragraph">
              <wp:posOffset>-1270</wp:posOffset>
            </wp:positionV>
            <wp:extent cx="509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83820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ALPINE INCOME PROPERTY TRUST,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gridSpan w:val="4"/>
          </w:tcPr>
          <w:p>
            <w:pPr>
              <w:jc w:val="center"/>
              <w:ind w:left="708"/>
              <w:spacing w:after="0"/>
              <w:rPr>
                <w:sz w:val="20"/>
                <w:szCs w:val="20"/>
                <w:color w:val="auto"/>
              </w:rPr>
            </w:pPr>
            <w:r>
              <w:rPr>
                <w:rFonts w:ascii="Arial" w:cs="Arial" w:eastAsia="Arial" w:hAnsi="Arial"/>
                <w:sz w:val="14"/>
                <w:szCs w:val="14"/>
                <w:b w:val="1"/>
                <w:bCs w:val="1"/>
                <w:color w:val="auto"/>
              </w:rPr>
              <w:t>Maryland</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jc w:val="right"/>
              <w:ind w:right="1808"/>
              <w:spacing w:after="0"/>
              <w:rPr>
                <w:sz w:val="20"/>
                <w:szCs w:val="20"/>
                <w:color w:val="auto"/>
              </w:rPr>
            </w:pPr>
            <w:r>
              <w:rPr>
                <w:rFonts w:ascii="Arial" w:cs="Arial" w:eastAsia="Arial" w:hAnsi="Arial"/>
                <w:sz w:val="14"/>
                <w:szCs w:val="14"/>
                <w:b w:val="1"/>
                <w:bCs w:val="1"/>
                <w:color w:val="auto"/>
              </w:rPr>
              <w:t>84-2769895</w:t>
            </w:r>
          </w:p>
        </w:tc>
        <w:tc>
          <w:tcPr>
            <w:tcW w:w="0" w:type="dxa"/>
            <w:vAlign w:val="bottom"/>
          </w:tcPr>
          <w:p>
            <w:pPr>
              <w:spacing w:after="0"/>
              <w:rPr>
                <w:sz w:val="1"/>
                <w:szCs w:val="1"/>
                <w:color w:val="auto"/>
              </w:rPr>
            </w:pPr>
          </w:p>
        </w:tc>
      </w:tr>
      <w:tr>
        <w:trPr>
          <w:trHeight w:val="148"/>
        </w:trPr>
        <w:tc>
          <w:tcPr>
            <w:tcW w:w="368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tcPr>
          <w:p>
            <w:pPr>
              <w:jc w:val="center"/>
              <w:ind w:right="15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4"/>
              </w:rPr>
              <w:t>incorporation or organization)</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jc w:val="center"/>
              <w:ind w:right="154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05"/>
        </w:trPr>
        <w:tc>
          <w:tcPr>
            <w:tcW w:w="36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3"/>
              </w:rPr>
              <w:t>1140 N. Williamson Blvd., Suite 140</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vMerge w:val="restart"/>
          </w:tcPr>
          <w:p>
            <w:pPr>
              <w:jc w:val="right"/>
              <w:ind w:right="1988"/>
              <w:spacing w:after="0"/>
              <w:rPr>
                <w:sz w:val="20"/>
                <w:szCs w:val="20"/>
                <w:color w:val="auto"/>
              </w:rPr>
            </w:pPr>
            <w:r>
              <w:rPr>
                <w:rFonts w:ascii="Arial" w:cs="Arial" w:eastAsia="Arial" w:hAnsi="Arial"/>
                <w:sz w:val="14"/>
                <w:szCs w:val="14"/>
                <w:b w:val="1"/>
                <w:bCs w:val="1"/>
                <w:color w:val="auto"/>
              </w:rPr>
              <w:t>32114</w:t>
            </w:r>
          </w:p>
        </w:tc>
        <w:tc>
          <w:tcPr>
            <w:tcW w:w="0" w:type="dxa"/>
            <w:vAlign w:val="bottom"/>
          </w:tcPr>
          <w:p>
            <w:pPr>
              <w:spacing w:after="0"/>
              <w:rPr>
                <w:sz w:val="1"/>
                <w:szCs w:val="1"/>
                <w:color w:val="auto"/>
              </w:rPr>
            </w:pPr>
          </w:p>
        </w:tc>
      </w:tr>
      <w:tr>
        <w:trPr>
          <w:trHeight w:val="148"/>
        </w:trPr>
        <w:tc>
          <w:tcPr>
            <w:tcW w:w="3680" w:type="dxa"/>
            <w:vAlign w:val="bottom"/>
            <w:gridSpan w:val="4"/>
          </w:tcPr>
          <w:p>
            <w:pPr>
              <w:jc w:val="center"/>
              <w:ind w:left="708"/>
              <w:spacing w:after="0" w:line="149" w:lineRule="exact"/>
              <w:rPr>
                <w:sz w:val="20"/>
                <w:szCs w:val="20"/>
                <w:color w:val="auto"/>
              </w:rPr>
            </w:pPr>
            <w:r>
              <w:rPr>
                <w:rFonts w:ascii="Arial" w:cs="Arial" w:eastAsia="Arial" w:hAnsi="Arial"/>
                <w:sz w:val="14"/>
                <w:szCs w:val="14"/>
                <w:b w:val="1"/>
                <w:bCs w:val="1"/>
                <w:color w:val="auto"/>
                <w:w w:val="93"/>
              </w:rPr>
              <w:t>Daytona Beach, Florida</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80" w:type="dxa"/>
            <w:vAlign w:val="bottom"/>
            <w:gridSpan w:val="4"/>
          </w:tcPr>
          <w:p>
            <w:pPr>
              <w:jc w:val="center"/>
              <w:ind w:left="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jc w:val="center"/>
              <w:ind w:right="15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3200" w:type="dxa"/>
            <w:vAlign w:val="bottom"/>
            <w:gridSpan w:val="6"/>
          </w:tcPr>
          <w:p>
            <w:pPr>
              <w:jc w:val="center"/>
              <w:ind w:right="40"/>
              <w:spacing w:after="0" w:line="151"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(386) 274-2202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340" w:type="dxa"/>
            <w:vAlign w:val="bottom"/>
            <w:gridSpan w:val="3"/>
          </w:tcPr>
          <w:p>
            <w:pPr>
              <w:spacing w:after="0"/>
              <w:rPr>
                <w:sz w:val="9"/>
                <w:szCs w:val="9"/>
                <w:color w:val="auto"/>
              </w:rPr>
            </w:pPr>
          </w:p>
        </w:tc>
        <w:tc>
          <w:tcPr>
            <w:tcW w:w="2220" w:type="dxa"/>
            <w:vAlign w:val="bottom"/>
            <w:tcBorders>
              <w:bottom w:val="single" w:sz="8" w:color="auto"/>
            </w:tcBorders>
            <w:gridSpan w:val="2"/>
          </w:tcPr>
          <w:p>
            <w:pPr>
              <w:spacing w:after="0"/>
              <w:rPr>
                <w:sz w:val="9"/>
                <w:szCs w:val="9"/>
                <w:color w:val="auto"/>
              </w:rPr>
            </w:pPr>
          </w:p>
        </w:tc>
        <w:tc>
          <w:tcPr>
            <w:tcW w:w="33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8900" w:type="dxa"/>
            <w:vAlign w:val="bottom"/>
            <w:gridSpan w:val="8"/>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51"/>
        </w:trPr>
        <w:tc>
          <w:tcPr>
            <w:tcW w:w="3680" w:type="dxa"/>
            <w:vAlign w:val="bottom"/>
            <w:gridSpan w:val="4"/>
            <w:vMerge w:val="restart"/>
          </w:tcPr>
          <w:p>
            <w:pPr>
              <w:jc w:val="center"/>
              <w:ind w:right="840"/>
              <w:spacing w:after="0"/>
              <w:rPr>
                <w:sz w:val="20"/>
                <w:szCs w:val="20"/>
                <w:color w:val="auto"/>
              </w:rPr>
            </w:pPr>
            <w:r>
              <w:rPr>
                <w:rFonts w:ascii="Arial" w:cs="Arial" w:eastAsia="Arial" w:hAnsi="Arial"/>
                <w:sz w:val="14"/>
                <w:szCs w:val="14"/>
                <w:b w:val="1"/>
                <w:bCs w:val="1"/>
                <w:color w:val="auto"/>
                <w:w w:val="89"/>
              </w:rPr>
              <w:t>Title of each class</w:t>
            </w:r>
          </w:p>
        </w:tc>
        <w:tc>
          <w:tcPr>
            <w:tcW w:w="238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4"/>
              </w:rPr>
              <w:t>Trading Symbol</w:t>
            </w:r>
          </w:p>
        </w:tc>
        <w:tc>
          <w:tcPr>
            <w:tcW w:w="2840" w:type="dxa"/>
            <w:vAlign w:val="bottom"/>
          </w:tcPr>
          <w:p>
            <w:pPr>
              <w:jc w:val="center"/>
              <w:ind w:left="28"/>
              <w:spacing w:after="0" w:line="151" w:lineRule="exact"/>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3680" w:type="dxa"/>
            <w:vAlign w:val="bottom"/>
            <w:gridSpan w:val="4"/>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284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76"/>
        </w:trPr>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rPr>
              <w:t>PINE</w:t>
            </w:r>
          </w:p>
        </w:tc>
        <w:tc>
          <w:tcPr>
            <w:tcW w:w="180" w:type="dxa"/>
            <w:vAlign w:val="bottom"/>
          </w:tcPr>
          <w:p>
            <w:pPr>
              <w:spacing w:after="0"/>
              <w:rPr>
                <w:sz w:val="15"/>
                <w:szCs w:val="15"/>
                <w:color w:val="auto"/>
              </w:rPr>
            </w:pPr>
          </w:p>
        </w:tc>
        <w:tc>
          <w:tcPr>
            <w:tcW w:w="2840" w:type="dxa"/>
            <w:vAlign w:val="bottom"/>
            <w:tcBorders>
              <w:top w:val="single" w:sz="8" w:color="auto"/>
            </w:tcBorders>
          </w:tcPr>
          <w:p>
            <w:pPr>
              <w:ind w:left="1220"/>
              <w:spacing w:after="0"/>
              <w:rPr>
                <w:sz w:val="20"/>
                <w:szCs w:val="20"/>
                <w:color w:val="auto"/>
              </w:rPr>
            </w:pPr>
            <w:r>
              <w:rPr>
                <w:rFonts w:ascii="Arial" w:cs="Arial" w:eastAsia="Arial" w:hAnsi="Arial"/>
                <w:sz w:val="14"/>
                <w:szCs w:val="14"/>
                <w:b w:val="1"/>
                <w:bCs w:val="1"/>
                <w:color w:val="auto"/>
              </w:rPr>
              <w:t>NYSE</w:t>
            </w:r>
          </w:p>
        </w:tc>
        <w:tc>
          <w:tcPr>
            <w:tcW w:w="0" w:type="dxa"/>
            <w:vAlign w:val="bottom"/>
          </w:tcPr>
          <w:p>
            <w:pPr>
              <w:spacing w:after="0"/>
              <w:rPr>
                <w:sz w:val="1"/>
                <w:szCs w:val="1"/>
                <w:color w:val="auto"/>
              </w:rPr>
            </w:pPr>
          </w:p>
        </w:tc>
      </w:tr>
    </w:tbl>
    <w:p>
      <w:pPr>
        <w:jc w:val="center"/>
        <w:spacing w:after="0" w:line="221" w:lineRule="auto"/>
        <w:rPr>
          <w:sz w:val="20"/>
          <w:szCs w:val="20"/>
          <w:color w:val="auto"/>
        </w:rPr>
      </w:pPr>
      <w:r>
        <w:rPr>
          <w:rFonts w:ascii="Arial" w:cs="Arial" w:eastAsia="Arial" w:hAnsi="Arial"/>
          <w:sz w:val="14"/>
          <w:szCs w:val="14"/>
          <w:b w:val="1"/>
          <w:bCs w:val="1"/>
          <w:color w:val="auto"/>
        </w:rPr>
        <w:t>SECURITIES REGISTERED PURSUANT TO SECTION 12(g) OF THE ACT:</w:t>
      </w: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85" w:lineRule="exact"/>
        <w:rPr>
          <w:sz w:val="24"/>
          <w:szCs w:val="24"/>
          <w:color w:val="auto"/>
        </w:rPr>
      </w:pPr>
    </w:p>
    <w:p>
      <w:pPr>
        <w:ind w:left="60" w:right="919"/>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 w:lineRule="exact"/>
        <w:rPr>
          <w:sz w:val="24"/>
          <w:szCs w:val="24"/>
          <w:color w:val="auto"/>
        </w:rPr>
      </w:pPr>
    </w:p>
    <w:p>
      <w:pPr>
        <w:jc w:val="both"/>
        <w:ind w:left="60" w:right="59"/>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left="60" w:right="79"/>
        <w:spacing w:after="0" w:line="170"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left="60" w:right="2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7"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jc w:val="center"/>
        <w:ind w:right="220"/>
        <w:spacing w:after="0" w:line="162"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jc w:val="both"/>
        <w:ind w:right="79" w:hanging="2"/>
        <w:spacing w:after="0" w:line="188"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Emerging growth company </w:t>
      </w:r>
      <w:r>
        <w:rPr>
          <w:rFonts w:ascii="Arial Unicode MS" w:cs="Arial Unicode MS" w:eastAsia="Arial Unicode MS" w:hAnsi="Arial Unicode MS"/>
          <w:sz w:val="13"/>
          <w:szCs w:val="13"/>
          <w:color w:val="auto"/>
        </w:rPr>
        <w:t>⌧</w:t>
      </w:r>
    </w:p>
    <w:p>
      <w:pPr>
        <w:spacing w:after="0" w:line="5" w:lineRule="exact"/>
        <w:rPr>
          <w:sz w:val="24"/>
          <w:szCs w:val="24"/>
          <w:color w:val="auto"/>
        </w:rPr>
      </w:pPr>
    </w:p>
    <w:p>
      <w:pPr>
        <w:sectPr>
          <w:pgSz w:w="11900" w:h="16838" w:orient="portrait"/>
          <w:cols w:equalWidth="0" w:num="4">
            <w:col w:w="1740" w:space="720"/>
            <w:col w:w="1340" w:space="720"/>
            <w:col w:w="1920" w:space="720"/>
            <w:col w:w="1859"/>
          </w:cols>
          <w:pgMar w:left="1440" w:top="665" w:right="1440" w:bottom="1440" w:gutter="0" w:footer="0" w:header="0"/>
          <w:type w:val="continuous"/>
        </w:sectPr>
      </w:pPr>
    </w:p>
    <w:p>
      <w:pPr>
        <w:ind w:left="60" w:right="119"/>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jc w:val="both"/>
        <w:ind w:left="60" w:right="59"/>
        <w:spacing w:after="0" w:line="265"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88" w:lineRule="exact"/>
        <w:rPr>
          <w:sz w:val="20"/>
          <w:szCs w:val="20"/>
          <w:color w:val="auto"/>
        </w:rPr>
      </w:pPr>
      <w:r>
        <w:rPr>
          <w:rFonts w:ascii="Arial" w:cs="Arial" w:eastAsia="Arial" w:hAnsi="Arial"/>
          <w:sz w:val="14"/>
          <w:szCs w:val="14"/>
          <w:color w:val="auto"/>
        </w:rPr>
        <w:t xml:space="preserve">prepared or issued its audit report.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ind w:left="60"/>
        <w:spacing w:after="0" w:line="188"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jc w:val="both"/>
        <w:ind w:left="60" w:right="59"/>
        <w:spacing w:after="0" w:line="227" w:lineRule="auto"/>
        <w:rPr>
          <w:sz w:val="20"/>
          <w:szCs w:val="20"/>
          <w:color w:val="auto"/>
        </w:rPr>
      </w:pPr>
      <w:r>
        <w:rPr>
          <w:rFonts w:ascii="Arial" w:cs="Arial" w:eastAsia="Arial" w:hAnsi="Arial"/>
          <w:sz w:val="14"/>
          <w:szCs w:val="14"/>
          <w:color w:val="auto"/>
        </w:rPr>
        <w:t>On June 30, 2020, the last business day of the Registrant’s most recently completed second fiscal quarter, the aggregate market value of the Registrant’s common stock held by non-affiliates of the Registrant was $107,384,455 based on the closing sales price of the Registrant’s common stock on such date 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 officers, directors or 10% beneficial owners are, in fact, affiliates of the Registrant.</w:t>
      </w:r>
    </w:p>
    <w:p>
      <w:pPr>
        <w:spacing w:after="0" w:line="10" w:lineRule="exact"/>
        <w:rPr>
          <w:sz w:val="24"/>
          <w:szCs w:val="24"/>
          <w:color w:val="auto"/>
        </w:rPr>
      </w:pPr>
    </w:p>
    <w:p>
      <w:pPr>
        <w:jc w:val="right"/>
        <w:ind w:left="60" w:right="2859"/>
        <w:spacing w:after="0" w:line="281" w:lineRule="auto"/>
        <w:rPr>
          <w:sz w:val="20"/>
          <w:szCs w:val="20"/>
          <w:color w:val="auto"/>
        </w:rPr>
      </w:pPr>
      <w:r>
        <w:rPr>
          <w:rFonts w:ascii="Arial" w:cs="Arial" w:eastAsia="Arial" w:hAnsi="Arial"/>
          <w:sz w:val="14"/>
          <w:szCs w:val="14"/>
          <w:color w:val="auto"/>
        </w:rPr>
        <w:t xml:space="preserve">The number of shares of the registrant’s common stock outstanding on February 10, 2021 was 7,462,341.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ind w:left="60" w:right="79"/>
        <w:spacing w:after="0" w:line="290" w:lineRule="auto"/>
        <w:rPr>
          <w:sz w:val="20"/>
          <w:szCs w:val="20"/>
          <w:color w:val="auto"/>
        </w:rPr>
      </w:pPr>
      <w:r>
        <w:rPr>
          <w:rFonts w:ascii="Arial" w:cs="Arial" w:eastAsia="Arial" w:hAnsi="Arial"/>
          <w:sz w:val="13"/>
          <w:szCs w:val="13"/>
          <w:color w:val="auto"/>
        </w:rPr>
        <w:t>Portions of the registrant’s Proxy Statement for the 2021 Annual Meeting of Stockholders, which will be filed with the Securities and Exchange Commission within 120 days after the end of the registrant’s fiscal year ended December 31, 2020,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442595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39370</wp:posOffset>
            </wp:positionV>
            <wp:extent cx="5657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4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40" w:type="dxa"/>
            <w:vAlign w:val="bottom"/>
            <w:vMerge w:val="restart"/>
          </w:tcPr>
          <w:p>
            <w:pPr>
              <w:ind w:left="1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 #</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318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rFonts w:ascii="Arial" w:cs="Arial" w:eastAsia="Arial" w:hAnsi="Arial"/>
                <w:sz w:val="18"/>
                <w:szCs w:val="18"/>
                <w:color w:val="0000EE"/>
              </w:rPr>
            </w:pPr>
            <w:hyperlink w:anchor="page13">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3180" w:type="dxa"/>
            <w:vAlign w:val="bottom"/>
          </w:tcPr>
          <w:p>
            <w:pPr>
              <w:ind w:left="2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1B.</w:t>
              </w:r>
            </w:hyperlink>
          </w:p>
        </w:tc>
        <w:tc>
          <w:tcPr>
            <w:tcW w:w="3180" w:type="dxa"/>
            <w:vAlign w:val="bottom"/>
          </w:tcPr>
          <w:p>
            <w:pPr>
              <w:ind w:left="240"/>
              <w:spacing w:after="0"/>
              <w:rPr>
                <w:rFonts w:ascii="Arial" w:cs="Arial" w:eastAsia="Arial" w:hAnsi="Arial"/>
                <w:sz w:val="18"/>
                <w:szCs w:val="18"/>
                <w:u w:val="single" w:color="auto"/>
                <w:color w:val="0000EE"/>
                <w:w w:val="98"/>
              </w:rPr>
            </w:pPr>
            <w:hyperlink w:anchor="page46">
              <w:r>
                <w:rPr>
                  <w:rFonts w:ascii="Arial" w:cs="Arial" w:eastAsia="Arial" w:hAnsi="Arial"/>
                  <w:sz w:val="18"/>
                  <w:szCs w:val="18"/>
                  <w:u w:val="single" w:color="auto"/>
                  <w:color w:val="0000EE"/>
                  <w:w w:val="98"/>
                </w:rPr>
                <w:t>UNRESOLVED STAFF COMMENTS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w:t>
              </w:r>
            </w:hyperlink>
          </w:p>
        </w:tc>
        <w:tc>
          <w:tcPr>
            <w:tcW w:w="3180" w:type="dxa"/>
            <w:vAlign w:val="bottom"/>
          </w:tcPr>
          <w:p>
            <w:pPr>
              <w:ind w:left="2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PROPERTIES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3.</w:t>
              </w:r>
            </w:hyperlink>
          </w:p>
        </w:tc>
        <w:tc>
          <w:tcPr>
            <w:tcW w:w="3180" w:type="dxa"/>
            <w:vAlign w:val="bottom"/>
          </w:tcPr>
          <w:p>
            <w:pPr>
              <w:ind w:left="2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4.</w:t>
              </w:r>
            </w:hyperlink>
          </w:p>
        </w:tc>
        <w:tc>
          <w:tcPr>
            <w:tcW w:w="3180" w:type="dxa"/>
            <w:vAlign w:val="bottom"/>
          </w:tcPr>
          <w:p>
            <w:pPr>
              <w:ind w:left="2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MINE SAFETY DISCLOSURES</w:t>
              </w:r>
            </w:hyperlink>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PART II</w:t>
            </w:r>
          </w:p>
        </w:tc>
        <w:tc>
          <w:tcPr>
            <w:tcW w:w="720" w:type="dxa"/>
            <w:vAlign w:val="bottom"/>
          </w:tcPr>
          <w:p>
            <w:pPr>
              <w:spacing w:after="0"/>
              <w:rPr>
                <w:sz w:val="19"/>
                <w:szCs w:val="19"/>
                <w:color w:val="auto"/>
              </w:rPr>
            </w:pPr>
          </w:p>
        </w:tc>
      </w:tr>
      <w:tr>
        <w:trPr>
          <w:trHeight w:val="190"/>
        </w:trPr>
        <w:tc>
          <w:tcPr>
            <w:tcW w:w="1120" w:type="dxa"/>
            <w:vAlign w:val="bottom"/>
          </w:tcPr>
          <w:p>
            <w:pPr>
              <w:spacing w:after="0" w:line="190" w:lineRule="exact"/>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5.</w:t>
              </w:r>
            </w:hyperlink>
          </w:p>
        </w:tc>
        <w:tc>
          <w:tcPr>
            <w:tcW w:w="7040" w:type="dxa"/>
            <w:vAlign w:val="bottom"/>
            <w:gridSpan w:val="5"/>
          </w:tcPr>
          <w:p>
            <w:pPr>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MARKET FOR REGISTRANT’S COMMON EQUITY, RELATED</w:t>
              </w:r>
            </w:hyperlink>
          </w:p>
        </w:tc>
        <w:tc>
          <w:tcPr>
            <w:tcW w:w="72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120" w:type="dxa"/>
            <w:vAlign w:val="bottom"/>
          </w:tcPr>
          <w:p>
            <w:pPr>
              <w:spacing w:after="0"/>
              <w:rPr>
                <w:sz w:val="19"/>
                <w:szCs w:val="19"/>
                <w:color w:val="auto"/>
              </w:rPr>
            </w:pPr>
          </w:p>
        </w:tc>
        <w:tc>
          <w:tcPr>
            <w:tcW w:w="7040" w:type="dxa"/>
            <w:vAlign w:val="bottom"/>
            <w:gridSpan w:val="5"/>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STOCKHOLDER MATTERS, AND ISSUER PURCHASES OF EQUITY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6.</w:t>
              </w:r>
            </w:hyperlink>
          </w:p>
        </w:tc>
        <w:tc>
          <w:tcPr>
            <w:tcW w:w="704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SELECTED FINANCIAL DATA</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0"/>
        </w:trPr>
        <w:tc>
          <w:tcPr>
            <w:tcW w:w="1120" w:type="dxa"/>
            <w:vAlign w:val="bottom"/>
          </w:tcPr>
          <w:p>
            <w:pPr>
              <w:spacing w:after="0" w:line="190"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7.</w:t>
              </w:r>
            </w:hyperlink>
          </w:p>
        </w:tc>
        <w:tc>
          <w:tcPr>
            <w:tcW w:w="7040" w:type="dxa"/>
            <w:vAlign w:val="bottom"/>
            <w:gridSpan w:val="5"/>
          </w:tcPr>
          <w:p>
            <w:pPr>
              <w:spacing w:after="0" w:line="190" w:lineRule="exact"/>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w:t>
              </w:r>
            </w:hyperlink>
          </w:p>
        </w:tc>
        <w:tc>
          <w:tcPr>
            <w:tcW w:w="72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62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AND RESULTS OF OPERATIONS</w:t>
              </w:r>
            </w:hyperlink>
          </w:p>
        </w:tc>
        <w:tc>
          <w:tcPr>
            <w:tcW w:w="8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120" w:type="dxa"/>
            <w:vAlign w:val="bottom"/>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12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704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8.</w:t>
              </w:r>
            </w:hyperlink>
          </w:p>
        </w:tc>
        <w:tc>
          <w:tcPr>
            <w:tcW w:w="704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FINANCIAL STATEMENTS AND SUPPLEMENTARY DATA</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120" w:type="dxa"/>
            <w:vAlign w:val="bottom"/>
          </w:tcPr>
          <w:p>
            <w:pPr>
              <w:spacing w:after="0" w:line="190"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9.</w:t>
              </w:r>
            </w:hyperlink>
          </w:p>
        </w:tc>
        <w:tc>
          <w:tcPr>
            <w:tcW w:w="6480" w:type="dxa"/>
            <w:vAlign w:val="bottom"/>
            <w:tcBorders>
              <w:bottom w:val="single" w:sz="8" w:color="0000EE"/>
            </w:tcBorders>
            <w:gridSpan w:val="4"/>
          </w:tcPr>
          <w:p>
            <w:pPr>
              <w:spacing w:after="0" w:line="190"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CHANGES IN AND DISAGREEMENTS WITH ACCOUNTANTS ON ACCOUNTING</w:t>
              </w:r>
            </w:hyperlink>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260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AND FINANCIAL DISCLOSURE</w:t>
              </w:r>
            </w:hyperlink>
          </w:p>
        </w:tc>
        <w:tc>
          <w:tcPr>
            <w:tcW w:w="44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22"/>
        </w:trPr>
        <w:tc>
          <w:tcPr>
            <w:tcW w:w="112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704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CONTROLS AND PROCEDURES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2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9B.</w:t>
              </w:r>
            </w:hyperlink>
          </w:p>
        </w:tc>
        <w:tc>
          <w:tcPr>
            <w:tcW w:w="7040" w:type="dxa"/>
            <w:vAlign w:val="bottom"/>
            <w:gridSpan w:val="5"/>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0" w:type="dxa"/>
            <w:vAlign w:val="bottom"/>
            <w:gridSpan w:val="4"/>
          </w:tcPr>
          <w:p>
            <w:pPr>
              <w:ind w:left="164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PART III</w:t>
              </w:r>
            </w:hyperlink>
          </w:p>
        </w:tc>
        <w:tc>
          <w:tcPr>
            <w:tcW w:w="600" w:type="dxa"/>
            <w:vAlign w:val="bottom"/>
          </w:tcPr>
          <w:p>
            <w:pPr>
              <w:spacing w:after="0"/>
              <w:rPr>
                <w:sz w:val="19"/>
                <w:szCs w:val="19"/>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10.</w:t>
              </w:r>
            </w:hyperlink>
          </w:p>
        </w:tc>
        <w:tc>
          <w:tcPr>
            <w:tcW w:w="7160" w:type="dxa"/>
            <w:vAlign w:val="bottom"/>
            <w:gridSpan w:val="5"/>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DIRECTORS, EXECUTIVE OFFICERS, AND CORPORATE GOVERNANCE</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11.</w:t>
              </w:r>
            </w:hyperlink>
          </w:p>
        </w:tc>
        <w:tc>
          <w:tcPr>
            <w:tcW w:w="7160" w:type="dxa"/>
            <w:vAlign w:val="bottom"/>
            <w:gridSpan w:val="5"/>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EXECUTIVE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0"/>
        </w:trPr>
        <w:tc>
          <w:tcPr>
            <w:tcW w:w="1120" w:type="dxa"/>
            <w:vAlign w:val="bottom"/>
          </w:tcPr>
          <w:p>
            <w:pPr>
              <w:spacing w:after="0" w:line="190"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12.</w:t>
              </w:r>
            </w:hyperlink>
          </w:p>
        </w:tc>
        <w:tc>
          <w:tcPr>
            <w:tcW w:w="6720" w:type="dxa"/>
            <w:vAlign w:val="bottom"/>
            <w:tcBorders>
              <w:bottom w:val="single" w:sz="8" w:color="0000EE"/>
            </w:tcBorders>
            <w:gridSpan w:val="4"/>
          </w:tcPr>
          <w:p>
            <w:pPr>
              <w:spacing w:after="0" w:line="190"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SECURITY OWNERSHIP OF CERTAIN BENEFICIAL OWNERS AND MANAGEMENT</w:t>
              </w:r>
            </w:hyperlink>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AND RELATED STOCKHOLDER MATTERS</w:t>
              </w:r>
            </w:hyperlink>
          </w:p>
        </w:tc>
        <w:tc>
          <w:tcPr>
            <w:tcW w:w="370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tcPr>
          <w:p>
            <w:pPr>
              <w:spacing w:after="0" w:line="196"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13.</w:t>
              </w:r>
            </w:hyperlink>
          </w:p>
        </w:tc>
        <w:tc>
          <w:tcPr>
            <w:tcW w:w="62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CERTAIN RELATIONSHIPS AND RELATED TRANSACTIONS, AND DIRECTOR</w:t>
              </w:r>
            </w:hyperlink>
          </w:p>
        </w:tc>
        <w:tc>
          <w:tcPr>
            <w:tcW w:w="8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160" w:type="dxa"/>
            <w:vAlign w:val="bottom"/>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INDEPENDENCE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7"/>
        </w:trPr>
        <w:tc>
          <w:tcPr>
            <w:tcW w:w="112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14.</w:t>
              </w:r>
            </w:hyperlink>
          </w:p>
        </w:tc>
        <w:tc>
          <w:tcPr>
            <w:tcW w:w="7160" w:type="dxa"/>
            <w:vAlign w:val="bottom"/>
            <w:gridSpan w:val="5"/>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PRINCIPAL ACCOUNTANT FEES AND SERVICES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6180" w:type="dxa"/>
            <w:vAlign w:val="bottom"/>
          </w:tcPr>
          <w:p>
            <w:pPr>
              <w:ind w:left="318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PART IV</w:t>
              </w:r>
            </w:hyperlink>
          </w:p>
        </w:tc>
        <w:tc>
          <w:tcPr>
            <w:tcW w:w="1780" w:type="dxa"/>
            <w:vAlign w:val="bottom"/>
          </w:tcPr>
          <w:p>
            <w:pPr>
              <w:spacing w:after="0"/>
              <w:rPr>
                <w:sz w:val="19"/>
                <w:szCs w:val="19"/>
                <w:color w:val="auto"/>
              </w:rPr>
            </w:pPr>
          </w:p>
        </w:tc>
      </w:tr>
      <w:tr>
        <w:trPr>
          <w:trHeight w:val="216"/>
        </w:trPr>
        <w:tc>
          <w:tcPr>
            <w:tcW w:w="960" w:type="dxa"/>
            <w:vAlign w:val="bottom"/>
          </w:tcPr>
          <w:p>
            <w:pPr>
              <w:ind w:left="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15.</w:t>
              </w:r>
            </w:hyperlink>
          </w:p>
        </w:tc>
        <w:tc>
          <w:tcPr>
            <w:tcW w:w="6180" w:type="dxa"/>
            <w:vAlign w:val="bottom"/>
          </w:tcPr>
          <w:p>
            <w:pPr>
              <w:ind w:left="1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EXHIBITS AND FINANCIAL STATEMENT SCHEDULES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60" w:type="dxa"/>
            <w:vAlign w:val="bottom"/>
          </w:tcPr>
          <w:p>
            <w:pPr>
              <w:ind w:left="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6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006"/>
        </w:trPr>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a real estate company that owns and operates a high-quality portfolio of single-tenant commercial properties all located in the United States. Our properties are primarily leased to industry leading, creditworthy tenants, many of which operate in industries we believe are resistant to the impact of e-commerce. Our portfolio consists of 48 single-tenant, primarily net leased, retail and office properties located in 34 markets in 18 states. Twenty of these properties, representing our initial portfolio, were acquired from CTO Realty Growth, Inc. (“CTO”), a public company listed on the New York Stock Exchange (the “NYSE”) under the symbol “CTO”, in the Formation Transactions (defined below) utilizing $125.9 million of proceeds from our initial public offering of our common stock (the “IPO”) and the issuance of 1,223,854 units of our operating partnership (the “OP Units”) that had an initial value of $23.3 million based on the IPO price of $19.00 per share (the “IPO Price”). The remaining 28 properties, net of one property disposed of during 2020, were acquired during the year ended December 31, 2020. For four of our properties in our portfolio, we own the land and are the lessor in a long-term ground lease to the tenant. See Note 17, “Subsequent Events” to the consolidated and combined financial statements included in Item 8, “Financial Statements and Supplementary Data” in this Annual Report on Form 10-K for information related to the single-tenant income properties acquired subsequent to December 31, 2020.</w:t>
      </w:r>
    </w:p>
    <w:p>
      <w:pPr>
        <w:spacing w:after="0" w:line="17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portfolio is comprised of single-tenant retail and office properties primarily located in or in close proximity to major Metropolitan Statistical Areas (“MSAs”), growth markets and other markets in the United States with favorable economic and demographic conditions. The properties in our portfolio are primarily triple-net leases, which generally require the tenant to pay all of the property operating expenses such as real estate taxes, insurance, assessments and other governmental fees, utilities, repairs and maintenance expenses and certain capital expenditures.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elected to be taxed as a real estate investment trust (“REIT”) for U.S. federal income tax purposes commencing with our short taxable year beginning on November 26, 2019 and ending on December 31, 2019. We believe that, commencing with such short taxable year, we have been organized and have operated in such a manner as to qualify for taxation as a REIT under the U.S. federal income tax laws. We intend to continue to operate in such a manner, but no assurances can be given that we will continue to operate in such a manner as to qualify for taxation as a REIT under the U.S. federal income tax laws.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primary objective is to maximize cash flow and value per share by generating stable and growing cash flows and attractive risk-adjusted returns through owning, operating and growing a diversified portfolio of high-quality single-tenant, net leased commercial properties with strong long-term real estate fundamentals. The 48 properties in our portfolio are 100% occupied and represent 1.6 million of gross rentable square feet with leases that have a weighted average lease term of 8.4 years (weighting based on annualized base rent as of December 31, 2020). None of our material leases expire prior to January 31, 2024. Our portfolio is representative of our investment strategy, which consists of one or more of the following core investment criteria:</w:t>
      </w:r>
    </w:p>
    <w:p>
      <w:pPr>
        <w:spacing w:after="0" w:line="173" w:lineRule="exact"/>
        <w:rPr>
          <w:sz w:val="20"/>
          <w:szCs w:val="20"/>
          <w:color w:val="auto"/>
        </w:rPr>
      </w:pPr>
    </w:p>
    <w:p>
      <w:pPr>
        <w:jc w:val="both"/>
        <w:ind w:left="700" w:right="79" w:hanging="326"/>
        <w:spacing w:after="0" w:line="25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Attractive Locations</w:t>
      </w:r>
      <w:r>
        <w:rPr>
          <w:rFonts w:ascii="Arial" w:cs="Arial" w:eastAsia="Arial" w:hAnsi="Arial"/>
          <w:sz w:val="18"/>
          <w:szCs w:val="18"/>
          <w:color w:val="auto"/>
        </w:rPr>
        <w:t>. The 48 properties in our portfolio represent 1.6 million gross rentable square feet, are</w:t>
      </w:r>
      <w:r>
        <w:rPr>
          <w:rFonts w:ascii="Arial" w:cs="Arial" w:eastAsia="Arial" w:hAnsi="Arial"/>
          <w:sz w:val="18"/>
          <w:szCs w:val="18"/>
          <w:b w:val="1"/>
          <w:bCs w:val="1"/>
          <w:color w:val="auto"/>
        </w:rPr>
        <w:t xml:space="preserve"> </w:t>
      </w:r>
      <w:r>
        <w:rPr>
          <w:rFonts w:ascii="Arial" w:cs="Arial" w:eastAsia="Arial" w:hAnsi="Arial"/>
          <w:sz w:val="18"/>
          <w:szCs w:val="18"/>
          <w:color w:val="auto"/>
        </w:rPr>
        <w:t>100% occupied and are primarily located in or in close proximity to major MSAs and in markets in the United States with favorable economic and demographic conditions. As of December 31, 2020, a total of 77% of our portfolio’s annualized base rent was derived from properties located in MSAs with populations greater than one million people.</w:t>
      </w:r>
    </w:p>
    <w:p>
      <w:pPr>
        <w:spacing w:after="0" w:line="183" w:lineRule="exact"/>
        <w:rPr>
          <w:rFonts w:ascii="Arial" w:cs="Arial" w:eastAsia="Arial" w:hAnsi="Arial"/>
          <w:sz w:val="18"/>
          <w:szCs w:val="18"/>
          <w:color w:val="auto"/>
        </w:rPr>
      </w:pPr>
    </w:p>
    <w:p>
      <w:pPr>
        <w:jc w:val="both"/>
        <w:ind w:left="700" w:right="79" w:hanging="326"/>
        <w:spacing w:after="0" w:line="281"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Creditworthy Tenants</w:t>
      </w:r>
      <w:r>
        <w:rPr>
          <w:rFonts w:ascii="Arial" w:cs="Arial" w:eastAsia="Arial" w:hAnsi="Arial"/>
          <w:sz w:val="17"/>
          <w:szCs w:val="17"/>
          <w:color w:val="auto"/>
        </w:rPr>
        <w:t>. 46% of our portfolio’s annualized base rent as of December 31, 2020 was derived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that have (or whose parent company has) an investment grade credit rating from a recognized credit rating agency. Our largest tenant, Wells Fargo N.A., has an ‘A+’ credit rating from S&amp;P Global Ratings and contributed 15% of our portfolio’s annualized base rent as of December 31, 2020.</w:t>
      </w:r>
    </w:p>
    <w:p>
      <w:pPr>
        <w:spacing w:after="0" w:line="164" w:lineRule="exact"/>
        <w:rPr>
          <w:rFonts w:ascii="Arial" w:cs="Arial" w:eastAsia="Arial" w:hAnsi="Arial"/>
          <w:sz w:val="17"/>
          <w:szCs w:val="17"/>
          <w:color w:val="auto"/>
        </w:rPr>
      </w:pPr>
    </w:p>
    <w:p>
      <w:pPr>
        <w:ind w:left="700" w:right="79" w:hanging="326"/>
        <w:spacing w:after="0" w:line="282"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Geographically Diversified</w:t>
      </w:r>
      <w:r>
        <w:rPr>
          <w:rFonts w:ascii="Arial" w:cs="Arial" w:eastAsia="Arial" w:hAnsi="Arial"/>
          <w:sz w:val="18"/>
          <w:szCs w:val="18"/>
          <w:color w:val="auto"/>
        </w:rPr>
        <w:t>. Our portfolio is spread across 34 markets in 18 states. Our largest property, as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by annualized base rent, is located in the Portland, Oregon MSA.</w:t>
      </w:r>
    </w:p>
    <w:p>
      <w:pPr>
        <w:spacing w:after="0" w:line="161" w:lineRule="exact"/>
        <w:rPr>
          <w:rFonts w:ascii="Arial" w:cs="Arial" w:eastAsia="Arial" w:hAnsi="Arial"/>
          <w:sz w:val="18"/>
          <w:szCs w:val="18"/>
          <w:color w:val="auto"/>
        </w:rPr>
      </w:pPr>
    </w:p>
    <w:p>
      <w:pPr>
        <w:jc w:val="both"/>
        <w:ind w:left="700" w:right="79" w:hanging="326"/>
        <w:spacing w:after="0" w:line="28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100% Occupied with Primarily Long Duration Leases</w:t>
      </w:r>
      <w:r>
        <w:rPr>
          <w:rFonts w:ascii="Arial" w:cs="Arial" w:eastAsia="Arial" w:hAnsi="Arial"/>
          <w:sz w:val="17"/>
          <w:szCs w:val="17"/>
          <w:color w:val="auto"/>
        </w:rPr>
        <w:t>. Our portfolio is 100% leased and occupied. The leases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portfolio have a weighted average remaining lease term of 8.4 years (weighted based on annualized base rent as of December 31, 2020), with no material leases expiring prior to January 31, 2024.</w:t>
      </w:r>
    </w:p>
    <w:p>
      <w:pPr>
        <w:spacing w:after="0" w:line="157" w:lineRule="exact"/>
        <w:rPr>
          <w:rFonts w:ascii="Arial" w:cs="Arial" w:eastAsia="Arial" w:hAnsi="Arial"/>
          <w:sz w:val="17"/>
          <w:szCs w:val="17"/>
          <w:color w:val="auto"/>
        </w:rPr>
      </w:pPr>
    </w:p>
    <w:p>
      <w:pPr>
        <w:ind w:left="700" w:right="79" w:hanging="326"/>
        <w:spacing w:after="0" w:line="347"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Contractual Rent Growth</w:t>
      </w:r>
      <w:r>
        <w:rPr>
          <w:rFonts w:ascii="Arial" w:cs="Arial" w:eastAsia="Arial" w:hAnsi="Arial"/>
          <w:sz w:val="16"/>
          <w:szCs w:val="16"/>
          <w:color w:val="auto"/>
        </w:rPr>
        <w:t>. As of December 31, 2020, 44% of the leases in our portfolio (based on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rent as of December 31, 2020) provide for increases in contractual base rent during the lease term.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 and Formation Transactions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is a Maryland corporation. We closed the IPO on November 26, 2019 and our common stock is listed on the NYSE under the symbol “PINE.” We sold 7,500,000 shares of our common stock at $19.00 per share in the IPO. CTO purchased 421,053 of the shares of our common stock that we sold in the IPO. We refer to the IPO, the CTO Private Placement (defined below), and the other transactions executed at the time of our listing on the NYSE collectively as the “Formation Transactions”.</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2020, we have a total ownership interest in the Operating Partnership of 85.9%, with CTO holding, directly and indirectly, a 14.1%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are externally managed by Alpine Income Property Manager, LLC (our “Manager”), a wholly owned subsidiary of CTO. Concurrently with the closing of the IPO, CTO invested $7.5 million in exchange for 394,737 shares of our common stock at the IPO Price (the “CTO Private Placement”). In addition, CTO purchased from us $8.0 million in shares of our common stock, or 421,053 shares, in the IPO. Upon completion of the Formation Transactions, CTO owned 22.3% of our outstanding common stock (assuming the OP Units issued to CTO in the Formation Transactions are exchanged for shares of our common stock on a one-for-one basis).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Markets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(the “SEC”) declared the Form S-3 effective on December 11, 2020.</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14, 2020, the Company implemented a $100.0 million at-the-market (“ATM”) offering program (the “2020 ATM Program”) pursuant to which the Company may sell, from time to time, shares of the Company’s common stock at its current trading prices. As of December 31, 2020, the Company had not sold any shares under the 2020 ATM Program.</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November 26, 2019, we entered into a $100.0 million unsecured revolving credit facility (the “Credit Facility”) with affiliates of BMO Capital Markets Corp. and Raymond James &amp; Associates, Inc., as initial lenders. On October 16, 2020, the Company executed the second amendment to the Credit Facility (the “Second Amendment”), with the addition of two lenders, Huntington National Bank and Truist Bank. As a result of the Second Amendment, the Credit Facility now has a total borrowing capacity of $150.0 million with the ability to increase that capacity up to $200.0 million during the term, utilizing an accordion feature, subject to lender approval. These funds are available to us for general corporate purposes, including the funding of potential future acquisitions.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the single-tenant, net lease market has expanded steadily over the last several years, and investor demand for net leased properties continued to gain momentum into 2020 and likely beyond. Unlike a gross lease, which places the financial responsibility for most expenses with the property owner, the net lease structure shifts the majority or entirety of costs for property taxes, 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Strategy</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seek to acquire, own and operate primarily freestanding, single-tenant commercial real estate properties located in the United States, leased primarily pursuant to triple-net, long-term leases. We are focused on investments in single-tenant retail and office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We also seek to invest in properties that are net leased to tenants that we determine have attractive credit characteristics and stable operating histories, are well-located within their market and have rent levels at or below market rent levels. Furthermore, we believe that the size of our company will, for at least the near term, allow us to focus our investment activities on the acquisition of single properties or smaller portfolios of properties that represent a transaction size that most of our publicly-traded net lease REIT peers will not pursue on a consistent basis.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w:t>
      </w:r>
    </w:p>
    <w:p>
      <w:pPr>
        <w:spacing w:after="0" w:line="4" w:lineRule="exact"/>
        <w:rPr>
          <w:sz w:val="20"/>
          <w:szCs w:val="20"/>
          <w:color w:val="auto"/>
        </w:rPr>
      </w:pPr>
    </w:p>
    <w:p>
      <w:pPr>
        <w:ind w:left="60" w:right="59" w:hanging="10"/>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considerations relating to the Company’s business and strategy (e.g. strategic fit of the asset type, property management needs, alignment with the Company’s structure, etc.).</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the single-tenant retail and office properties we own and intend to acquire will provide our stockholders with investment diversification and can deliver strong risk-adjusted returns. We expect the majority of our net leased properties will be retail properties, with the remainder comprised of office properties that are critical to the tenant’s overall business. We believe the risk-adjusted returns for select office properties are compelling and offer attractive investment yields, rental rates at or below prevailing market rental rates and an investment basis below replacement cost. Based on our senior management team’s experience, we believe office properties often have less buyer competition. In addition, we believe that long-term tenants who have consistently invested their own capital into their leased premises are less likely to vacate the property and the risk of significant capital investment to re-lease the property is reduced. We believe that certain of the office properties in our initial portfolio provide the opportunity for increased rents to higher market rent levels at the end of their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Property Portfolio</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As of December 31, 2020, the Company owned 48 single-tenant income properties in 18 states. Following is a summary of these properties: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Tenant</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Extension</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Remaining</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Options</w:t>
            </w:r>
          </w:p>
        </w:tc>
        <w:tc>
          <w:tcPr>
            <w:tcW w:w="8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Contractual</w:t>
            </w:r>
          </w:p>
        </w:tc>
        <w:tc>
          <w:tcPr>
            <w:tcW w:w="9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Annualized</w:t>
            </w:r>
          </w:p>
        </w:tc>
      </w:tr>
      <w:tr>
        <w:trPr>
          <w:trHeight w:val="148"/>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S&amp;P Credit</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Rentable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Term</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(Number x</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Rent</w:t>
            </w:r>
          </w:p>
        </w:tc>
        <w:tc>
          <w:tcPr>
            <w:tcW w:w="960" w:type="dxa"/>
            <w:vAlign w:val="bottom"/>
            <w:gridSpan w:val="2"/>
          </w:tcPr>
          <w:p>
            <w:pPr>
              <w:jc w:val="right"/>
              <w:ind w:right="33"/>
              <w:spacing w:after="0" w:line="149" w:lineRule="exact"/>
              <w:rPr>
                <w:sz w:val="20"/>
                <w:szCs w:val="20"/>
                <w:color w:val="auto"/>
              </w:rPr>
            </w:pPr>
            <w:r>
              <w:rPr>
                <w:rFonts w:ascii="Arial" w:cs="Arial" w:eastAsia="Arial" w:hAnsi="Arial"/>
                <w:sz w:val="12"/>
                <w:szCs w:val="12"/>
                <w:b w:val="1"/>
                <w:bCs w:val="1"/>
                <w:color w:val="auto"/>
              </w:rPr>
              <w:t xml:space="preserve">Base Rent </w:t>
            </w:r>
            <w:r>
              <w:rPr>
                <w:rFonts w:ascii="Arial" w:cs="Arial" w:eastAsia="Arial" w:hAnsi="Arial"/>
                <w:sz w:val="17"/>
                <w:szCs w:val="17"/>
                <w:b w:val="1"/>
                <w:bCs w:val="1"/>
                <w:color w:val="auto"/>
                <w:vertAlign w:val="superscript"/>
              </w:rPr>
              <w:t>(2)</w:t>
            </w:r>
          </w:p>
        </w:tc>
      </w:tr>
      <w:tr>
        <w:trPr>
          <w:trHeight w:val="161"/>
        </w:trPr>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080" w:type="dxa"/>
            <w:vAlign w:val="bottom"/>
            <w:gridSpan w:val="3"/>
          </w:tcPr>
          <w:p>
            <w:pPr>
              <w:spacing w:after="0"/>
              <w:rPr>
                <w:sz w:val="20"/>
                <w:szCs w:val="20"/>
                <w:color w:val="auto"/>
              </w:rPr>
            </w:pPr>
            <w:r>
              <w:rPr>
                <w:rFonts w:ascii="Arial" w:cs="Arial" w:eastAsia="Arial" w:hAnsi="Arial"/>
                <w:sz w:val="13"/>
                <w:szCs w:val="13"/>
                <w:b w:val="1"/>
                <w:bCs w:val="1"/>
                <w:color w:val="auto"/>
              </w:rPr>
              <w:t>Tenant</w:t>
            </w:r>
          </w:p>
        </w:tc>
        <w:tc>
          <w:tcPr>
            <w:tcW w:w="82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w w:val="97"/>
              </w:rPr>
              <w:t xml:space="preserve">Rating </w:t>
            </w:r>
            <w:r>
              <w:rPr>
                <w:rFonts w:ascii="Arial" w:cs="Arial" w:eastAsia="Arial" w:hAnsi="Arial"/>
                <w:sz w:val="18"/>
                <w:szCs w:val="18"/>
                <w:b w:val="1"/>
                <w:bCs w:val="1"/>
                <w:color w:val="auto"/>
                <w:w w:val="97"/>
                <w:vertAlign w:val="superscript"/>
              </w:rPr>
              <w:t>(1)</w:t>
            </w: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Location</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Square Feet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(Years)</w:t>
            </w:r>
          </w:p>
        </w:tc>
        <w:tc>
          <w:tcPr>
            <w:tcW w:w="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Years)</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Escalations</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3"/>
              <w:spacing w:after="0"/>
              <w:rPr>
                <w:sz w:val="20"/>
                <w:szCs w:val="20"/>
                <w:color w:val="auto"/>
              </w:rPr>
            </w:pPr>
            <w:r>
              <w:rPr>
                <w:rFonts w:ascii="Arial" w:cs="Arial" w:eastAsia="Arial" w:hAnsi="Arial"/>
                <w:sz w:val="13"/>
                <w:szCs w:val="13"/>
                <w:b w:val="1"/>
                <w:bCs w:val="1"/>
                <w:color w:val="auto"/>
                <w:w w:val="87"/>
              </w:rPr>
              <w:t>000's)</w:t>
            </w:r>
          </w:p>
        </w:tc>
      </w:tr>
      <w:tr>
        <w:trPr>
          <w:trHeight w:val="142"/>
        </w:trPr>
        <w:tc>
          <w:tcPr>
            <w:tcW w:w="4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Office</w:t>
            </w:r>
          </w:p>
        </w:tc>
        <w:tc>
          <w:tcPr>
            <w:tcW w:w="4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Wells Fargo</w:t>
            </w: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A+</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Portland, OR</w:t>
            </w: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212,363</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3x5</w:t>
            </w: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89"/>
              </w:rPr>
              <w:t>Yes</w:t>
            </w: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4"/>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3,138</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Office</w:t>
            </w:r>
          </w:p>
        </w:tc>
        <w:tc>
          <w:tcPr>
            <w:tcW w:w="2080" w:type="dxa"/>
            <w:vAlign w:val="bottom"/>
            <w:gridSpan w:val="3"/>
          </w:tcPr>
          <w:p>
            <w:pPr>
              <w:spacing w:after="0"/>
              <w:rPr>
                <w:sz w:val="20"/>
                <w:szCs w:val="20"/>
                <w:color w:val="auto"/>
              </w:rPr>
            </w:pPr>
            <w:r>
              <w:rPr>
                <w:rFonts w:ascii="Arial" w:cs="Arial" w:eastAsia="Arial" w:hAnsi="Arial"/>
                <w:sz w:val="13"/>
                <w:szCs w:val="13"/>
                <w:color w:val="auto"/>
              </w:rPr>
              <w:t>Hilton Grand Vacations</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rPr>
              <w:t>BB</w:t>
            </w:r>
          </w:p>
        </w:tc>
        <w:tc>
          <w:tcPr>
            <w:tcW w:w="1280" w:type="dxa"/>
            <w:vAlign w:val="bottom"/>
            <w:gridSpan w:val="2"/>
          </w:tcPr>
          <w:p>
            <w:pPr>
              <w:spacing w:after="0"/>
              <w:rPr>
                <w:sz w:val="20"/>
                <w:szCs w:val="20"/>
                <w:color w:val="auto"/>
              </w:rPr>
            </w:pPr>
            <w:r>
              <w:rPr>
                <w:rFonts w:ascii="Arial" w:cs="Arial" w:eastAsia="Arial" w:hAnsi="Arial"/>
                <w:sz w:val="13"/>
                <w:szCs w:val="13"/>
                <w:color w:val="auto"/>
              </w:rPr>
              <w:t>Orlando, FL</w:t>
            </w:r>
          </w:p>
        </w:tc>
        <w:tc>
          <w:tcPr>
            <w:tcW w:w="840" w:type="dxa"/>
            <w:vAlign w:val="bottom"/>
          </w:tcPr>
          <w:p>
            <w:pPr>
              <w:jc w:val="right"/>
              <w:spacing w:after="0"/>
              <w:rPr>
                <w:sz w:val="20"/>
                <w:szCs w:val="20"/>
                <w:color w:val="auto"/>
              </w:rPr>
            </w:pPr>
            <w:r>
              <w:rPr>
                <w:rFonts w:ascii="Arial" w:cs="Arial" w:eastAsia="Arial" w:hAnsi="Arial"/>
                <w:sz w:val="13"/>
                <w:szCs w:val="13"/>
                <w:color w:val="auto"/>
              </w:rPr>
              <w:t>102,019</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1,825</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 Fitness</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CCC+</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Brandon, FL</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At Home</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Raleigh, NC</w:t>
            </w:r>
          </w:p>
        </w:tc>
        <w:tc>
          <w:tcPr>
            <w:tcW w:w="840" w:type="dxa"/>
            <w:vAlign w:val="bottom"/>
          </w:tcPr>
          <w:p>
            <w:pPr>
              <w:jc w:val="right"/>
              <w:spacing w:after="0"/>
              <w:rPr>
                <w:sz w:val="20"/>
                <w:szCs w:val="20"/>
                <w:color w:val="auto"/>
              </w:rPr>
            </w:pPr>
            <w:r>
              <w:rPr>
                <w:rFonts w:ascii="Arial" w:cs="Arial" w:eastAsia="Arial" w:hAnsi="Arial"/>
                <w:sz w:val="13"/>
                <w:szCs w:val="13"/>
                <w:color w:val="auto"/>
              </w:rPr>
              <w:t>116,334</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732</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Cinemark</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Reno, NV</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52,474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Container Store</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Phoenix, AZ</w:t>
            </w:r>
          </w:p>
        </w:tc>
        <w:tc>
          <w:tcPr>
            <w:tcW w:w="840" w:type="dxa"/>
            <w:vAlign w:val="bottom"/>
          </w:tcPr>
          <w:p>
            <w:pPr>
              <w:jc w:val="right"/>
              <w:spacing w:after="0"/>
              <w:rPr>
                <w:sz w:val="20"/>
                <w:szCs w:val="20"/>
                <w:color w:val="auto"/>
              </w:rPr>
            </w:pPr>
            <w:r>
              <w:rPr>
                <w:rFonts w:ascii="Arial" w:cs="Arial" w:eastAsia="Arial" w:hAnsi="Arial"/>
                <w:sz w:val="13"/>
                <w:szCs w:val="13"/>
                <w:color w:val="auto"/>
              </w:rPr>
              <w:t>23,329</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726</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Office</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Hilton Grand Vacations</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Orlando, FL</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2x5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270"/>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Live Nation Entertainment, Inc.</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East Troy, WI</w:t>
            </w:r>
          </w:p>
        </w:tc>
        <w:tc>
          <w:tcPr>
            <w:tcW w:w="960" w:type="dxa"/>
            <w:vAlign w:val="bottom"/>
            <w:gridSpan w:val="2"/>
          </w:tcPr>
          <w:p>
            <w:pPr>
              <w:ind w:left="560"/>
              <w:spacing w:after="0"/>
              <w:rPr>
                <w:sz w:val="20"/>
                <w:szCs w:val="20"/>
                <w:color w:val="auto"/>
              </w:rPr>
            </w:pPr>
            <w:r>
              <w:rPr>
                <w:rFonts w:ascii="Arial" w:cs="Arial" w:eastAsia="Arial" w:hAnsi="Arial"/>
                <w:sz w:val="13"/>
                <w:szCs w:val="13"/>
                <w:color w:val="auto"/>
                <w:w w:val="91"/>
              </w:rPr>
              <w:t xml:space="preserve">N/A </w:t>
            </w:r>
            <w:r>
              <w:rPr>
                <w:rFonts w:ascii="Arial" w:cs="Arial" w:eastAsia="Arial" w:hAnsi="Arial"/>
                <w:sz w:val="20"/>
                <w:szCs w:val="20"/>
                <w:color w:val="auto"/>
                <w:w w:val="91"/>
                <w:vertAlign w:val="superscript"/>
              </w:rPr>
              <w:t>(3)</w:t>
            </w: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23"/>
                <w:szCs w:val="2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14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Hobby Lobby</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Winston-Salem, NC</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Dick's Sporting Goods</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McDonough, GA</w:t>
            </w:r>
          </w:p>
        </w:tc>
        <w:tc>
          <w:tcPr>
            <w:tcW w:w="840" w:type="dxa"/>
            <w:vAlign w:val="bottom"/>
          </w:tcPr>
          <w:p>
            <w:pPr>
              <w:jc w:val="right"/>
              <w:spacing w:after="0"/>
              <w:rPr>
                <w:sz w:val="20"/>
                <w:szCs w:val="20"/>
                <w:color w:val="auto"/>
              </w:rPr>
            </w:pPr>
            <w:r>
              <w:rPr>
                <w:rFonts w:ascii="Arial" w:cs="Arial" w:eastAsia="Arial" w:hAnsi="Arial"/>
                <w:sz w:val="13"/>
                <w:szCs w:val="13"/>
                <w:color w:val="auto"/>
              </w:rPr>
              <w:t>46,315</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Jo-Ann Fabric</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Saugus, MA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Walgreens</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Birmingham, AL</w:t>
            </w:r>
          </w:p>
        </w:tc>
        <w:tc>
          <w:tcPr>
            <w:tcW w:w="840" w:type="dxa"/>
            <w:vAlign w:val="bottom"/>
          </w:tcPr>
          <w:p>
            <w:pPr>
              <w:jc w:val="right"/>
              <w:spacing w:after="0"/>
              <w:rPr>
                <w:sz w:val="20"/>
                <w:szCs w:val="20"/>
                <w:color w:val="auto"/>
              </w:rPr>
            </w:pPr>
            <w:r>
              <w:rPr>
                <w:rFonts w:ascii="Arial" w:cs="Arial" w:eastAsia="Arial" w:hAnsi="Arial"/>
                <w:sz w:val="13"/>
                <w:szCs w:val="13"/>
                <w:color w:val="auto"/>
              </w:rPr>
              <w:t>14,516</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Walgreens</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Alpharetta, GA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Best Buy</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McDonough, GA</w:t>
            </w:r>
          </w:p>
        </w:tc>
        <w:tc>
          <w:tcPr>
            <w:tcW w:w="840" w:type="dxa"/>
            <w:vAlign w:val="bottom"/>
          </w:tcPr>
          <w:p>
            <w:pPr>
              <w:jc w:val="right"/>
              <w:spacing w:after="0"/>
              <w:rPr>
                <w:sz w:val="20"/>
                <w:szCs w:val="20"/>
                <w:color w:val="auto"/>
              </w:rPr>
            </w:pPr>
            <w:r>
              <w:rPr>
                <w:rFonts w:ascii="Arial" w:cs="Arial" w:eastAsia="Arial" w:hAnsi="Arial"/>
                <w:sz w:val="13"/>
                <w:szCs w:val="13"/>
                <w:color w:val="auto"/>
              </w:rPr>
              <w:t>30,038</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Walgreens</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Albany, GA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Outback Steakhouse</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w w:val="98"/>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Charlotte, NC</w:t>
            </w:r>
          </w:p>
        </w:tc>
        <w:tc>
          <w:tcPr>
            <w:tcW w:w="840" w:type="dxa"/>
            <w:vAlign w:val="bottom"/>
          </w:tcPr>
          <w:p>
            <w:pPr>
              <w:jc w:val="right"/>
              <w:spacing w:after="0"/>
              <w:rPr>
                <w:sz w:val="20"/>
                <w:szCs w:val="20"/>
                <w:color w:val="auto"/>
              </w:rPr>
            </w:pPr>
            <w:r>
              <w:rPr>
                <w:rFonts w:ascii="Arial" w:cs="Arial" w:eastAsia="Arial" w:hAnsi="Arial"/>
                <w:sz w:val="13"/>
                <w:szCs w:val="13"/>
                <w:color w:val="auto"/>
              </w:rPr>
              <w:t>6,297</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Cheddar's </w:t>
            </w:r>
            <w:r>
              <w:rPr>
                <w:rFonts w:ascii="Arial" w:cs="Arial" w:eastAsia="Arial" w:hAnsi="Arial"/>
                <w:sz w:val="17"/>
                <w:szCs w:val="17"/>
                <w:color w:val="auto"/>
                <w:vertAlign w:val="superscript"/>
              </w:rPr>
              <w:t>(4)</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Jacksonville, FL</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Scrubbles Car Wash </w:t>
            </w:r>
            <w:r>
              <w:rPr>
                <w:rFonts w:ascii="Arial" w:cs="Arial" w:eastAsia="Arial" w:hAnsi="Arial"/>
                <w:sz w:val="17"/>
                <w:szCs w:val="17"/>
                <w:color w:val="auto"/>
                <w:vertAlign w:val="superscript"/>
              </w:rPr>
              <w:t>(4)</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Jacksonville, FL</w:t>
            </w:r>
          </w:p>
        </w:tc>
        <w:tc>
          <w:tcPr>
            <w:tcW w:w="840" w:type="dxa"/>
            <w:vAlign w:val="bottom"/>
          </w:tcPr>
          <w:p>
            <w:pPr>
              <w:jc w:val="right"/>
              <w:spacing w:after="0"/>
              <w:rPr>
                <w:sz w:val="20"/>
                <w:szCs w:val="20"/>
                <w:color w:val="auto"/>
              </w:rPr>
            </w:pPr>
            <w:r>
              <w:rPr>
                <w:rFonts w:ascii="Arial" w:cs="Arial" w:eastAsia="Arial" w:hAnsi="Arial"/>
                <w:sz w:val="13"/>
                <w:szCs w:val="13"/>
                <w:color w:val="auto"/>
              </w:rPr>
              <w:t>4,512</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189</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Family Dollar</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Lynn, MA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7x5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7-Eleven</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tcPr>
          <w:p>
            <w:pPr>
              <w:spacing w:after="0"/>
              <w:rPr>
                <w:sz w:val="20"/>
                <w:szCs w:val="20"/>
                <w:color w:val="auto"/>
              </w:rPr>
            </w:pPr>
            <w:r>
              <w:rPr>
                <w:rFonts w:ascii="Arial" w:cs="Arial" w:eastAsia="Arial" w:hAnsi="Arial"/>
                <w:sz w:val="13"/>
                <w:szCs w:val="13"/>
                <w:color w:val="auto"/>
              </w:rPr>
              <w:t>Austin, TX</w:t>
            </w:r>
          </w:p>
        </w:tc>
        <w:tc>
          <w:tcPr>
            <w:tcW w:w="840" w:type="dxa"/>
            <w:vAlign w:val="bottom"/>
          </w:tcPr>
          <w:p>
            <w:pPr>
              <w:jc w:val="right"/>
              <w:spacing w:after="0"/>
              <w:rPr>
                <w:sz w:val="20"/>
                <w:szCs w:val="20"/>
                <w:color w:val="auto"/>
              </w:rPr>
            </w:pPr>
            <w:r>
              <w:rPr>
                <w:rFonts w:ascii="Arial" w:cs="Arial" w:eastAsia="Arial" w:hAnsi="Arial"/>
                <w:sz w:val="13"/>
                <w:szCs w:val="13"/>
                <w:color w:val="auto"/>
              </w:rPr>
              <w:t>6,400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377</w:t>
            </w:r>
          </w:p>
        </w:tc>
      </w:tr>
      <w:tr>
        <w:trPr>
          <w:trHeight w:val="14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7-Eleven</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Georgetown, TX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Conn's HomePlus</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Hurst, TX</w:t>
            </w:r>
          </w:p>
        </w:tc>
        <w:tc>
          <w:tcPr>
            <w:tcW w:w="840" w:type="dxa"/>
            <w:vAlign w:val="bottom"/>
          </w:tcPr>
          <w:p>
            <w:pPr>
              <w:jc w:val="right"/>
              <w:spacing w:after="0"/>
              <w:rPr>
                <w:sz w:val="20"/>
                <w:szCs w:val="20"/>
                <w:color w:val="auto"/>
              </w:rPr>
            </w:pPr>
            <w:r>
              <w:rPr>
                <w:rFonts w:ascii="Arial" w:cs="Arial" w:eastAsia="Arial" w:hAnsi="Arial"/>
                <w:sz w:val="13"/>
                <w:szCs w:val="13"/>
                <w:color w:val="auto"/>
              </w:rPr>
              <w:t>37,957</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452</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6"/>
              </w:rPr>
              <w:t>Lehigh Gas Wholesale Services, Inc.</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Highland Heights, KY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American Multi-Cinema, Inc.</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CC</w:t>
            </w:r>
          </w:p>
        </w:tc>
        <w:tc>
          <w:tcPr>
            <w:tcW w:w="1280" w:type="dxa"/>
            <w:vAlign w:val="bottom"/>
            <w:gridSpan w:val="2"/>
          </w:tcPr>
          <w:p>
            <w:pPr>
              <w:spacing w:after="0"/>
              <w:rPr>
                <w:sz w:val="20"/>
                <w:szCs w:val="20"/>
                <w:color w:val="auto"/>
              </w:rPr>
            </w:pPr>
            <w:r>
              <w:rPr>
                <w:rFonts w:ascii="Arial" w:cs="Arial" w:eastAsia="Arial" w:hAnsi="Arial"/>
                <w:sz w:val="13"/>
                <w:szCs w:val="13"/>
                <w:color w:val="auto"/>
              </w:rPr>
              <w:t>Tyngsborough, MA</w:t>
            </w:r>
          </w:p>
        </w:tc>
        <w:tc>
          <w:tcPr>
            <w:tcW w:w="840" w:type="dxa"/>
            <w:vAlign w:val="bottom"/>
          </w:tcPr>
          <w:p>
            <w:pPr>
              <w:jc w:val="right"/>
              <w:spacing w:after="0"/>
              <w:rPr>
                <w:sz w:val="20"/>
                <w:szCs w:val="20"/>
                <w:color w:val="auto"/>
              </w:rPr>
            </w:pPr>
            <w:r>
              <w:rPr>
                <w:rFonts w:ascii="Arial" w:cs="Arial" w:eastAsia="Arial" w:hAnsi="Arial"/>
                <w:sz w:val="13"/>
                <w:szCs w:val="13"/>
                <w:color w:val="auto"/>
              </w:rPr>
              <w:t>39,474</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507</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Hobby Lobby</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Tulsa, OK</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Long John Silver's </w:t>
            </w:r>
            <w:r>
              <w:rPr>
                <w:rFonts w:ascii="Arial" w:cs="Arial" w:eastAsia="Arial" w:hAnsi="Arial"/>
                <w:sz w:val="17"/>
                <w:szCs w:val="17"/>
                <w:color w:val="auto"/>
                <w:vertAlign w:val="superscript"/>
              </w:rPr>
              <w:t>(4)</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84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Old Time Pottery</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Orange Park, FL</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2x5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Freddy's Frozen Custard </w:t>
            </w:r>
            <w:r>
              <w:rPr>
                <w:rFonts w:ascii="Arial" w:cs="Arial" w:eastAsia="Arial" w:hAnsi="Arial"/>
                <w:sz w:val="17"/>
                <w:szCs w:val="17"/>
                <w:color w:val="auto"/>
                <w:vertAlign w:val="superscript"/>
              </w:rPr>
              <w:t>(4)</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Orange Park, FL</w:t>
            </w:r>
          </w:p>
        </w:tc>
        <w:tc>
          <w:tcPr>
            <w:tcW w:w="840" w:type="dxa"/>
            <w:vAlign w:val="bottom"/>
          </w:tcPr>
          <w:p>
            <w:pPr>
              <w:jc w:val="right"/>
              <w:spacing w:after="0"/>
              <w:rPr>
                <w:sz w:val="20"/>
                <w:szCs w:val="20"/>
                <w:color w:val="auto"/>
              </w:rPr>
            </w:pPr>
            <w:r>
              <w:rPr>
                <w:rFonts w:ascii="Arial" w:cs="Arial" w:eastAsia="Arial" w:hAnsi="Arial"/>
                <w:sz w:val="13"/>
                <w:szCs w:val="13"/>
                <w:color w:val="auto"/>
              </w:rPr>
              <w:t>3,200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4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Hobby Lobby</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Arden, NC</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Walmart</w:t>
            </w:r>
          </w:p>
        </w:tc>
        <w:tc>
          <w:tcPr>
            <w:tcW w:w="820" w:type="dxa"/>
            <w:vAlign w:val="bottom"/>
            <w:gridSpan w:val="2"/>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tcPr>
          <w:p>
            <w:pPr>
              <w:spacing w:after="0"/>
              <w:rPr>
                <w:sz w:val="20"/>
                <w:szCs w:val="20"/>
                <w:color w:val="auto"/>
              </w:rPr>
            </w:pPr>
            <w:r>
              <w:rPr>
                <w:rFonts w:ascii="Arial" w:cs="Arial" w:eastAsia="Arial" w:hAnsi="Arial"/>
                <w:sz w:val="13"/>
                <w:szCs w:val="13"/>
                <w:color w:val="auto"/>
              </w:rPr>
              <w:t>Howell, MI</w:t>
            </w:r>
          </w:p>
        </w:tc>
        <w:tc>
          <w:tcPr>
            <w:tcW w:w="840" w:type="dxa"/>
            <w:vAlign w:val="bottom"/>
          </w:tcPr>
          <w:p>
            <w:pPr>
              <w:jc w:val="right"/>
              <w:spacing w:after="0"/>
              <w:rPr>
                <w:sz w:val="20"/>
                <w:szCs w:val="20"/>
                <w:color w:val="auto"/>
              </w:rPr>
            </w:pPr>
            <w:r>
              <w:rPr>
                <w:rFonts w:ascii="Arial" w:cs="Arial" w:eastAsia="Arial" w:hAnsi="Arial"/>
                <w:sz w:val="13"/>
                <w:szCs w:val="13"/>
                <w:color w:val="auto"/>
              </w:rPr>
              <w:t>214,172</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5x5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1,369</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Advanced Auto Parts</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Severn, MD</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Heuvelton, NY</w:t>
            </w:r>
          </w:p>
        </w:tc>
        <w:tc>
          <w:tcPr>
            <w:tcW w:w="840" w:type="dxa"/>
            <w:vAlign w:val="bottom"/>
          </w:tcPr>
          <w:p>
            <w:pPr>
              <w:jc w:val="right"/>
              <w:spacing w:after="0"/>
              <w:rPr>
                <w:sz w:val="20"/>
                <w:szCs w:val="20"/>
                <w:color w:val="auto"/>
              </w:rPr>
            </w:pPr>
            <w:r>
              <w:rPr>
                <w:rFonts w:ascii="Arial" w:cs="Arial" w:eastAsia="Arial" w:hAnsi="Arial"/>
                <w:sz w:val="13"/>
                <w:szCs w:val="13"/>
                <w:color w:val="auto"/>
              </w:rPr>
              <w:t>9,342</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Winthrop, NY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Salem, NY</w:t>
            </w:r>
          </w:p>
        </w:tc>
        <w:tc>
          <w:tcPr>
            <w:tcW w:w="840" w:type="dxa"/>
            <w:vAlign w:val="bottom"/>
          </w:tcPr>
          <w:p>
            <w:pPr>
              <w:jc w:val="right"/>
              <w:spacing w:after="0"/>
              <w:rPr>
                <w:sz w:val="20"/>
                <w:szCs w:val="20"/>
                <w:color w:val="auto"/>
              </w:rPr>
            </w:pPr>
            <w:r>
              <w:rPr>
                <w:rFonts w:ascii="Arial" w:cs="Arial" w:eastAsia="Arial" w:hAnsi="Arial"/>
                <w:sz w:val="13"/>
                <w:szCs w:val="13"/>
                <w:color w:val="auto"/>
              </w:rPr>
              <w:t>9,199</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Harrisville, NY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Newtonsville, OH</w:t>
            </w:r>
          </w:p>
        </w:tc>
        <w:tc>
          <w:tcPr>
            <w:tcW w:w="840" w:type="dxa"/>
            <w:vAlign w:val="bottom"/>
          </w:tcPr>
          <w:p>
            <w:pPr>
              <w:jc w:val="right"/>
              <w:spacing w:after="0"/>
              <w:rPr>
                <w:sz w:val="20"/>
                <w:szCs w:val="20"/>
                <w:color w:val="auto"/>
              </w:rPr>
            </w:pPr>
            <w:r>
              <w:rPr>
                <w:rFonts w:ascii="Arial" w:cs="Arial" w:eastAsia="Arial" w:hAnsi="Arial"/>
                <w:sz w:val="13"/>
                <w:szCs w:val="13"/>
                <w:color w:val="auto"/>
              </w:rPr>
              <w:t>9,290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5x5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4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Hammond, NY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Barker, NY</w:t>
            </w:r>
          </w:p>
        </w:tc>
        <w:tc>
          <w:tcPr>
            <w:tcW w:w="840" w:type="dxa"/>
            <w:vAlign w:val="bottom"/>
          </w:tcPr>
          <w:p>
            <w:pPr>
              <w:jc w:val="right"/>
              <w:spacing w:after="0"/>
              <w:rPr>
                <w:sz w:val="20"/>
                <w:szCs w:val="20"/>
                <w:color w:val="auto"/>
              </w:rPr>
            </w:pPr>
            <w:r>
              <w:rPr>
                <w:rFonts w:ascii="Arial" w:cs="Arial" w:eastAsia="Arial" w:hAnsi="Arial"/>
                <w:sz w:val="13"/>
                <w:szCs w:val="13"/>
                <w:color w:val="auto"/>
              </w:rPr>
              <w:t>9,275</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Chazy, NY</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Milford, ME</w:t>
            </w:r>
          </w:p>
        </w:tc>
        <w:tc>
          <w:tcPr>
            <w:tcW w:w="840" w:type="dxa"/>
            <w:vAlign w:val="bottom"/>
          </w:tcPr>
          <w:p>
            <w:pPr>
              <w:jc w:val="right"/>
              <w:spacing w:after="0"/>
              <w:rPr>
                <w:sz w:val="20"/>
                <w:szCs w:val="20"/>
                <w:color w:val="auto"/>
              </w:rPr>
            </w:pPr>
            <w:r>
              <w:rPr>
                <w:rFonts w:ascii="Arial" w:cs="Arial" w:eastAsia="Arial" w:hAnsi="Arial"/>
                <w:sz w:val="13"/>
                <w:szCs w:val="13"/>
                <w:color w:val="auto"/>
              </w:rPr>
              <w:t>9,128</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Limestone, ME</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49"/>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Bingham, ME</w:t>
            </w:r>
          </w:p>
        </w:tc>
        <w:tc>
          <w:tcPr>
            <w:tcW w:w="840" w:type="dxa"/>
            <w:vAlign w:val="bottom"/>
          </w:tcPr>
          <w:p>
            <w:pPr>
              <w:jc w:val="right"/>
              <w:spacing w:after="0"/>
              <w:rPr>
                <w:sz w:val="20"/>
                <w:szCs w:val="20"/>
                <w:color w:val="auto"/>
              </w:rPr>
            </w:pPr>
            <w:r>
              <w:rPr>
                <w:rFonts w:ascii="Arial" w:cs="Arial" w:eastAsia="Arial" w:hAnsi="Arial"/>
                <w:sz w:val="13"/>
                <w:szCs w:val="13"/>
                <w:color w:val="auto"/>
              </w:rPr>
              <w:t>9,345</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Willis, TX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Somerville, TX</w:t>
            </w:r>
          </w:p>
        </w:tc>
        <w:tc>
          <w:tcPr>
            <w:tcW w:w="840" w:type="dxa"/>
            <w:vAlign w:val="bottom"/>
          </w:tcPr>
          <w:p>
            <w:pPr>
              <w:jc w:val="right"/>
              <w:spacing w:after="0"/>
              <w:rPr>
                <w:sz w:val="20"/>
                <w:szCs w:val="20"/>
                <w:color w:val="auto"/>
              </w:rPr>
            </w:pPr>
            <w:r>
              <w:rPr>
                <w:rFonts w:ascii="Arial" w:cs="Arial" w:eastAsia="Arial" w:hAnsi="Arial"/>
                <w:sz w:val="13"/>
                <w:szCs w:val="13"/>
                <w:color w:val="auto"/>
              </w:rPr>
              <w:t>9,252</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49"/>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Odessa, TX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48"/>
        </w:trPr>
        <w:tc>
          <w:tcPr>
            <w:tcW w:w="52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Kermit, TX</w:t>
            </w:r>
          </w:p>
        </w:tc>
        <w:tc>
          <w:tcPr>
            <w:tcW w:w="840" w:type="dxa"/>
            <w:vAlign w:val="bottom"/>
          </w:tcPr>
          <w:p>
            <w:pPr>
              <w:jc w:val="right"/>
              <w:spacing w:after="0"/>
              <w:rPr>
                <w:sz w:val="20"/>
                <w:szCs w:val="20"/>
                <w:color w:val="auto"/>
              </w:rPr>
            </w:pPr>
            <w:r>
              <w:rPr>
                <w:rFonts w:ascii="Arial" w:cs="Arial" w:eastAsia="Arial" w:hAnsi="Arial"/>
                <w:sz w:val="13"/>
                <w:szCs w:val="13"/>
                <w:color w:val="auto"/>
              </w:rPr>
              <w:t>10,920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48"/>
        </w:trPr>
        <w:tc>
          <w:tcPr>
            <w:tcW w:w="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Kohl's</w:t>
            </w: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Glendale, AZ</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87,875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Yes</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r>
      <w:tr>
        <w:trPr>
          <w:trHeight w:val="149"/>
        </w:trPr>
        <w:tc>
          <w:tcPr>
            <w:tcW w:w="5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Retail</w:t>
            </w:r>
          </w:p>
        </w:tc>
        <w:tc>
          <w:tcPr>
            <w:tcW w:w="20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Walgreens</w:t>
            </w:r>
          </w:p>
        </w:tc>
        <w:tc>
          <w:tcPr>
            <w:tcW w:w="82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2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Tacoma, WA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14,125</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3"/>
                <w:szCs w:val="13"/>
                <w:color w:val="auto"/>
                <w:w w:val="95"/>
              </w:rPr>
              <w:t>6x5</w:t>
            </w:r>
          </w:p>
        </w:tc>
        <w:tc>
          <w:tcPr>
            <w:tcW w:w="8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3"/>
                <w:szCs w:val="13"/>
                <w:color w:val="auto"/>
                <w:w w:val="96"/>
              </w:rPr>
              <w:t>No</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r>
      <w:tr>
        <w:trPr>
          <w:trHeight w:val="142"/>
        </w:trPr>
        <w:tc>
          <w:tcPr>
            <w:tcW w:w="4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100" w:type="dxa"/>
            <w:vAlign w:val="bottom"/>
            <w:tcBorders>
              <w:bottom w:val="single" w:sz="8" w:color="CCEEFF"/>
            </w:tcBorders>
            <w:gridSpan w:val="4"/>
            <w:shd w:val="clear" w:color="auto" w:fill="CCEEFF"/>
          </w:tcPr>
          <w:p>
            <w:pPr>
              <w:ind w:left="660"/>
              <w:spacing w:after="0" w:line="142" w:lineRule="exact"/>
              <w:rPr>
                <w:sz w:val="20"/>
                <w:szCs w:val="20"/>
                <w:color w:val="auto"/>
              </w:rPr>
            </w:pPr>
            <w:r>
              <w:rPr>
                <w:rFonts w:ascii="Arial" w:cs="Arial" w:eastAsia="Arial" w:hAnsi="Arial"/>
                <w:sz w:val="13"/>
                <w:szCs w:val="13"/>
                <w:color w:val="auto"/>
                <w:w w:val="96"/>
              </w:rPr>
              <w:t>Total / Weighted Average</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1,596,754</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w:t>
            </w: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34"/>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21,079</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Tenant, or tenant parent, credit rating as of December 31, 2020.</w:t>
      </w:r>
    </w:p>
    <w:p>
      <w:pPr>
        <w:ind w:left="380"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Annualized straight-line base rental income in place as of December 31, 2020.</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80" w:right="79" w:hanging="330"/>
        <w:spacing w:after="0" w:line="237"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We are the land owner and lessor in a ground lease with the tenant. Rentable square feet represents improvements on the property that revert to the Company at the expiration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Two tenants, Wells Fargo and Hilton Grand Vacations represented more than 10% of our consolidated revenues for the year ended December 31, 2020 at 19% and 12% of total revenues, respectively, and for the period from November 26, 2019 to December 31, 2019 at 26% and 17% of total revenues, respectively. We also have tenants who represent more than 10% of the square footage of our income property portfolio. These tenants include Wells Fargo, Walmart, and Hobby Lobby, each representing 13%, 13%, and 12%, respectively, of total square footage.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November 26, 2019, we entered into a management agreement with our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Our Manager is subject to the direction and oversight of the Board. We pay our Manager a base management fee equal to 0.375% per quarter of our “total equity” (as defined in the Management Agreement and based on a 1.5% annual rate), calculated and payable in cash, quarterly in arrears.</w:t>
      </w:r>
    </w:p>
    <w:p>
      <w:pPr>
        <w:spacing w:after="0" w:line="16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w:t>
      </w:r>
    </w:p>
    <w:p>
      <w:pPr>
        <w:spacing w:after="0" w:line="2" w:lineRule="exact"/>
        <w:rPr>
          <w:sz w:val="20"/>
          <w:szCs w:val="20"/>
          <w:color w:val="auto"/>
        </w:rPr>
      </w:pPr>
    </w:p>
    <w:p>
      <w:pPr>
        <w:ind w:left="60" w:right="59" w:hanging="10"/>
        <w:spacing w:after="0" w:line="260"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 ended December 31, 2020.</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independent directors will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will pay directly or reimburse our Manager for certain expenses, if incurred by our Manager. We will not reimburse any compensation expenses incurred by our Manager or its affiliates. Expense reimbursements to our Manager will be made in cash on a quarterly basis following the end of each quarter. In addition, we will pay all of our operating expenses, except those specifically required to be borne by our Manager pursuant to the Management Agreement.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Exclusivity and 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we also entered into an exclusivity and right of first offer (“ROFO”) agreement with CTO. During the term of the exclusivity and ROFO agreement, CTO will not, and will cause each of its affiliates (which for purposes of the exclusivity and ROFO agreement will not include our company and our subsidiaries) not to, acquire, directly or indirectly, a single-tenant, net leased property, without providing us with notice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exclusivity and ROFO agreement do not restrict CTO or any of its affiliates from providing financing for a third party’s acquisition of single-tenant, net leased properties or from developing and owning any single-tenant, net leased property.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the exclusivity and ROFO agreement, neither CTO nor any of its affiliates (which for purposes of the exclusivity and ROFO agreement does not include our company and our subsidiaries) may sell to any third party any single-tenant, net leased property that was owned by CTO or any of its affiliates as of the closing date of the IPO; or is owned by CTO or any of its affiliates after the closing date of the IPO, without first offering us the right to purchase such property.</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exclusivity and ROFO agreement will continue for so long as the Management Agreement with our Manager is in effect.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single-tenant, net leased properties in which our Manager or its affiliates have or may have an interest. Similarly, our Manager or its affiliates may acquire or sell single-tenant, net leased properties in which we have or may have an interest. Although such acquisitions or dispositions may present conflicts of interest, we nonetheless may pursue and consummate such transactions. Additionally, we may engage in transactions directly with our Manager or its affiliates, including the purchase and sale of all or a portion of a portfolio asset. If we acquire a single-tenant, net leased property from CTO or one of its affiliates or sell a single-tenant,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the exclusivity and ROFO agreement does contain exceptions to CTO’s exclusivity for opportunities that include only an incidental interest in single-tenant, net leased properties. Accordingly, the exclusivity and ROFO agreement will not prevent CTO from pursuing certain acquisition opportunities that otherwise satisfy our then-current investment criteria.</w:t>
      </w:r>
    </w:p>
    <w:p>
      <w:pPr>
        <w:spacing w:after="0" w:line="20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real estate business generally is highly competitive. We intend to focus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from investors, including traded and non-traded public REITs, private equity investors and institutional investment funds, some of which have greater financial resources than we do, a greater ability to borrow funds to acquire properties and the ability to accept more risk. This competition may increase the demand for the types of properties in which we typically invest and, therefore, reduce the number of suitable investment opportunities available to us and increase the prices paid for such acquisition properties. This competition will increase if investments in real estate become more attractive relative to other forms of investment.</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are eligible to receive certain specified reduced disclosure and other requirements that are otherwise generally applicable to public companies that are not “emerging growth companies,” including, but not limited to, not being required to comply with the auditor attestation requirements of Section 404 of the Sarbanes-Oxley Act. We have irrevocably opted-out of the extended transition period afforded to emerging growth companies in Section 7(a)(2)(B) of the Securities Act for complying with new or revised financial accounting standards. As a result, we will comply with new or revised accounting standards on the same time frames as other public companies that are not emerging growth companies.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during which our total annual gross revenue equals or exceeds $1.07 billion (subject to adjustment for inflation), (ii) December 31, 2024 (the last day of the fiscal year following the fifth anniversary of the IPO);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properties are subject to various laws, ordinances and regulations, including those relating to fire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Americans With Disabilities Act. </w:t>
      </w:r>
      <w:r>
        <w:rPr>
          <w:rFonts w:ascii="Arial" w:cs="Arial" w:eastAsia="Arial" w:hAnsi="Arial"/>
          <w:sz w:val="18"/>
          <w:szCs w:val="18"/>
          <w:color w:val="auto"/>
        </w:rPr>
        <w:t>Under Title III of the ADA, and rules promulgated thereunder, in order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8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pacing w:after="0" w:line="18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With respect to each of the properties in our initial portfolio, CTO obtained Phase I environmental site assessments. The Company has obtained Phase I environmental assessments on all properties acquired subsequent to the completion of the IPO.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no employees and is externally managed and advised by our Manager pursuant to the Management Agreement. Our Manager is a wholly owned subsidiary of CTO. All of our executive officers serve as executive officers of CTO, and one of our executive officers and directors, John P. Albright, serves as an executive officer and director of CTO.</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The Company maintains a website at </w:t>
      </w:r>
      <w:r>
        <w:rPr>
          <w:rFonts w:ascii="Arial" w:cs="Arial" w:eastAsia="Arial" w:hAnsi="Arial"/>
          <w:sz w:val="18"/>
          <w:szCs w:val="18"/>
          <w:i w:val="1"/>
          <w:iCs w:val="1"/>
          <w:color w:val="auto"/>
        </w:rPr>
        <w:t>www.alpinereit.com</w:t>
      </w:r>
      <w:r>
        <w:rPr>
          <w:rFonts w:ascii="Arial" w:cs="Arial" w:eastAsia="Arial" w:hAnsi="Arial"/>
          <w:sz w:val="18"/>
          <w:szCs w:val="18"/>
          <w:color w:val="auto"/>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them to, the SEC.</w:t>
      </w:r>
    </w:p>
    <w:p>
      <w:pPr>
        <w:spacing w:after="0" w:line="19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summarized below in this Item 1A, “Risk Factors” included in this Annual Report on Form 10-K. These risks include, but are not limited to, the following:</w:t>
      </w:r>
    </w:p>
    <w:p>
      <w:pPr>
        <w:spacing w:after="0" w:line="184" w:lineRule="exact"/>
        <w:rPr>
          <w:sz w:val="20"/>
          <w:szCs w:val="20"/>
          <w:color w:val="auto"/>
        </w:rPr>
      </w:pPr>
    </w:p>
    <w:p>
      <w:pPr>
        <w:ind w:left="700" w:right="79" w:hanging="326"/>
        <w:spacing w:after="0" w:line="25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jc w:val="both"/>
        <w:ind w:left="700" w:right="79" w:hanging="326"/>
        <w:spacing w:after="0" w:line="265"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ind w:left="700" w:hanging="326"/>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Properties occupied by a single tenant pursuant to a single lease subject us to significant risk of tenant default.</w:t>
      </w:r>
    </w:p>
    <w:p>
      <w:pPr>
        <w:spacing w:after="0" w:line="32" w:lineRule="exact"/>
        <w:rPr>
          <w:rFonts w:ascii="Arial" w:cs="Arial" w:eastAsia="Arial" w:hAnsi="Arial"/>
          <w:sz w:val="16"/>
          <w:szCs w:val="16"/>
          <w:color w:val="auto"/>
        </w:rPr>
      </w:pPr>
    </w:p>
    <w:p>
      <w:pPr>
        <w:ind w:left="700" w:right="79" w:hanging="326"/>
        <w:spacing w:after="0" w:line="26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portfolio has geographic market concentrations that make us susceptible to adverse developments in those geographic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5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related to tenant concentration, and an adverse development with respect to a large tenant could materially and adversely affect us.</w:t>
      </w:r>
    </w:p>
    <w:p>
      <w:pPr>
        <w:spacing w:after="0" w:line="1"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decrease in demand for retail space may materially and adversely affect us.</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renew leases, lease vacant space or re-lease space as leases expire on favorable terms or at all.</w:t>
      </w: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vacancy of one or more of our properties could result in us having to incur significant capital expenditures to re-tenant the space.</w:t>
      </w: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identify and complete acquisitions of suitable properties, which may impede our growth, and our future acquisitions may not yield the returns we expect.</w:t>
      </w: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for tenants, which may adversely impact the occupancy levels of our portfolio or prevent increases of the rental rates of our properties.</w:t>
      </w:r>
    </w:p>
    <w:p>
      <w:pPr>
        <w:ind w:left="700" w:hanging="326"/>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of compliance with or liabilities related to environmental laws may materially and adversely affect us.</w:t>
      </w:r>
    </w:p>
    <w:p>
      <w:pPr>
        <w:spacing w:after="0" w:line="32" w:lineRule="exact"/>
        <w:rPr>
          <w:rFonts w:ascii="Arial" w:cs="Arial" w:eastAsia="Arial" w:hAnsi="Arial"/>
          <w:sz w:val="16"/>
          <w:szCs w:val="16"/>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properties may contain or develop harmful mold, which could lead to liability for adverse health effects and costs of remediation.</w:t>
      </w: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1" w:lineRule="exact"/>
        <w:rPr>
          <w:rFonts w:ascii="Arial" w:cs="Arial" w:eastAsia="Arial" w:hAnsi="Arial"/>
          <w:sz w:val="18"/>
          <w:szCs w:val="18"/>
          <w:color w:val="auto"/>
        </w:rPr>
      </w:pPr>
    </w:p>
    <w:p>
      <w:pPr>
        <w:ind w:left="700" w:right="79" w:hanging="326"/>
        <w:spacing w:after="0" w:line="265"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no employees and are entirely dependent upon our Manager for all the services we require, and we cannot assure you that our Manager will allocate the resources necessary to meet our business objectives.</w:t>
      </w: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CTO may be unable to obtain or retain the executive officers and other personnel that it provides to us through our Manager.</w:t>
      </w: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incentive fee payable to our Manager pursuant to the Management Agreement may cause our Manager to select investments in more risky assets to increase its incentive compensation.</w:t>
      </w: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conflicts of interest in our relationships with our Manager, which could result in outcomes that are not in our best interests.</w:t>
      </w: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Management Agreement with our Manager and the exclusivity and ROFO agreement with CTO were not negotiated on an arm’s-length basis and may not be as favorable to us as if they had been negotiated with unaffiliated third parties.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remain qualified as a REIT would cause us to be taxed as a regular corporation, which would substantially reduce funds available for distributions to our stockholders.</w:t>
      </w: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remain qualified as a REIT, we may face other tax liabilities that could reduce our cash flows and negatively impact our results of operations and financial condition.</w:t>
      </w: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make required distributions would subject us to U.S. federal corporate income tax.</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our liabilities effectively and may cause us to incur tax liabilities.</w:t>
      </w: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prohibited transactions tax may limit our ability to dispose of our properties.</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Board to revoke our REIT qualification without stockholder approval may cause adverse consequences to our stockholders.</w:t>
      </w: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payable by REITs do not qualify for the reduced tax rates available for some dividends.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31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novel coronavirus pandemic (the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ownership of commercial real estate that could affect the performance and value of our properties.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Factors beyond our control can affect the performance and value of our properties. Our core business is the ownership of single-tenant commercial net leased properties. Accordingly, our performance is subject to risks incident to the ownership of commercial real estate, including:</w:t>
      </w:r>
    </w:p>
    <w:p>
      <w:pPr>
        <w:spacing w:after="0" w:line="184"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collect rents from tenants due to financial hardship, including bankruptcy;</w:t>
      </w:r>
    </w:p>
    <w:p>
      <w:pPr>
        <w:spacing w:after="0" w:line="23"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real estate conditions in the markets where our properties are located, including the availability and demand for the properties we own;</w:t>
      </w:r>
    </w:p>
    <w:p>
      <w:pPr>
        <w:ind w:left="700" w:right="7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trends and preferences that affect the demand for products and services offered by our tenants;</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national, regional and local economic conditions;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lease or sell properties upon expiration or termination of existing leases;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risks, including the presence of hazardous or toxic substances on our properties;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subjectivity of real estate valuations and changes in such valuations over time;</w:t>
      </w:r>
    </w:p>
    <w:p>
      <w:pPr>
        <w:spacing w:after="0" w:line="9" w:lineRule="exact"/>
        <w:rPr>
          <w:rFonts w:ascii="Arial" w:cs="Arial" w:eastAsia="Arial" w:hAnsi="Arial"/>
          <w:sz w:val="18"/>
          <w:szCs w:val="18"/>
          <w:color w:val="auto"/>
        </w:rPr>
      </w:pPr>
    </w:p>
    <w:p>
      <w:pPr>
        <w:ind w:left="700" w:right="107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illiquidity of real estate investments, which may limit our ability to modify our portfolio promptly in response to changes in economic or other conditions;</w:t>
      </w:r>
    </w:p>
    <w:p>
      <w:pPr>
        <w:ind w:left="700" w:right="63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zoning or other local regulatory restrictions, or other factors pertaining to the local government institutions which inhibit interest in the markets in which our properties are located;</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the availability of financing;</w:t>
      </w:r>
    </w:p>
    <w:p>
      <w:pPr>
        <w:spacing w:after="0" w:line="9" w:lineRule="exact"/>
        <w:rPr>
          <w:rFonts w:ascii="Arial" w:cs="Arial" w:eastAsia="Arial" w:hAnsi="Arial"/>
          <w:sz w:val="18"/>
          <w:szCs w:val="18"/>
          <w:color w:val="auto"/>
        </w:rPr>
      </w:pPr>
    </w:p>
    <w:p>
      <w:pPr>
        <w:ind w:left="700" w:right="67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other real estate companies similar to ours and competition for tenants, including competition based on rental rates, age and location of properties and the quality of maintenance, insurance and management services;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God, including natural disasters and global pandemics, such as the COVID-19 Pandemic, which impact the United States, which may result in uninsured losses;</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war or terrorism, including consequences of terrorist attacks;</w:t>
      </w:r>
    </w:p>
    <w:p>
      <w:pPr>
        <w:spacing w:after="0" w:line="9" w:lineRule="exact"/>
        <w:rPr>
          <w:rFonts w:ascii="Arial" w:cs="Arial" w:eastAsia="Arial" w:hAnsi="Arial"/>
          <w:sz w:val="18"/>
          <w:szCs w:val="18"/>
          <w:color w:val="auto"/>
        </w:rPr>
      </w:pPr>
    </w:p>
    <w:p>
      <w:pPr>
        <w:ind w:left="700" w:right="1339" w:hanging="326"/>
        <w:spacing w:after="0" w:line="250"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and marketability of our properties to tenants or cause decreases in market rental rates;</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or re-lease our properties;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cost of our operations, particularly maintenance, insurance or real estate taxes</w:t>
      </w:r>
    </w:p>
    <w:p>
      <w:pPr>
        <w:spacing w:after="0" w:line="9" w:lineRule="exact"/>
        <w:rPr>
          <w:rFonts w:ascii="Arial" w:cs="Arial" w:eastAsia="Arial" w:hAnsi="Arial"/>
          <w:sz w:val="18"/>
          <w:szCs w:val="18"/>
          <w:color w:val="auto"/>
        </w:rPr>
      </w:pPr>
    </w:p>
    <w:p>
      <w:pPr>
        <w:ind w:left="700" w:right="59"/>
        <w:spacing w:after="0" w:line="250" w:lineRule="auto"/>
        <w:rPr>
          <w:rFonts w:ascii="Arial" w:cs="Arial" w:eastAsia="Arial" w:hAnsi="Arial"/>
          <w:sz w:val="18"/>
          <w:szCs w:val="18"/>
          <w:color w:val="auto"/>
        </w:rPr>
      </w:pPr>
      <w:r>
        <w:rPr>
          <w:rFonts w:ascii="Arial" w:cs="Arial" w:eastAsia="Arial" w:hAnsi="Arial"/>
          <w:sz w:val="18"/>
          <w:szCs w:val="18"/>
          <w:color w:val="auto"/>
        </w:rPr>
        <w:t>which may occur even when circumstances such as market factors and competition cause a reduction in our revenues;</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w:t>
      </w:r>
    </w:p>
    <w:p>
      <w:pPr>
        <w:spacing w:after="0" w:line="9" w:lineRule="exact"/>
        <w:rPr>
          <w:rFonts w:ascii="Arial" w:cs="Arial" w:eastAsia="Arial" w:hAnsi="Arial"/>
          <w:sz w:val="18"/>
          <w:szCs w:val="18"/>
          <w:color w:val="auto"/>
        </w:rPr>
      </w:pPr>
    </w:p>
    <w:p>
      <w:pPr>
        <w:ind w:left="700" w:right="59"/>
        <w:spacing w:after="0" w:line="265" w:lineRule="auto"/>
        <w:rPr>
          <w:rFonts w:ascii="Arial" w:cs="Arial" w:eastAsia="Arial" w:hAnsi="Arial"/>
          <w:sz w:val="18"/>
          <w:szCs w:val="18"/>
          <w:color w:val="auto"/>
        </w:rPr>
      </w:pPr>
      <w:r>
        <w:rPr>
          <w:rFonts w:ascii="Arial" w:cs="Arial" w:eastAsia="Arial" w:hAnsi="Arial"/>
          <w:sz w:val="17"/>
          <w:szCs w:val="17"/>
          <w:color w:val="auto"/>
        </w:rPr>
        <w:t>costs of compliance with laws and regulations, fiscal policies and ordinances including in response to global pandemics whereby our tenants’ businesses are forced to close or remain open on a limited basis only; and</w:t>
      </w: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commodities prices.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occurrence of any of the risks described above may cause the performance and value of our properties to decline, which could materially and adversely affect us.</w:t>
      </w:r>
    </w:p>
    <w:p>
      <w:pPr>
        <w:spacing w:after="0" w:line="170"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0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tenants successfully operating their businesses, and their failure to do so could materially and adversely affect us.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Each of our properties are occupied by a single tenant. Therefore, the success of our investments in these properties is materially dependent upon the performance of each property’s respective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18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b w:val="1"/>
          <w:bCs w:val="1"/>
          <w:i w:val="1"/>
          <w:iCs w:val="1"/>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spacing w:after="0" w:line="14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Additionally, we believe that many of the businesses operated by our tenants are benefiting from current favorable macroeconomic trends that support consumer spending, such as strong and growing employment levels, a relatively low interest rate environment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Properties occupied by a single tenant pursuant to a single lease subject us to significant risk of tenant default.</w:t>
      </w:r>
    </w:p>
    <w:p>
      <w:pPr>
        <w:spacing w:after="0" w:line="24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strategy focuses on owning, operating and investing in single-tenant, net leased commercial properties. Therefore, the financial failure of, or default in payment by, a tenant under its lease is likely to cause a significant or complete reduction in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experience a decline in the fair value of our real estate assets which could result in impairments and would impact our financial condition and results of operations.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portfolio has geographic market concentrations that make us susceptible to adverse developments in those geographic markets.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addition to general, regional, national, and global economic conditions, our operating performance is impacted by the economic conditions of the specific geographic markets in which we have concentrations of properties. Our portfolio includes substantial holdings in Florida and Oregon as of December 31, 2020 (based on annualized base rent). Our geographic 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spacing w:after="0" w:line="1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tenant concentration, and an adverse development with respect to a large tenant could materially and adversely affect us.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December 31, 2020, on an annualized basis, Wells Fargo, our largest tenant, contributed 19% of our total revenue. Additionally, we derived 12% of our total revenue as of December 31, 2020 from our second largest tenant, Hilton Grand Vacations. As a result, our financial performance depends significantly on the financial condition of these tenants. In the future, we may have additional tenant and property concentrations. In the event that one of these tenants, or another tenant that occupies a significant number of our properties or whose lease payments represent a significant portion of our rental revenue, were to experience financial difficulty or file for bankruptcy, it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December 31, 2020, 54%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tenants may also be more likely to experience financial weakness or file for bankruptcy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it could have a material adverse effect on us.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decrease in demand for retail space may materially and adversely affect us.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of December 31, 2020, leases representing 73% of the annualized straight-line base rent of our initial portfolio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We may be unable to renew leases, lease vacant space or re-lease space as leases expire on favorable terms or at all.</w:t>
      </w:r>
    </w:p>
    <w:p>
      <w:pPr>
        <w:spacing w:after="0" w:line="26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results of operations depend on our ability to lease our properties, including renewing expiring leases, leasing vacant space and re-leasing space in properties where leases are expiring.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our leases may be unenforceable.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of our tenants could result in the termination of such tenant’s lease and material losses to us.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occurrence of a tenant bankruptcy or insolvency would likely diminish the income we receive from that tenant’s lease or leases or force us to re-tenant a property as a result of a default of the in-place tenant or a rejection of a tenant lease by a bankruptcy court. If a tenant files for bankruptcy or becomes insolvent, federal law may prohibit us from evicting such tenant based solely upon such bankruptcy or insolvency. In addition, a bankrupt or insolvent tenant may be authorized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acquire the properties that we evaluate in our pipeline.</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will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 we continue to acquire properties, we may decrease or fail to increase the diversity of our portfolio.</w:t>
      </w:r>
    </w:p>
    <w:p>
      <w:pPr>
        <w:spacing w:after="0" w:line="23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While we will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b w:val="1"/>
          <w:bCs w:val="1"/>
          <w:i w:val="1"/>
          <w:iCs w:val="1"/>
          <w:color w:val="auto"/>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or purchase of, properties with limited warranties increases the risk that we may lose some or all of our invested capital in the property, lose rental income from that property or may be subject to unknown liabilities with respect to such properties.</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b w:val="1"/>
          <w:bCs w:val="1"/>
          <w:i w:val="1"/>
          <w:iCs w:val="1"/>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spacing w:after="0" w:line="1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Certain properties in our portfolio are leased to tenants operating retail, service-oriented or experience-based businesses. General merchandise, financial services, hospitality, home furnishings and entertainment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The ability of consumers to use their discretionary income may be impacted by issues including a global pandemic that impacts the United States.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vacancy of one or more of our properties could result in us having to incur significant capital expenditures to re-tenant the space.</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loss of a tenant, either through lease expiration or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spacing w:after="0" w:line="18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may be unable to identify and complete acquisitions of suitable properties, which may impede our growth, and our future acquisitions may not yield the returns we expect.</w:t>
      </w:r>
    </w:p>
    <w:p>
      <w:pPr>
        <w:spacing w:after="0" w:line="170"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Our ability to expand through acquisitions requires us to identify and complete acquisitions that are consistent with our investment and growth strategy and our investment criteria and to successfully integrate newly acquired properties into our portfolio. Our Manager continually evaluates investment opportunities for us, but our ability to acquire properties on favorable terms and successfully operate them may be constrained by the following significant risks:</w:t>
      </w:r>
    </w:p>
    <w:p>
      <w:pPr>
        <w:spacing w:after="0" w:line="157" w:lineRule="exact"/>
        <w:rPr>
          <w:sz w:val="20"/>
          <w:szCs w:val="20"/>
          <w:color w:val="auto"/>
        </w:rPr>
      </w:pPr>
    </w:p>
    <w:p>
      <w:pPr>
        <w:jc w:val="both"/>
        <w:ind w:left="700" w:right="79" w:hanging="326"/>
        <w:spacing w:after="0" w:line="25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competition from other real estate investors with significant capital, including REITs and institutional investment funds, which may be able to accept more risk than we can prudently manage, including risks associated with paying higher acquisition prices;</w:t>
      </w:r>
    </w:p>
    <w:p>
      <w:pPr>
        <w:spacing w:after="0" w:line="2"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competition from other potential acquirers which may significantly increase the purchase price for a property we acquire, which could reduce our growth prospects;</w:t>
      </w:r>
    </w:p>
    <w:p>
      <w:pPr>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significant costs and divert management attention in connection with evaluating and negotiating potential acquisitions, including ones that we are unable to complete;</w:t>
      </w:r>
    </w:p>
    <w:p>
      <w:pPr>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acquire properties that are not accretive to our results of operations upon acquisition, and we may be unsuccessful in managing and leasing such properties in accordance with our expectations;</w:t>
      </w:r>
    </w:p>
    <w:p>
      <w:pPr>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cash flow from an acquired property may be insufficient to meet our required principal and interest payments with respect to debt used to finance the acquisition of such property;</w:t>
      </w:r>
    </w:p>
    <w:p>
      <w:pPr>
        <w:jc w:val="both"/>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obtain financing for an acquisition on favorable terms or at all;</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spend more than budgeted amounts to make necessary improvements or renovations to acquired properties;</w:t>
      </w:r>
    </w:p>
    <w:p>
      <w:pPr>
        <w:ind w:left="700" w:hanging="32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conditions may result in higher than expected vacancy rates and lower than expected rental rates; and</w:t>
      </w:r>
    </w:p>
    <w:p>
      <w:pPr>
        <w:spacing w:after="0" w:line="20" w:lineRule="exact"/>
        <w:rPr>
          <w:rFonts w:ascii="Arial" w:cs="Arial" w:eastAsia="Arial" w:hAnsi="Arial"/>
          <w:sz w:val="17"/>
          <w:szCs w:val="17"/>
          <w:color w:val="auto"/>
        </w:rPr>
      </w:pPr>
    </w:p>
    <w:p>
      <w:pPr>
        <w:jc w:val="both"/>
        <w:ind w:left="700" w:right="79" w:hanging="326"/>
        <w:spacing w:after="0" w:line="252"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any of these risks are realized, we may be materially and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may be unable to complete acquisitions of properties owned by CTO that are covered by the exclusivity and ROFO agreement between us and CTO, and any completed acquisitions of such properties may not yield the returns we expect.</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Although the exclusivity and ROFO agreement with CTO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exclusivity and ROFO agreement in the future. Further, even if we are able to acquire properties covered by the exclusivity and ROFO agreement, there is no guarantee that such properties will be able to maintain their historical performance, or that we will be able to realize the same returns from those properties as CTO.</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tenants, which may adversely impact the occupancy levels of our portfolio or prevent increases of the rental rates of our properties.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compete with numerous developers, owners and operators of single-tenant,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Inflation may materially and adversely affect us and our tenants.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Increased inflation could have an adverse impact on interest rates, which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 Increased costs may have an adverse impact on our tenants if increases in their operating expenses exceed increases they might achieve in revenues, which may adversely affect the tenants’ ability to pay rent owed to us.</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redevelopment or renovation of our properties may cause us to experience unexpected costs and have other risks that could materially and adversely affect us.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revolving credit facility we expect to have in place upon completion of the IPO or any 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spacing w:after="0" w:line="18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Our real estate investments are generally illiquid, which could significantly affect our ability to respond to market changes or adverse changes relating to our tenants or in the performance of our properties.</w:t>
      </w:r>
    </w:p>
    <w:p>
      <w:pPr>
        <w:spacing w:after="0" w:line="14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real estate investments made, and expected to be made, by us are relatively difficult for us to sell quickly. As a result, our ability to make rapid adjustments in the size and content of our portfolio in response to economic or other conditions will be limited. Illiquid assets typically experience greater price volatility, as a ready market does not exist,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can be more difficult to value. In addition, validating third party pricing for illiquid assets may be more subjective than more liquid assets. As a result, if we are required to quickly liquidate all or a portion of our portfolio, we may realize significantly less than the value at which we have previously recorded our assets.</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be able to dispose of properties we target for sale to recycle our capital.</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consequently, materially and adversely affect 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Certain Events, Environmental Matters and Climate Change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Natural disasters, terrorist attacks, other acts of violence or war or other unexpected events could materially and adversely affect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lenders or other institutions with which we have a relationship. The U.S. may be engaged in armed conflict, which could also have an impact on the tenants,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Insurance on our properties may not adequately cover all losses and uninsured losses could materially and adversely affect us.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 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spacing w:after="0" w:line="19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 zoning and building code requirements. The loss of our capital investment in or anticipated future returns from our properties due to material uninsured losses could materially and adversely affect us.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costs of compliance with or liabilities related to environmental laws may materially and adversely affect us.</w:t>
      </w:r>
    </w:p>
    <w:p>
      <w:pPr>
        <w:spacing w:after="0" w:line="24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p>
      <w:pPr>
        <w:spacing w:after="0" w:line="192" w:lineRule="exact"/>
        <w:rPr>
          <w:sz w:val="20"/>
          <w:szCs w:val="20"/>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knowledge of the contamination;</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contamination;</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cause of the contamination; or</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party responsible for the contamination of the property.</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may be environmental liabilities associated with our properties of which we are unaware. With respect to each of the properties in our initial portfolio, CTO has obtained Phase I environmental site assessments. We have obtained Phase I environmental assessments on all properties acquired subsequent to the completion of the IPO.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spacing w:after="0" w:line="16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 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spacing w:after="0" w:line="19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 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properties may contain or develop harmful mold, which could lead to liability for adverse health effects and costs of remediation.</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operations and financial condition may be adversely affected by climate change, including possible changes in weather patterns, weather-related events, government policy, laws, regulations and economic conditions.</w:t>
      </w:r>
    </w:p>
    <w:p>
      <w:pPr>
        <w:spacing w:after="0" w:line="10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Other Aspects of our Operation and as a Public Company</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adversely impact our results of operations and cash flows.</w:t>
      </w:r>
    </w:p>
    <w:p>
      <w:pPr>
        <w:spacing w:after="0" w:line="18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business is highly dependent on communications and information systems and networks. Any failure or interruption of these systems or networks could cause delays or other problems in our operations and communications.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Through our relationship with CTO and our Manager, we rely heavily on CTO’s financial, accounting and other data processing systems. In addition, much of the information technology infrastructure on which we rely is or may be managed by third parties and, as such, we also face the risk of operational failure, termination or capacity constraints by any of these third parties. It is difficult to determine what, if any, negative impact may directly result from any specific interruption or 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spacing w:after="0" w:line="17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 can be no assurance that our senior management team will be able to successfully operate two publicly traded companies. Any failure by our senior management team to successfully operate our company or CTO could materially and adversely affect us.</w:t>
      </w:r>
    </w:p>
    <w:p>
      <w:pPr>
        <w:spacing w:after="0" w:line="19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If there are deficiencies in our disclosure controls and procedures or internal control over financial reporting, we may be unable to accurately present our financial statements, which could materially and adversely affect us.</w:t>
      </w:r>
    </w:p>
    <w:p>
      <w:pPr>
        <w:spacing w:after="0" w:line="12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a publicly traded company, we are required to report our financial statements on a consolidated basis. Effective internal controls are necessary for us to accurately report our financial results. Section 404 of the Sarbanes-Oxley Act will require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for up to five years.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spacing w:after="0" w:line="17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unanticipated expenditures that materially and adversely affect us.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spacing w:after="0" w:line="16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that existing laws and regulatory policies will not adversely affect us or the timing or cost of any future acquisitions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spacing w:after="0" w:line="19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In the future, we may choose to acquire properties or portfolios of properties through tax deferred contribution transactions, which could result in stockholder dilution and limit our ability to sell such assets.</w:t>
      </w:r>
    </w:p>
    <w:p>
      <w:pPr>
        <w:spacing w:after="0" w:line="14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the future, we may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CTO and Our Manager and the Management Agreement</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b w:val="1"/>
          <w:bCs w:val="1"/>
          <w:i w:val="1"/>
          <w:iCs w:val="1"/>
          <w:color w:val="auto"/>
        </w:rPr>
        <w:t>We have no employees and are entirely dependent upon our Manager for all the services we require, and we cannot assure you that our Manager will allocate the resources necessary to meet our business objectives.</w:t>
      </w:r>
    </w:p>
    <w:p>
      <w:pPr>
        <w:spacing w:after="0" w:line="12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Because we are “externally managed,” we do not employ our own personnel, but instead depend upon CTO, our Manager and their affiliates for virtually all of the services we require. Our Manager selects and manages the acquisition of properties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CTO may be unable to obtain or retain the executive officers and other personnel that it provides to us through our Manager.</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Matthew M. Partridge, Senior Vice President, Chief Financial Officer and Treasurer of our company and CTO; Steven R. Greathouse, Senior Vice President and Chief Investment Officer of our company and CTO; and Daniel E. Smith, Senior Vice President, General Counsel and Corporate Secretary of our company and CTO. In addition to these executive officers, we also rely on other personnel of CTO that are provided to us through our Manager. We cannot guarantee that all, or any particular one of these 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pay substantial fees and expenses to our Manager. These payments increase the risk that you will not earn a profit on your investment.</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18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incentive fee payable to our Manager pursuant to the Management Agreement may cause our Manager to select investments in more risky assets to increase its incentive compensation.</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common stock and our ability to make distributions to our stockholders.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There are conflicts of interest in our relationships with our Manager, which could result in outcomes that are not in our best interests.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our initial portfolio, we may acquire or sell properties in which CTO or its affiliates have or may have an interest. Similarly, CTO or its affiliates may acquire or sell properties in which we have or may have an interest. Although such acquisitions or dispositions may present conflicts of interest, we nonetheless may pursue and consummate such transactions. Additionally, we may engage in transactions directly with CTO, our Manager or their affiliates. If we acquire a property from CTO or one of its affiliates or sell a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9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equity securities at dilutive prices, the market price of our common stock may be adversely affected, and you could lose some or all of your investment in our common stock.</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ability to achieve our objectives depends on, among other things, our Manager’s ability to identify, acquire and lease properties that meet our investment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common stock.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with and pursuant to the Management Agreement, except those resulting from acts constituting gross negligence, willful misconduct, bad faith or reckless disregard of our Manager’s duties under the Management Agreement.</w:t>
      </w:r>
    </w:p>
    <w:p>
      <w:pPr>
        <w:spacing w:after="0" w:line="16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exclusivity and ROFO agreement with CTO, as discussed further herein. As a result of termination of the exclusivity and ROFO agreement, we would face increased competition from CTO and its affiliates, as well as others, for the acquisition of properties that meet our investment criteria, and our right to acquire certain properties from CTO and its affiliates would be terminated. As a result, the termination of the Management Agreement could materially and adversely affect us.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our Manager ceases to be our manager pursuant to the Management Agreement, counterparties to our agreements may cease doing business with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Management Agreement with our Manager and the exclusivity and ROFO agreement with CTO were not negotiated on an arm’s-length basis and may not be as favorable to us as if they had been negotiated with unaffiliated third parties.</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Management Agreement with our Manager and the exclusivity and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exclusivity and ROFO agreement because of our desire to maintain our ongoing relationships with our Manager and CTO.</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Financing Activities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growth depends on external sources of capital, including debt financings, that are outside of our control and may not be available to us on commercially reasonable terms or at all.</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order to maintain our qualification as a REIT, we are required under the Code,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p>
      <w:pPr>
        <w:spacing w:after="0" w:line="178"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debt levels;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and expected future earnings;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 and cash distributions; and</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per share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cannot obtain capital from third-party sources, we may not be able to acquire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spacing w:after="0" w:line="18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organizational documents have no limitation on the amount of additional indebtedness that we may incur in the future. As a result, we may become highly leveraged in the future, which could materially and adversely affect us.</w:t>
      </w:r>
    </w:p>
    <w:p>
      <w:pPr>
        <w:spacing w:after="0" w:line="10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have entered into the Credit Facility and, in the future, we may incur additional indebtedness to finance future acquisitions and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substantial level of indebtedness in the future could have adverse consequences for our business and otherwise materially and adversely affect us because it could, among other things:</w:t>
      </w:r>
    </w:p>
    <w:p>
      <w:pPr>
        <w:spacing w:after="0" w:line="170" w:lineRule="exact"/>
        <w:rPr>
          <w:sz w:val="20"/>
          <w:szCs w:val="20"/>
          <w:color w:val="auto"/>
        </w:rPr>
      </w:pPr>
    </w:p>
    <w:p>
      <w:pPr>
        <w:jc w:val="both"/>
        <w:ind w:left="700" w:right="79" w:hanging="326"/>
        <w:spacing w:after="0" w:line="269"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p>
      <w:pPr>
        <w:spacing w:after="0" w:line="1"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and limit our flexibility in planning for, or reacting to, changes in our business and our industry;</w:t>
      </w:r>
    </w:p>
    <w:p>
      <w:pPr>
        <w:ind w:left="700" w:right="79" w:hanging="326"/>
        <w:spacing w:after="0" w:line="25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indebtedness on favorable terms or at all to expand our business or ease liquidity constraints; and</w:t>
      </w: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competitors that have less indebtedness.</w:t>
      </w:r>
    </w:p>
    <w:p>
      <w:pPr>
        <w:spacing w:after="0" w:line="211"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The agreements governing our indebtedness are likely to place restrictions on us and our subsidiaries, reducing our operational flexibility and creating risks associated with default and noncompliance.</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agreements governing the Credit Facility and any other indebtedness that we may incur in the future contain or may contain covenants that place restrictions on us and our subsidiaries. These covenants may restrict, among other activities, our and our subsidiaries’ ability to:</w:t>
      </w:r>
    </w:p>
    <w:p>
      <w:pPr>
        <w:spacing w:after="0" w:line="184" w:lineRule="exact"/>
        <w:rPr>
          <w:sz w:val="20"/>
          <w:szCs w:val="20"/>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or our subsidiaries’ assets;</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transfer, pledge or encumber our stock or the ownership interests of our subsidiaries;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expenditures, including capital expenditures;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on or repurchase our capital stock; and</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1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Mortgage debt obligations expose us to the possibility of foreclosure, which could result in the loss of our investment in any property subject to mortgage debt.</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 assume or incur new mortgage indebtedness on our properties. Any default under any mortgage debt obligation we incur may increase the risk of our default on our other indebtedness, including indebtedness under our anticipated revolving credit facility, which could materially and adversely affect us.</w:t>
      </w:r>
    </w:p>
    <w:p>
      <w:pPr>
        <w:spacing w:after="0" w:line="18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An increase in interest rates would increase our interest costs on our variable rate debt and could adversely impact our ability to refinance existing debt or sell assets.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Future borrowings under our revolving credit facility will bear interest at variable rates. An increase in interest rates would increase our interest payments and reduce our cash flow available for other corporate purposes. In addition, rising interest rates could limit our ability to refinance debt when it matures and increase interest costs on any debt that is refinanced. Further, an increase in interest rates could increase the cost of financing, thereby decreasing the amount third parties are willing to pay for our properties, which would limit our ability to dispose of properties when necessary or desired.</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addition, we may enter into hedging arrangements in the future. Our hedging arrangements may include interest rate swaps, caps, floors and other interest rate hedging contracts. Our hedging arrangements could reduce, but may not eliminate, the impact of rising interest rates, and they could expose us to the risk that other parties to our hedging arrangements will not perform or that the agreements relating to our hedges may not be enforceable.</w:t>
      </w:r>
    </w:p>
    <w:p>
      <w:pPr>
        <w:spacing w:after="0" w:line="17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Changes in the method pursuant to which LIBOR is determined and potential phasing out of LIBOR after 2021 may affect our financial results.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In July 2017, the chief executive of the United Kingdom Financial Conduct Authority, or the FCA, which regulates LIBOR, announced that the FCA intends to stop compelling banks to submit rates for the calculation of LIBOR after 2021. It is not possible to predict the effect of these changes, other reforms or the establishment of alternative reference rates in the United Kingdom or elsewhere. Furthermore, in the United States, efforts to identify a set of alternative U.S. dollar reference interest rates include proposals by the Alternative Reference Rates Committee of the Federal Reserve Board and the Federal Reserve Bank of New York. The U.S. Federal Reserve, in conjunction with the Alternative Rates Committee, a steering committee comprised of large U.S. financial institutions, is considering replacing U.S. dollar LIBOR with the Secured Overnight Financing Rate, or SOFR, a new index calculated by short-term repurchase agreements, backed by Treasury securities. The Federal Reserve Bank of New York began publishing SOFR rates in 2018. The market transition away from LIBOR and towards SOFR is expected to be gradual and complicated. There are significant differences between LIBOR and SOFR, such as LIBOR being an unsecured lending rate and SOFR a secured lending rate, and SOFR is an overnight rate and LIBOR reflects term rates at different maturities. These and other differences create the potential for basis risk between the two rates. The impact of any basis risk between LIBOR and SOFR may negatively affect our operating results. Any of these alternative methods may result in interest rates that are higher than if LIBOR were available in its current form, which could have a material adverse effect on results. Whether or not SOFR attains market traction as a LIBOR replacement tool remains in question.</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November 30, 2020, ICE Benchmark Administration (“IBA”),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2023,</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United States Federal Reserve concurrently issued a statement advising banks to stop new USD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If that were to occur, the level of interest payments we incur may change. In addition, although certain of our LIBOR based obligations provide for alternative methods of calculating the interest rate payable on certain of our obligations if LIBOR is not reported, which include requesting certain rates from major reference banks in London or New York, or alternatively using LIBOR for the immediately preceding interest period or using the initial interest rate, as applicable,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 Although regulators and IBA have made clear that the recent announcements should not be read to say that LIBOR has ceased or will cease, in the event LIBOR does cease to exist, the risks associated with the transition to an alternative reference rate will be accelerated and magnified.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direct operations, and we will rely on funds received from the Operating Partnership to pay our obligations and make distributions to our stockholders.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are a holding company and will conduct substantially all of our operations through the Operating Partnership. We will not have, apart from an interest in the Operating Partnership, any independent operations. As a result, we will rely on distributions from the Operating Partnership to make any distributions we declare on shares of our common stock. We will also rely on distributions from the Operating Partnership to meet any of our obligations, including any tax liability on taxable income allocated to us from the Operating Partnership. In addition, because we are a holding company, your claims 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2020, we owned 85.9% of the OP Units issued by the Operating Partnership. However, in connection with our future acquisition activities or otherwise, we may issue additional OP Units to third parties. Such issuances would reduce our ownership in the Operating Partnership.</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Maryland law could inhibit changes in control of our company.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Certain provisions in the partnership agreement of the Operating Partnership may delay, defer or prevent unsolicited acquisitions of us.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187" w:lineRule="exact"/>
        <w:rPr>
          <w:sz w:val="20"/>
          <w:szCs w:val="20"/>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rights of qualifying parties;</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restrictions on OP Units;</w:t>
      </w:r>
    </w:p>
    <w:p>
      <w:pPr>
        <w:spacing w:after="0" w:line="9"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p>
      <w:pPr>
        <w:spacing w:after="0" w:line="1" w:lineRule="exact"/>
        <w:rPr>
          <w:rFonts w:ascii="Arial" w:cs="Arial" w:eastAsia="Arial" w:hAnsi="Arial"/>
          <w:sz w:val="18"/>
          <w:szCs w:val="18"/>
          <w:color w:val="auto"/>
        </w:rPr>
      </w:pPr>
    </w:p>
    <w:p>
      <w:pPr>
        <w:ind w:left="700" w:right="79" w:hanging="326"/>
        <w:spacing w:after="0" w:line="26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of the limited partners to consent to transfers of the general partnership interest and mergers or other transactions involving us under specified circumstances.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partnership agreement of the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charter contains stock ownership limits, which may delay, defer or prevent a change of control.</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order for us to maintain our qualification as a REIT for each taxable year commencing with our taxable year ended December 31, 2020,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pacing w:after="0" w:line="16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Board may change our strategies, policies or procedures without stockholder consent, which may subject us to different and more significant risks in the future.</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of directors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Board may change our policies with respect to conflicts of interest, provided that such changes are consistent with applicable legal requirements.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have assumed unknown liabilities in connection with the Formation Transactions, which, if significant, could materially and adversely affect us.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17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Conflicts of interest exist or could arise in the future between the interests of our stockholders and the interests of holders of Operating Partnership units, which may impede business decisions that could benefit our stockholders.</w:t>
      </w:r>
    </w:p>
    <w:p>
      <w:pPr>
        <w:spacing w:after="0" w:line="10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our wholly owned subsidiary, Alpine Income Property GP, LLC,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 with the duties of our directors and executive officers 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spacing w:after="0" w:line="16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p>
      <w:pPr>
        <w:spacing w:after="0" w:line="188" w:lineRule="exact"/>
        <w:rPr>
          <w:sz w:val="20"/>
          <w:szCs w:val="20"/>
          <w:color w:val="auto"/>
        </w:rPr>
      </w:pPr>
    </w:p>
    <w:p>
      <w:pPr>
        <w:ind w:left="700" w:right="79" w:hanging="326"/>
        <w:spacing w:after="0" w:line="25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 or omission of the indemnitee was material to the matter giving rise to the proceeding and either was committed in bad faith or was the result of active and deliberate dishonesty;</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indemnitee actually received an improper personal benefit in money, property or services; or</w:t>
      </w:r>
    </w:p>
    <w:p>
      <w:pPr>
        <w:spacing w:after="0" w:line="9" w:lineRule="exact"/>
        <w:rPr>
          <w:rFonts w:ascii="Arial" w:cs="Arial" w:eastAsia="Arial" w:hAnsi="Arial"/>
          <w:sz w:val="18"/>
          <w:szCs w:val="18"/>
          <w:color w:val="auto"/>
        </w:rPr>
      </w:pPr>
    </w:p>
    <w:p>
      <w:pPr>
        <w:ind w:left="700" w:right="79" w:hanging="326"/>
        <w:spacing w:after="0" w:line="260"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any criminal proceeding, the indemnitee had reasonable cause to believe that the act or omission was unlawful.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Operating Partnership may issue additional OP Units without the consent of our stockholders, which could have a dilutive effect on our stockholders.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Operating Partnership may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common stock.</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 of (i) the last day of the fiscal year during which our total annual gross revenue equals or exceeds $1.07 billion (subject to adjustment for inflation), (ii) December 31, 2024 (the last day of the fiscal year following the fifth anniversary of the IPO); (iii) the date on which we have, during the previous three-year period, issued more than $1 billion in non-convertible debt securities and (iv) the date on which we are deemed to be a “large accelerated filer” under the Exchange Act.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 attestation report by our auditor would require additional procedures by them that could detect problems with our internal control over financial reporting that are not detected by management. If our system of internal control over financial reporting is not determined to be appropriately designed or operating effectively, it could require us to restate financial statements, cause us to fail to meet reporting obligations and cause investors to lose confidence in our reported financial information, all of which could lead to a significant decline in the market price of our common stock. The JOBS Act also provides that an “emerging growth company” can take advantage of the extended transition period provided in the Securities Act of 1933, as amended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intend to rely on certain of these exemptions and benefits under the JOBS Act. If some investors find our common stock less attractive as a result, there may be a less active, liquid and/or orderly trading market for our common stock and the market price and trading volume of our common stock may be more volatile and decline significantly.</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will incur new costs as a result of becoming a public company, and such costs may increase when we cease to be an “emerging growth company.”</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a public company, we will incur significant legal, accounting, insurance and other expenses, including costs associated with public company reporting requirements.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although we are currently unable to estimate theses costs with any degree of certainty. We could be an emerging growth company for up to five years, although circumstances could cause us to lose that status earlier, which could result in our incurring additional costs applicable to public companies that are not emerging growth companies.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Qualification and Operation as a REIT</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that our organization and method of operation have enabled us to meet the requirements for qualification and taxation as a REIT commencing with our short taxable year beginning on November 26, 2019 and ending on December 31, 2019, and we intend to continue to be organized and operate in such a manner. However, we cannot assure you that we will qualify and remain qualified as a REIT. Moreover, our qualification and taxation as a REIT depend upon our ability to meet on a continuing basis, through actual annual operating results, certain qualification tests set forth in the U.S. federal tax laws. Accordingly, no assurance can be given that our actual results of operations for any particular taxable year will satisfy such requirements.</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If we fail to qualify as a REIT in any taxable year, we will face serious tax consequences that will substantially reduce the funds available for distributions to our stockholders because:</w:t>
      </w:r>
    </w:p>
    <w:p>
      <w:pPr>
        <w:spacing w:after="0" w:line="170" w:lineRule="exact"/>
        <w:rPr>
          <w:sz w:val="20"/>
          <w:szCs w:val="20"/>
          <w:color w:val="auto"/>
        </w:rPr>
      </w:pPr>
    </w:p>
    <w:p>
      <w:pPr>
        <w:ind w:left="700" w:right="79" w:hanging="326"/>
        <w:spacing w:after="0" w:line="25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would not be allowed a deduction for dividends paid to stockholders in computing our taxable income and would be subject to U.S. federal income tax at regular corporate rates;</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subject increased state and local taxes; and</w:t>
      </w:r>
    </w:p>
    <w:p>
      <w:pPr>
        <w:spacing w:after="0" w:line="9" w:lineRule="exact"/>
        <w:rPr>
          <w:rFonts w:ascii="Arial" w:cs="Arial" w:eastAsia="Arial" w:hAnsi="Arial"/>
          <w:sz w:val="18"/>
          <w:szCs w:val="18"/>
          <w:color w:val="auto"/>
        </w:rPr>
      </w:pPr>
    </w:p>
    <w:p>
      <w:pPr>
        <w:ind w:left="700" w:right="79" w:hanging="326"/>
        <w:spacing w:after="0" w:line="260"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we are entitled to relief under certain U.S. federal income tax laws, we could not re-elect REIT status until the fifth calendar year after the year in which we failed to qualify as a REIT.</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new partnership audit procedures, the Operating Partnership and any other partnership that we may form or acquire may be liable at the entity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level for tax imposed under those procedures. Further, any taxable REIT subsidiaries (“TRS”) that we may form in the 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Failure to make required distributions would subject us to U.S. federal corporate income tax.</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 or liquidate otherwise attractive investments.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17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relative lack of experience of our Manager in operating under the constraints imposed on us as a REIT may hinder the achievement of our investment objectives.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qualifying for and maintaining REIT status. Our Manager has relatively limited experience operating under these constraints, which may hinder our ability to take advantage of attractive investment opportunities and to achieve our investment objectives. As a result, we cannot assure you that our Manager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paid deduction, and we would no longer be required to make distributions. If this occurs, we might be required to borrow funds or liquidate some investments in order to pay the applicable tax.</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our liabilities effectively and may cause us to incur tax liabilities.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ability to provide certain services to our tenants may be limited by the REIT rules or may have to be provided through a TRS.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prohibited transactions tax may limit our ability to dispose of our properties.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which would be subject to U.S. federal corporate income tax.</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We may pay taxable dividends in our common stock and cash, in which case stockholders may sell shares of our common stock to pay tax on such dividends, placing downward pressure on the market price of our common stock.</w:t>
      </w:r>
    </w:p>
    <w:p>
      <w:pPr>
        <w:spacing w:after="0" w:line="10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may satisfy the 90% distribution test with taxable distributions of our common stock. The Internal Revenue Service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w:t>
      </w:r>
    </w:p>
    <w:p>
      <w:pPr>
        <w:spacing w:after="0" w:line="16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If we made a taxable dividend payable in cash and common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common stock that it receives as a dividend in order to pay this tax, the sales proceeds may be less than the amount included in income with respect to the dividend, depending on the market price of our common stock at the time of the sale.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Furthermore, with respect to certain non-U.S. stockholders, we may be required to withhold U.S. federal income tax with respect to such dividends, including in respect of all or a portion of such dividend that is payable in common stock. If we made a taxable dividend payable in cash and our common stock and a significant number of our stockholders determine to sell shares of our common stock in order to pay taxes owed on dividends, it may put downward pressure on the trading price of our common stock. We do not currently intend to pay taxable dividends using both our common stock and cash, although we may choose to do so in the future.</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ability of the Board to revoke our REIT qualification without stockholder approval may cause adverse consequences to our stockholders.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Any ownership of a TRS we may form in the future will be subject to limitations and our transactions with a TRS will cause us to be subject to a 100% penalty tax on certain income or deductions if those transactions are not conducted on arm’s-length terms.</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Overall, no more than 20%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 value of our respective investments in any TRS that we may form for the purpose of ensuring compliance with TRS ownership limitations and will structure our transactions with any TRS on terms that we believe are arm’s length to avoid incurring the 100% excise tax described above. There can be no assurance, however, that we will be able to comply with the 20% limitation or to avoid application of the 100% excise tax.</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You may be restricted from acquiring or transferring certain amounts of our common stock.</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stock ownership restrictions of the Code for REITs and the 9.8% share ownership limit in our charter may inhibit market activity in our capital stock and restrict our business combination opportunities.</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order to qualify as a REIT for each taxable year beginning in 2020,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a taxable year for each taxable year beginning in 2020. To help ensure that we meet these tests, our charter restricts the acquisition and ownership of shares of our capital stock.</w:t>
      </w:r>
    </w:p>
    <w:p>
      <w:pPr>
        <w:spacing w:after="0" w:line="19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be subject to adverse legislative or regulatory tax changes, in each instance with potentially retroactive effect, that could reduce the market price of our common stock.</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and preferred stock.</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the Operating Partnership failed to qualify as a partnership for U.S. federal income tax purposes, we would cease to qualify as a REIT and suffer other adverse consequences.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market value of our common stock is subject to various factors that may cause significant fluctuations or volatility.</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with other publicly traded securities, the market price of our common stock depends on various factors, which may change from time to time and/or may be unrelated to our financial condition, results of operations or cash flows. These factors may cause significant fluctuations or volatility in the market price of our common stock. These factors include, but are likely not limited to, the following:</w:t>
      </w:r>
    </w:p>
    <w:p>
      <w:pPr>
        <w:spacing w:after="0" w:line="187" w:lineRule="exact"/>
        <w:rPr>
          <w:sz w:val="20"/>
          <w:szCs w:val="20"/>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condition and operating performance and the financial condition or performance of other similar companies;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differences in our quarterly or annual operating results than expected;</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revenues, FFO, AFFO, or earnings estimates or recommendations by securities analysts;</w:t>
      </w:r>
    </w:p>
    <w:p>
      <w:pPr>
        <w:spacing w:after="0" w:line="20" w:lineRule="exact"/>
        <w:rPr>
          <w:rFonts w:ascii="Arial" w:cs="Arial" w:eastAsia="Arial" w:hAnsi="Arial"/>
          <w:sz w:val="17"/>
          <w:szCs w:val="17"/>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generally;</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market interest rates, which may lead investors to demand a higher distribution yield for shares of our common stock, and could result in increased interest expense on our debt;</w:t>
      </w: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and our tenants’ businesses or prospects, including as a result of the impact of a global pandemic, including the COVID-19 Pandemic;</w:t>
      </w: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state of the credit and capital markets, and our ability and the ability of our tenants to obtain financing on favorable terms;</w:t>
      </w: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of interest with CTO and its affiliates, including our Manager;</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termination of our Manager or additions and departures of key personnel of our Manager;</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in our markets;</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or growth strategies;</w:t>
      </w: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or our industry;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speculation in the press or investment community;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investor interest in our securities;</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reputation of REITs and the attractiveness of our equity securities in comparison to other equity securities, including securities issued by other real estate-based companies;</w:t>
      </w: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confidence in the stock and bond markets, generally;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issuances by us (including the issuances of OP Units), or common stock resales by our stockholders, or the perception that such issuances or resales may occur;</w:t>
      </w: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of average daily trading and the amount of our common stock available to be traded;</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maintain our qualification as a REIT;</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comply with the rules of the NYSE or maintain the listing of our common stock on the NYSE;</w:t>
      </w:r>
    </w:p>
    <w:p>
      <w:pPr>
        <w:spacing w:after="0" w:line="9"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terrorist acts, natural or man-made disasters, including global pandemics impacting the United States, or threatened or actual armed conflicts; and</w:t>
      </w:r>
    </w:p>
    <w:p>
      <w:pPr>
        <w:ind w:left="700" w:right="79" w:hanging="326"/>
        <w:spacing w:after="0" w:line="26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and local, regional and national economic conditions, including factors unrelated to our operating performance and prospects.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be able to make or maintain cash distributions, and certain agreements relating to our indebtedness may, under certain circumstances, limit or eliminate our ability to make distributions to our common stockholders.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common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projected results of operations, FFO, AFFO, liquidity, cash flows and financial condition, the revenue we actually receive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common stock.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our common stock could be adversely affected by our level of cash distributions.</w:t>
      </w:r>
    </w:p>
    <w:p>
      <w:pPr>
        <w:spacing w:after="0" w:line="23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Increases in market interest rates may result in a decline in the market price of our common stock.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One of the factors that will influence the market price of our common stock will be the distribution yield on the common stock (as a percentage of the market price of our common stock) relative to market interest rates. An increase in market interest rates, which are currently at low levels relative to historical rates, may lead prospective purchasers of shares of our common stock to expect a higher distribution yield and higher interest rates would likely increase our borrowing costs and potentially decrease our cash available for distribution. Thus, higher market interest rates could cause the market price of our common stock to decline.</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Future issuances of debt securities, which would rank senior to shares of our common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or the perception that they might occur, could reduce the price of our common stock and may dilute your voting power and your ownership interest in us.</w:t>
      </w:r>
    </w:p>
    <w:p>
      <w:pPr>
        <w:spacing w:after="0" w:line="10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market price of our common stock and may make it more difficult for you to sell your common stock at a time and price that you deem appropriate.</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shares of our common stock that we sold in the IPO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agreement that we entered into with CTO, the shares of our common stock purchased by CTO in the CTO Private Placement may be eligible for future sale without restriction. Sales of a substantial number of such shares upon expiration of the lock-up agreements, the perception that such sales may occur or early release of these agreements, could cause the market price of our common stock to fall or make it more difficult for you to sell your common stock at a time and price that you deem appropriate.</w:t>
      </w:r>
    </w:p>
    <w:p>
      <w:pPr>
        <w:spacing w:after="0" w:line="16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addition, our charter provides that we may issue up to 500,000,000 shares of common stock and 100,000,000 shares of preferred stock, $0.01 par value per share. Moreover, under Maryland law and as is provided in our charter, a majority of our entire board of directors will have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Since late December 2019, the COVID-19 Pandemic has spread globally, including every state in the United States. The COVID-19 Pandemic has had, and other future pandemics could have, repercussions across regional and global economies and financial markets. The outbreak of COVID-19 Pandemic has significantly adversely impacted global economic activity and produced significant volatility in the global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Certain states and cities, including where we own properties, have also reacted by instituting quarantines, restrictions on travel, “shelter at home” rules, and importantly, restrictions on the types of business that may continue to operate or requiring others to shut down completely. Additional states and cities may implement similar restrictions. As a result, the COVID-19 Pandemic is negatively impacting most every industry directly or indirectly. A number of our tenants have announced temporary closures of their stores and requested deferral, or in some instances, rent abatement while the pandemic remains. Many experts predict that the COVID-19 Pandemic will trigger, or even has already triggered, a period of global economic slowdown or possibly a global recession. The COVID-19 Pandemic, or a future pandemic, could have material and adverse effects on our ability to successfully operate our business and as a result our financial condition, results of operations and cash flows due to, among other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5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properties resulting from government or tenant action;</w:t>
      </w:r>
    </w:p>
    <w:p>
      <w:pPr>
        <w:spacing w:after="0" w:line="1"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reduced economic activity severely impacts our tenants' businesses, financial condition and liquidity and may cause one or more of our tenants to be unable to meet their obligations to us in full, or at all, or to otherwise seek modifications of such obligations;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reduced economic activity could result in a recession, which could negatively impact consumer discretionary spending;</w:t>
      </w:r>
    </w:p>
    <w:p>
      <w:pPr>
        <w:jc w:val="both"/>
        <w:ind w:left="700" w:right="79" w:hanging="326"/>
        <w:spacing w:after="0" w:line="25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on a timely basis;</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could adversely affect our ability or desire to grow our portfolio of properties;</w:t>
      </w:r>
    </w:p>
    <w:p>
      <w:pPr>
        <w:jc w:val="both"/>
        <w:ind w:left="700" w:right="79" w:hanging="326"/>
        <w:spacing w:after="0" w:line="25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deterioration in our or our tenants’ ability to operate in affected areas or delays in the supply of products or services to us or our tenants from vendors that are needed for our or our tenants' efficient operations could adversely affect our operations and those of our tenants; and</w:t>
      </w:r>
    </w:p>
    <w:p>
      <w:pPr>
        <w:spacing w:after="0" w:line="1" w:lineRule="exact"/>
        <w:rPr>
          <w:rFonts w:ascii="Arial" w:cs="Arial" w:eastAsia="Arial" w:hAnsi="Arial"/>
          <w:sz w:val="18"/>
          <w:szCs w:val="18"/>
          <w:color w:val="auto"/>
        </w:rPr>
      </w:pPr>
    </w:p>
    <w:p>
      <w:pPr>
        <w:ind w:left="700" w:right="79" w:hanging="326"/>
        <w:spacing w:after="0" w:line="323"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negative impact on the health of our Manager’s personnel, particularly if a significant number of them are impacted, could result in a deterioration in our ability to ensure business continuity during a disruption.</w:t>
      </w:r>
    </w:p>
    <w:p>
      <w:pPr>
        <w:spacing w:after="0" w:line="13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extent to which the COVID-19 Pandemic impacts our operations, and those of our tenants, will depend on future developments, which are highly uncertain and cannot be predicted with any degree of certainty, including the scope, severity and duration of the COVID-19 Pandemic, and the impact of actions taken by governmental and health organizations to contain the COVID-19 Pandemic or mitigate its impact, and the direct and indirect economic effects of the COVID-19 Pandemic and containment measures, among others. Additional closures by our tenants of their businesses and early terminations by our tenants of their leases could reduce our cash flows, which could impact our ability to continue paying dividends to our stockholders at expected levels, or at all. The rapid onset of the COVID-19 Pandemic and the continued uncertainty of its duration and long-term impact precludes any prediction of the magnitude of the adverse impact on the U.S. economy, our tenant’s businesses and ours. Consequently, the COVID-19 Pandemic presents material uncertainty and risk with respect to our business operations, our Manager’s business, and therefore, our financial condition, results of operations, and cash flows. Further, many risk factors set forth in this Annual Report on Form 10-K for the year ended December 31, 2020, should be interpreted as heightened risks as a result of the impact of the COVID-19 Pandemic.</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Cybersecurity risks and cyber incidents could adversely affect our business and disrupt operations.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become subject to litigation, which could materially and adversely affect us.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may become subject to litigation, our operations, other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could materially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adversely impact us, expose us to increased risks that would be uninsured and materially and adversely impact our ability to attract directors and officers.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disclosure controls and procedures, we may not be able to meet applicable reporting requirements, which could materially and adversely affect us.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common stock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 of our common stock.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accounting standards may materially and adversely affect us.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Certain statements contained in this Annual Report on Form 10-K (other than statements of historical fact) are forward-looking statements.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w:t>
      </w:r>
    </w:p>
    <w:p>
      <w:pPr>
        <w:spacing w:after="0" w:line="19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There can be no assurance that future developments will be in accordance with management’s expectations or that the effect of future developments on the Company will be those anticipated by management.</w:t>
      </w:r>
    </w:p>
    <w:p>
      <w:pPr>
        <w:spacing w:after="0" w:line="14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wish to caution readers that the assumptions, which form the basis for forward-looking statements with respect to or that may impact earnings for the year ended December 31, 2020, and thereafter, include many factors that are beyond the Company’s ability to control or estimate precisely.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income properties; the impact of competitive real estate activity; the loss of any major income property tenants; the ultimate geographic spread, severity and duration of pandemics such as the recent outbreak of COVID-19,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uncertainties may cause our actual future results to be materially different than those expressed in our forward-looking statements.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risks described in this Annual Report on Form 10-K are not the only risks facing the Company. Additional risks and uncertainties not currently known to the Company or that the Company currently deems to be immaterial also may materially adversely affect the Company.</w:t>
      </w:r>
    </w:p>
    <w:p>
      <w:pPr>
        <w:spacing w:after="0" w:line="18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principal offices are located at 1140 N. Williamson Blvd., Suite 140, Daytona Beach, Florida 32114. Our telephone number is (386) 274-2202.</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2020, the Company owns 48 single-tenant retail and office buildings located in Arizona, Alabama, Florida, Georgia, Kentucky, Maine, Maryland, Massachusetts, Michigan, Nevada, New York, North Carolina, Ohio, Oklahoma, Oregon, Texas, Washington, and Wisconsin.</w:t>
      </w:r>
    </w:p>
    <w:p>
      <w:pPr>
        <w:spacing w:after="0" w:line="180"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80"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REPURCHASES OF EQUITY SECURITIES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common stock trades on the NYSE under the symbol “PINE”.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As of February 10, 2021, there were 48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were no unregistered sales of equity securities during the year ended December 31, 2020, which were not previously reported.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selected financial data should be read in conjunction with the Company’s Consolidated and Combined Financial Statements and Notes along with “Management’s Discussion and Analysis of Financial Condition and Results of Operations” included elsewhere in this report.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summarizes our selected historical financial information for each of the last three fiscal years (in thousands). The selected financial information has been derived from our audited Consolidated and Combined Financial Statements.</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For the Year</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November 26,</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from January</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2019 to</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1, 2019 to</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November 25,</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tcPr>
          <w:p>
            <w:pPr>
              <w:jc w:val="right"/>
              <w:ind w:right="570"/>
              <w:spacing w:after="0" w:line="196" w:lineRule="exact"/>
              <w:rPr>
                <w:sz w:val="20"/>
                <w:szCs w:val="20"/>
                <w:color w:val="auto"/>
              </w:rPr>
            </w:pPr>
            <w:r>
              <w:rPr>
                <w:rFonts w:ascii="Arial" w:cs="Arial" w:eastAsia="Arial" w:hAnsi="Arial"/>
                <w:sz w:val="18"/>
                <w:szCs w:val="18"/>
                <w:b w:val="1"/>
                <w:bCs w:val="1"/>
                <w:color w:val="auto"/>
              </w:rPr>
              <w:t>The Company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630"/>
              <w:spacing w:after="0" w:line="196" w:lineRule="exact"/>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Operations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2"/>
        </w:trPr>
        <w:tc>
          <w:tcPr>
            <w:tcW w:w="404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(Loss) Attributable to</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0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(Loss) Attributable to Alpine Income</w:t>
            </w:r>
          </w:p>
        </w:tc>
        <w:tc>
          <w:tcPr>
            <w:tcW w:w="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7,588,349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7,902,737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8,812,203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9,126,591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1" w:lineRule="exact"/>
              <w:rPr>
                <w:sz w:val="20"/>
                <w:szCs w:val="20"/>
                <w:color w:val="auto"/>
              </w:rPr>
            </w:pPr>
            <w:r>
              <w:rPr>
                <w:rFonts w:ascii="Arial" w:cs="Arial" w:eastAsia="Arial" w:hAnsi="Arial"/>
                <w:sz w:val="18"/>
                <w:szCs w:val="18"/>
                <w:color w:val="auto"/>
                <w:w w:val="98"/>
              </w:rPr>
              <w:t>Net Income (Loss) Per Share Attributable to Alpine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Income Property Trust, Inc.</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Dividends Declared and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reported results are presented in accordance with accounting principles generally accepted in the United States of America (“GAAP”). We also disclose Funds From Operations (“FFO”) and Adjusted Funds From Operations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Balance Sheet Data (in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As of December 31,</w:t>
            </w:r>
          </w:p>
        </w:tc>
      </w:tr>
      <w:tr>
        <w:trPr>
          <w:trHeight w:val="209"/>
        </w:trPr>
        <w:tc>
          <w:tcPr>
            <w:tcW w:w="5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at cost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128,457</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Real Estate—Net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219,339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128,040</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36,881</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22,358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Deferred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261,590</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164,173</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Prepaid Rent and Deferred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Liabilities—Net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106,159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149,093</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160,705</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Period</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November</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from January 1,</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2019 to</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November 25,</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r>
      <w:tr>
        <w:trPr>
          <w:trHeight w:val="196"/>
        </w:trPr>
        <w:tc>
          <w:tcPr>
            <w:tcW w:w="3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30"/>
              <w:spacing w:after="0" w:line="196" w:lineRule="exact"/>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790"/>
              <w:spacing w:after="0" w:line="196" w:lineRule="exact"/>
              <w:rPr>
                <w:sz w:val="20"/>
                <w:szCs w:val="20"/>
                <w:color w:val="auto"/>
              </w:rPr>
            </w:pPr>
            <w:r>
              <w:rPr>
                <w:rFonts w:ascii="Arial" w:cs="Arial" w:eastAsia="Arial" w:hAnsi="Arial"/>
                <w:sz w:val="18"/>
                <w:szCs w:val="18"/>
                <w:b w:val="1"/>
                <w:bCs w:val="1"/>
                <w:color w:val="auto"/>
              </w:rPr>
              <w:t>Predecessor</w:t>
            </w:r>
          </w:p>
        </w:tc>
        <w:tc>
          <w:tcPr>
            <w:tcW w:w="20" w:type="dxa"/>
            <w:vAlign w:val="bottom"/>
          </w:tcPr>
          <w:p>
            <w:pPr>
              <w:spacing w:after="0"/>
              <w:rPr>
                <w:sz w:val="17"/>
                <w:szCs w:val="17"/>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4,901</w:t>
            </w: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8,916</w:t>
            </w: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Straight-Line Rent Adjustment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r>
      <w:tr>
        <w:trPr>
          <w:trHeight w:val="202"/>
        </w:trPr>
        <w:tc>
          <w:tcPr>
            <w:tcW w:w="3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COVID-19 Rent Repayments (Deferrals),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02"/>
        </w:trPr>
        <w:tc>
          <w:tcPr>
            <w:tcW w:w="3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Deferred Loan Costs to</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336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Intangible Assets and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Liabilities to Lease Income</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Tenant Contribution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2"/>
        </w:trPr>
        <w:tc>
          <w:tcPr>
            <w:tcW w:w="336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Deferred Expenses to</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Lease Income</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0"/>
                <w:szCs w:val="20"/>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Capital Expenditures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w w:val="99"/>
              </w:rPr>
              <w:t>Non-Recurring Acquisition Cost Charge</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Funds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2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Common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7,588,349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7,902,737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Period</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from November</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from January 1,</w:t>
            </w: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For the Year</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2019 to</w:t>
            </w: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November 25,</w:t>
            </w: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r>
      <w:tr>
        <w:trPr>
          <w:trHeight w:val="196"/>
        </w:trPr>
        <w:tc>
          <w:tcPr>
            <w:tcW w:w="3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750"/>
              <w:spacing w:after="0" w:line="196" w:lineRule="exact"/>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90"/>
              <w:spacing w:after="0" w:line="196" w:lineRule="exact"/>
              <w:rPr>
                <w:sz w:val="20"/>
                <w:szCs w:val="20"/>
                <w:color w:val="auto"/>
              </w:rPr>
            </w:pPr>
            <w:r>
              <w:rPr>
                <w:rFonts w:ascii="Arial" w:cs="Arial" w:eastAsia="Arial" w:hAnsi="Arial"/>
                <w:sz w:val="18"/>
                <w:szCs w:val="18"/>
                <w:b w:val="1"/>
                <w:bCs w:val="1"/>
                <w:color w:val="auto"/>
              </w:rPr>
              <w:t>Predecessor</w:t>
            </w: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AFFO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elsewhere 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Alpine Income Property Trust, Inc. is a Maryland corporation that conducts its operations so as to qualify as a REIT for federal income tax purposes. Substantially all of the operations are conducted through our Operating Partnership.</w:t>
      </w:r>
    </w:p>
    <w:p>
      <w:pPr>
        <w:spacing w:after="0" w:line="12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seek to acquire, own and operate primarily freestanding, single-tenant commercial real estate properties primarily located in our target markets leased primarily pursuant to triple-net, long-term leases. Within our target markets, we will focus on investments in single-tenant retail and office properties. We will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We also will seek to invest in properties that are net leased to tenants that we determine have attractive credit characteristics, stable operating histories and healthy rent coverage levels, are well-located within their market and have rent levels at or below market rent levels. Furthermore, we believe that the size of our company will, for at least the near term, allow us to focus our investment activities on the acquisition of single properties or smaller portfolios of properties that represent a transaction size that most of our publicly-traded net lease REIT peers will not pursue on a consistent basis.</w:t>
      </w:r>
    </w:p>
    <w:p>
      <w:pPr>
        <w:spacing w:after="0" w:line="18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operating results for the year ended December 31, 2020 were in-line with our expectations and primarily driven by our investment activity of acquiring single-tenant net lease properties at valuations and yields generally consistent with our target investment parameters.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During the year ended December 31, 2020, the Company acquired 29 single tenant net leased properties for total acquisition volume of $116.6 million, reflecting a weighted-average going-in cash cap rate of 6.9%, nearing the top end of the acquisition volume guidance provided in October 2020. During the year ended December 31, 2020, the Company sold one single tenant net leased property for total disposition volume of $5.1 million, reflecting an exit cash cap rate of 5.8%.</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2020, we owned 48 properties with an aggregate gross leasable area of 1.6 million square feet, located in 18 states, with a weighted average remaining lease term of 8.4 years. Our portfolio was 100% leased as of December 31, 2020.</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our 48 income producing properties and pursuant to the amendment agreement with the Old Time Pottery tenant located in Orange Park, Florida, executed during the three months ended December 31, 2020, the Company now has the right to develop or ground lease a second outparcel and is in active discussions with a prospective tenant to ground lease the property.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w:t>
      </w:r>
      <w:r>
        <w:rPr>
          <w:rFonts w:ascii="Arial" w:cs="Arial" w:eastAsia="Arial" w:hAnsi="Arial"/>
          <w:sz w:val="18"/>
          <w:szCs w:val="18"/>
          <w:b w:val="1"/>
          <w:bCs w:val="1"/>
          <w:i w:val="1"/>
          <w:iCs w:val="1"/>
          <w:color w:val="auto"/>
        </w:rPr>
        <w:t>-19 Pandemic</w:t>
      </w:r>
    </w:p>
    <w:p>
      <w:pPr>
        <w:spacing w:after="0" w:line="12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March 2020, the World Health Organization declared the outbreak of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collected 100% of the Contractual Base Rent (“CBR”) due for the three months ended December 31, 2020. CBR represents the amount owed to the Company under the current terms of its lease agreements. The Company has agreed to defer or abate certain CBR in exchange for additional lease term or other lease enhancing additions that equated to 6% of contractual rents in place at the time of the deferral or abatement agreements. Repayment of deferred CBR began in the third quarter of 2020, with payments continuing, in some cases, through the end of 2021. See Note 17, “Subsequent Events” to the consolidated and combined financial statements included in Item 8, “Financial Statements and Supplementary Data” in this Annual Report on Form 10-K for the Company’s disclosure related to 2021 rent collections.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An assessment of the current or identifiable potential financial and operational impacts on the Company as a result of the COVID-19 Pandemic are as follows:</w:t>
      </w:r>
    </w:p>
    <w:p>
      <w:pPr>
        <w:spacing w:after="0" w:line="386" w:lineRule="exact"/>
        <w:rPr>
          <w:sz w:val="20"/>
          <w:szCs w:val="20"/>
          <w:color w:val="auto"/>
        </w:rPr>
      </w:pPr>
    </w:p>
    <w:p>
      <w:pPr>
        <w:jc w:val="both"/>
        <w:ind w:left="700" w:right="79" w:hanging="326"/>
        <w:spacing w:after="0" w:line="287"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first quarter of 2020, the Company completed the acquisition of nine properties for an aggregate purchase price of $46.8 million. When the pandemic was declared, given the uncertainties created by the COVID-19 Pandemic and the impact on the capital markets, the U.S. economy, and PINE’s tenants, the Company temporarily suspended its activities directed at identifying additional acquisition opportunities. Towards the end of the second quarter of 2020, the Company reached agreements with tenants for rent deferrals and abatements and the Company completed the acquisition of two properties for an aggregate purchase price of $28.6 million. During the third and fourth quarter of 2020, the Company completed the acquisition of 18 properties for an aggregate purchase price of $41.2 million, for total acquisition volume of $116.6 million for the year ended December 31, 2020. See Note 17, “Subsequent Events” to the consolidated and combined financial statements included in Item 8, “Financial Statements and Supplementary Data” in this Annual Report on Form 10-K for information related to the single-tenant income properties acquired subsequent to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69"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 result of the outbreak of the COVID-19 Pandemic, the Federal Government and the State of Florida issued orders encouraging everyone to remain at their residence and not go into work. In response to these orders and in the best interest of the employees of our Manager and the Board, our Manager implemented significant preventative measures to ensure the health and safety of its employees and the Board, including: conducting all meetings of the Board and Committees of the Board telephonically or via a visual conferencing service, permitting its employees to work from home at their election, enforcing appropriate social distancing practices in our Manager’s office, encouraging its employees to wash their hands often and use face masks and providing hand sanitizer and other disinfectant products throughout their office, requiring its employees who do not feel well, in any capacity, to stay at home, and requiring all third-party delivery services (e.g. mail, food delivery, etc.) to complete their service outside the front door of its offices. Our Manager also offered COVID-19 testing to its employees in our Manager’s office to ensure a safe working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color w:val="auto"/>
        </w:rPr>
        <w:t>RESULTS OF OPERATIONS FOR THE YEAR ENDED DECEMBER 31, 2020, THE PERIOD FROM NOVEMBER 26, 2019 TO DECEMBER 31, 2019, AND THE PREDECESSOR PERIOD FROM JANUARY 1, 2019 TO NOVEMBER 25, 2019 (in thousands)</w:t>
      </w:r>
      <w:r>
        <w:rPr>
          <w:rFonts w:ascii="Arial" w:cs="Arial" w:eastAsia="Arial" w:hAnsi="Arial"/>
          <w:sz w:val="26"/>
          <w:szCs w:val="26"/>
          <w:b w:val="1"/>
          <w:bCs w:val="1"/>
          <w:color w:val="auto"/>
          <w:vertAlign w:val="superscript"/>
        </w:rPr>
        <w:t>(1)</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from November</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 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26, 2019 to</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2019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November 25,</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The Company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Income (Loss) from Operations</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 Property</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8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Trust, Inc.</w:t>
            </w: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290" w:lineRule="auto"/>
        <w:tabs>
          <w:tab w:leader="none" w:pos="380" w:val="left"/>
        </w:tabs>
        <w:numPr>
          <w:ilvl w:val="0"/>
          <w:numId w:val="24"/>
        </w:numPr>
        <w:rPr>
          <w:rFonts w:ascii="Arial" w:cs="Arial" w:eastAsia="Arial" w:hAnsi="Arial"/>
          <w:sz w:val="10"/>
          <w:szCs w:val="10"/>
          <w:color w:val="auto"/>
        </w:rPr>
      </w:pPr>
      <w:r>
        <w:rPr>
          <w:rFonts w:ascii="Arial" w:cs="Arial" w:eastAsia="Arial" w:hAnsi="Arial"/>
          <w:sz w:val="13"/>
          <w:szCs w:val="13"/>
          <w:color w:val="auto"/>
        </w:rPr>
        <w:t>Results of operations prior to November 26, 2019 represent the Predecessor activity of CTO. Subsequent to November 26, 2019, upon the acquisition of the Initial Portfolio from CTO, the results of operations are presented on a new basis of accounting pursuant to ASC 805-10.</w:t>
      </w:r>
    </w:p>
    <w:p>
      <w:pPr>
        <w:spacing w:after="0" w:line="152" w:lineRule="exact"/>
        <w:rPr>
          <w:sz w:val="20"/>
          <w:szCs w:val="20"/>
          <w:color w:val="auto"/>
        </w:rPr>
      </w:pPr>
    </w:p>
    <w:p>
      <w:pPr>
        <w:ind w:left="60" w:right="59"/>
        <w:spacing w:after="0" w:line="347" w:lineRule="auto"/>
        <w:rPr>
          <w:sz w:val="20"/>
          <w:szCs w:val="20"/>
          <w:color w:val="auto"/>
        </w:rPr>
      </w:pPr>
      <w:r>
        <w:rPr>
          <w:rFonts w:ascii="Arial" w:cs="Arial" w:eastAsia="Arial" w:hAnsi="Arial"/>
          <w:sz w:val="16"/>
          <w:szCs w:val="16"/>
          <w:b w:val="1"/>
          <w:bCs w:val="1"/>
          <w:color w:val="auto"/>
        </w:rPr>
        <w:t>General and Administrative Expenses for the Year Ended December 31, 2020, the Period from November 26, 2019 to December 31, 2019, and the Predecessor Period from January 1, 2019 to November 25, 2019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Year</w:t>
            </w: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from November</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2019 to</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2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10"/>
              <w:spacing w:after="0" w:line="196" w:lineRule="exact"/>
              <w:rPr>
                <w:sz w:val="20"/>
                <w:szCs w:val="20"/>
                <w:color w:val="auto"/>
              </w:rPr>
            </w:pPr>
            <w:r>
              <w:rPr>
                <w:rFonts w:ascii="Arial" w:cs="Arial" w:eastAsia="Arial" w:hAnsi="Arial"/>
                <w:sz w:val="18"/>
                <w:szCs w:val="18"/>
                <w:b w:val="1"/>
                <w:bCs w:val="1"/>
                <w:color w:val="auto"/>
              </w:rPr>
              <w:t>The Company</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5"/>
              </w:rPr>
              <w:t>Predecessor</w:t>
            </w:r>
          </w:p>
        </w:tc>
        <w:tc>
          <w:tcPr>
            <w:tcW w:w="20" w:type="dxa"/>
            <w:vAlign w:val="bottom"/>
          </w:tcPr>
          <w:p>
            <w:pPr>
              <w:spacing w:after="0"/>
              <w:rPr>
                <w:sz w:val="17"/>
                <w:szCs w:val="17"/>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Director Stock Compensation Expense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Allocation of Predecessor General and Administrative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49"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1"/>
          <w:szCs w:val="11"/>
          <w:color w:val="auto"/>
        </w:rPr>
      </w:pPr>
      <w:r>
        <w:rPr>
          <w:rFonts w:ascii="Arial" w:cs="Arial" w:eastAsia="Arial" w:hAnsi="Arial"/>
          <w:sz w:val="14"/>
          <w:szCs w:val="14"/>
          <w:color w:val="auto"/>
        </w:rPr>
        <w:t>For the Predecessor period presented, stock compensation expense represents an allocation from CTO.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Total revenue from our income property operations totaled $19.3 million during the year ended December 31, 2020, $1.4 million during the period from November 26, 2019 to December 31, 2019 and $11.8 million during the Predecessor period from January 1, 2019 to November 25, 2019. The increase in the respective revenues during the periods presented is primarily reflective of the increase in revenues attributable to the Company’s 29 income property acquisitions during the year ended December 31, 2020. The direct costs of revenues for our income property operations totaled $2.3 million during the year ended December 31, 2020, $0.4 million during the period from November 26, 2019 to December 31, 2019, and $1.7 million during the Predecessor period from January 1, 2019 to November 25, 2019. The increase in the direct cost of revenues is also due to the increase in the Company’s income property portfolio during the year ended December 31, 2020.</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Depreciation and amortization expense totaled $9.9 million during the year ended December 31, 2020, $0.7 million during the period from November 26, 2019 to December 31, 2019, and $4.9 million during the Predecessor period from January 1, 2019 to November 25, 2019. The increase in the depreciation and amortization expense is reflective of the increase in the Company’s income property portfolio during the year ended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General and administrative expenses totaled $4.7 million during the year ended December 31, 2020, $0.3 million during the period from November 26, 2019 to December 31, 2019, and $1.7 million during the Predecessor period from January 1, 2019 to November 25, 2019. Changes in general and administrative expenses are primarily due to the changes in the nature of such expenses, as the Predecessor period from January 1, 2019 to November 25, 2019 represents an allocation of the Predecessor parent company expenses versus actual general and administrative expenses incurred by the Company. The Predecessor general and administrative expenses were not indicative of the amount of general and administrative expenses the Company has incurred on an annual basis subsequent to the IPO. During the year ended December 31, 2020, general and administrative expenses were primarily impacted by the recognition of $2.6 million of management fee expenses, of which costs totaled $0.3 million and zero, respectively, for the period from November 26, 2019 to December 31, 2019 and for the Predecessor period from January 1, 2019 to November 25, 2019, in addition to $0.3 million of costs associated with audit services related to the 2019 annual audit. The fees associated with our annual audit are recognized as the services are incurred, which typically occurs ratably throughout the year.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income (loss) totaled $1.1 million for the year ended December 31, 2020, less than $(0.1) million for the period from November 26, 2019 to December 31, 2019, and $3.6 million for the Predecessor period from January 1, 2019 to November 25, 2019. In addition to the impacts described above, the decrease in net income for the year ended December 31, 2020, as compared to the period from November 26, 2019 to December 31, 2019 and the Predecessor period from January 1, 2019 to November 25, 2019 reflects the following elements:</w:t>
      </w:r>
    </w:p>
    <w:p>
      <w:pPr>
        <w:spacing w:after="0" w:line="174" w:lineRule="exact"/>
        <w:rPr>
          <w:sz w:val="20"/>
          <w:szCs w:val="20"/>
          <w:color w:val="auto"/>
        </w:rPr>
      </w:pPr>
    </w:p>
    <w:p>
      <w:pPr>
        <w:jc w:val="both"/>
        <w:ind w:left="700" w:right="79" w:hanging="326"/>
        <w:spacing w:after="0" w:line="24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general and administrative expenses totaling $2.6 million as the Predecessor period represents an allocation of the parent company expenses versus actual general and administrative expenses incurred by the Company; and</w:t>
      </w:r>
    </w:p>
    <w:p>
      <w:pPr>
        <w:spacing w:after="0" w:line="168"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interest expense totaling $1.4 million, as compared to the same period in 2019, related to the outstanding balance on the Company’s Credit Facility to fund the acquisition of 29 income properties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color w:val="auto"/>
        </w:rPr>
        <w:t>RESULTS OF OPERATIONS FOR THE PERIOD FROM NOVEMBER 26, 2019 TO DECEMBER 31, 2019, THE PREDECESSOR PERIOD FROM JANUARY 1, 2019 TO NOVEMBER 25, 2019, AND THE PREDECESSOR YEAR ENDED DECEMBER 31, 2018 (in thousands)</w:t>
      </w:r>
      <w:r>
        <w:rPr>
          <w:rFonts w:ascii="Arial" w:cs="Arial" w:eastAsia="Arial" w:hAnsi="Arial"/>
          <w:sz w:val="26"/>
          <w:szCs w:val="26"/>
          <w:b w:val="1"/>
          <w:bCs w:val="1"/>
          <w:color w:val="auto"/>
          <w:vertAlign w:val="superscript"/>
        </w:rPr>
        <w:t>(1)</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from November</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from January 1,</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For the Year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2019 to</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November 25,</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The Company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Operations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7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(Loss) Attributable to Alpine Income Property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10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27"/>
        </w:numPr>
        <w:rPr>
          <w:rFonts w:ascii="Arial" w:cs="Arial" w:eastAsia="Arial" w:hAnsi="Arial"/>
          <w:sz w:val="11"/>
          <w:szCs w:val="11"/>
          <w:color w:val="auto"/>
        </w:rPr>
      </w:pPr>
      <w:r>
        <w:rPr>
          <w:rFonts w:ascii="Arial" w:cs="Arial" w:eastAsia="Arial" w:hAnsi="Arial"/>
          <w:sz w:val="14"/>
          <w:szCs w:val="14"/>
          <w:color w:val="auto"/>
        </w:rPr>
        <w:t>Results of operations prior to November 26, 2019 represent the Predecessor activity of CTO. As of November 26, 2019, upon the acquisition of the Initial Portfolio from CTO, the results of operations are presented on a new basis of accounting pursuant to ASC 805-10.</w:t>
      </w:r>
    </w:p>
    <w:p>
      <w:pPr>
        <w:spacing w:after="0" w:line="174"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General and Administrative Expenses for the Period from November 26, 2019 to December 31, 2019, the Predecessor Period from January 1, 2019 to November 25, 2019, and the Predecessor Year Ended December 31, 2018 (in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Period</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from November</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from January 1,</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2019 to</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November 25,</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196"/>
        </w:trPr>
        <w:tc>
          <w:tcPr>
            <w:tcW w:w="224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810"/>
              <w:spacing w:after="0" w:line="196" w:lineRule="exact"/>
              <w:rPr>
                <w:sz w:val="20"/>
                <w:szCs w:val="20"/>
                <w:color w:val="auto"/>
              </w:rPr>
            </w:pPr>
            <w:r>
              <w:rPr>
                <w:rFonts w:ascii="Arial" w:cs="Arial" w:eastAsia="Arial" w:hAnsi="Arial"/>
                <w:sz w:val="18"/>
                <w:szCs w:val="18"/>
                <w:b w:val="1"/>
                <w:bCs w:val="1"/>
                <w:color w:val="auto"/>
              </w:rPr>
              <w:t>Predecessor</w:t>
            </w: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Director Stock Compensation Expense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Allocation of Predecessor General and Administrative Expense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r>
    </w:tbl>
    <w:p>
      <w:pPr>
        <w:spacing w:after="0" w:line="49"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1"/>
          <w:szCs w:val="11"/>
          <w:color w:val="auto"/>
        </w:rPr>
      </w:pPr>
      <w:r>
        <w:rPr>
          <w:rFonts w:ascii="Arial" w:cs="Arial" w:eastAsia="Arial" w:hAnsi="Arial"/>
          <w:sz w:val="14"/>
          <w:szCs w:val="14"/>
          <w:color w:val="auto"/>
        </w:rPr>
        <w:t>For the Predecessor periods presented, stock compensation expense represents an allocation from CTO.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Total revenue from our income property operations totaled $1.4 million during the period from November 26, 2019 to December 31, 2019, $11.8 million during the Predecessor period from January 1, 2019 to November 25, 2019, and $11.7 million during the Predecessor year ended December 31, 2018. The increase in the respective revenues during the periods presented is primarily reflective of the increase in revenues attributable to the Predecessor’s five income property acquisitions during the period from January 1, 2019 to November 25, 2019. The direct costs of revenues for our income property operations totaled $0.4 million during the period from November 26, 2019 to December 31, 2019, $1.7 million during the Predecessor period from January 1, 2019 to November 25, 2019, and $1.6 million during the Predecessor year ended December 31, 2018. The increase in the direct cost of revenues during the periods presented is reflective of both the time periods presented as well as an increase related to common area maintenance costs incurred related to the acquisition by the Predecessor of two ground leases in Jacksonville, Florida in October 2018.</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Depreciation and amortization expense totaled $0.7 million during the period from November 26, 2019 to December 31, 2019, $4.9 million during the Predecessor period from January 1, 2019 to November 25, 2019, and $4.9 million during the Predecessor year ended December 31, 2018. The increase in the depreciation and amortization expense during the periods presented is reflective of both the time periods presented as well as an increase related to the five income properties acquired by the Predecessor during the period from January 1, 2019 to November 25,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General and administrative expenses totaled $0.3 million during the period from November 26, 2019 to December 31, 2019, $1.7 million during the Predecessor period from January 1, 2019 to November 25, 2019, and $1.2 million during the Predecessor year ended December 31, 2018. Changes in general and administrative expenses during the periods presented is reflective of both the time periods presented, as well as changes in the nature of general and administrative expenses, as the Predecessor periods represent an allocation of the parent company expenses versus actual general and administrative expenses incurred by the Company. The Predecessor general and administrative expenses were not indicative of the amount of general and administrative expenses the Company has incurred on an annual basis subsequent to the IPO.</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Net income (loss) totaled less than $(0.1) million for the period from November 26, 2019 to December 31, 2019, $3.6 million for the Predecessor period from January 1, 2019 to November 25, 2019, and $4.0 million for the Predecessor year ended December 31, 2018. The $0.4 million decrease in net income for the Predecessor period from January 1, 2019 to November 25, 2019 and for the period from November 26, 2019 to December 31, 2019 (the Company) as compared to the Predecessor year ended December 31, 2018 is reflective of the previously described increase in revenue, direct cost of revenue, and depreciation and amortization related to the increase in the Predecessor’s income property portfolio in addition to actual general and administrative expenses incurred by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totaled $1.9 million at December 31, 2020.</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Long-term debt, at face value, totaled $106.8 million at December 31, 2020, representing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$106.8 million from no balance at December 31, 2019. The increase in the long-term debt was due to the draws on our Credit Facility which were used to facilitate the acquisition of 29 income properties during the year ended December 31, 2020. See Note 17, “Subsequent Events” to the consolidated and combined financial statements included in Item 8, “Financial Statements and Supplementary Data” in this Annual Report on Form 10-K for information related to the single-tenant income properties acquired subsequent to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the Company’s outstanding indebtedness, at face value, was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Face Value Debt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60" w:type="dxa"/>
            <w:vAlign w:val="bottom"/>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center"/>
              <w:ind w:right="350"/>
              <w:spacing w:after="0" w:line="230" w:lineRule="exact"/>
              <w:rPr>
                <w:sz w:val="20"/>
                <w:szCs w:val="20"/>
                <w:color w:val="auto"/>
              </w:rPr>
            </w:pPr>
            <w:r>
              <w:rPr>
                <w:rFonts w:ascii="Arial" w:cs="Arial" w:eastAsia="Arial" w:hAnsi="Arial"/>
                <w:sz w:val="18"/>
                <w:szCs w:val="18"/>
                <w:color w:val="auto"/>
              </w:rPr>
              <w:t xml:space="preserve">1.35% - 1.95% </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r>
      <w:tr>
        <w:trPr>
          <w:trHeight w:val="21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160" w:type="dxa"/>
            <w:vAlign w:val="bottom"/>
          </w:tcPr>
          <w:p>
            <w:pPr>
              <w:spacing w:after="0"/>
              <w:rPr>
                <w:sz w:val="18"/>
                <w:szCs w:val="18"/>
                <w:color w:val="auto"/>
              </w:rPr>
            </w:pPr>
          </w:p>
        </w:tc>
        <w:tc>
          <w:tcPr>
            <w:tcW w:w="2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r>
    </w:tbl>
    <w:p>
      <w:pPr>
        <w:spacing w:after="0" w:line="62" w:lineRule="exact"/>
        <w:rPr>
          <w:sz w:val="20"/>
          <w:szCs w:val="20"/>
          <w:color w:val="auto"/>
        </w:rPr>
      </w:pPr>
    </w:p>
    <w:p>
      <w:pPr>
        <w:jc w:val="both"/>
        <w:ind w:left="380" w:right="79" w:hanging="330"/>
        <w:spacing w:after="0" w:line="238" w:lineRule="auto"/>
        <w:tabs>
          <w:tab w:leader="none" w:pos="380" w:val="left"/>
        </w:tabs>
        <w:numPr>
          <w:ilvl w:val="0"/>
          <w:numId w:val="29"/>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achieve a fixed interest rate of 0.48% plus the applicable spread on $50.0 million of the outstanding balance on the Credit Facility, see Note 10, “Interest Rate Swap” in the notes to the consolidated and combined financial statements in Item 8.</w:t>
      </w:r>
    </w:p>
    <w:p>
      <w:pPr>
        <w:spacing w:after="0" w:line="11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The Company’s revolving credit facility (the “Credit Facility”), with Bank of Montreal (“BMO”)</w:t>
      </w:r>
      <w:r>
        <w:rPr>
          <w:rFonts w:ascii="Arial" w:cs="Arial" w:eastAsia="Arial" w:hAnsi="Arial"/>
          <w:sz w:val="16"/>
          <w:szCs w:val="16"/>
          <w:i w:val="1"/>
          <w:iCs w:val="1"/>
          <w:color w:val="auto"/>
        </w:rPr>
        <w:t xml:space="preserve"> </w:t>
      </w:r>
      <w:r>
        <w:rPr>
          <w:rFonts w:ascii="Arial" w:cs="Arial" w:eastAsia="Arial" w:hAnsi="Arial"/>
          <w:sz w:val="16"/>
          <w:szCs w:val="16"/>
          <w:color w:val="auto"/>
        </w:rPr>
        <w:t>serving as the administrative agent for the lenders thereunder, is unsecured with regard to our income property portfolio but is guaranteed by certain wholly owned subsidiaries of the Company. The Credit Facility bank group is led by BMO and also includes Raymond James Bank, N.A. The Credit Facility had an initial total borrowing capacity of $100.0 million with the ability to increase that capacity up to $150.0 million during the base term, subject to lender approval.</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October 16, 2020, the Company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Credit Facility provides the lenders with a secured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Operating Partnership, as defined in the Credit Facility. The Credit Facility also accrues a fee of 15 to 25 basis points for any unused portion of the borrowing capacity based on whether the unused portion is greater or less than 50% of the total borrowing capacity.</w:t>
      </w:r>
    </w:p>
    <w:p>
      <w:pPr>
        <w:spacing w:after="0" w:line="13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2020, the current commitment level under the Credit Facility was $150.0 million and the Company had an outstanding balance of $106.8 million.</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Operating Partnership is subject to customary restrictive covenants under the Credit Facility, including, but not limited to, limitations on the Operating Partnership’s ability to: (a) incur indebtedness; (b) make certain investments; (c) incur certain liens; (d) engage in certain affiliate transactions; and (e) engage in certain major transactions such as mergers. The Credit Facility also contains financial covenants covering the Operating Partnership, including but not limited to, tangible net worth and fixed charge coverage ratio. In addition, the Operating Partnership is subject to additional financial maintenance covenants as described in the Credit Agreement. On June 30, 2020, the Company and the Operating Partnership entered into the first amendment to the Credit Agreement with the lenders whereby the tangible net worth covenant was adjusted to be more reflective of market terms.</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Company’s operations commenced on November 26,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we did not acquire any single-tenant income properties during the period beginning with the commencement of our operations on November 26, 2019 through December 31, 2019. During the year ended December 31, 2020, we acquired 29 single-tenant, net leased properties for a total investment of $116.6 million. See Note 17, “Subsequent Events” to the consolidated and combined financial statements included in Item 8, “Financial Statements and Supplementary Data” in this Annual Report on Form 10-K for information related to the single-tenant income properties acquired subsequent to December 31, 2020.</w:t>
      </w:r>
    </w:p>
    <w:p>
      <w:pPr>
        <w:spacing w:after="0" w:line="19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During the first quarter of 2020, the Company completed the acquisition of nine properties for an aggregate purchase price of $46.8 million. When the pandemic was declared, given the uncertainties created by the COVID-19 Pandemic and the impact on the capital markets, the U.S. economy, and PINE’s tenants, the Company temporarily suspended its activities directed at identifying additional acquisition opportunities. Towards the end of the second quarter of 2020, the Company completed the acquisition of two properties for an aggregate purchase price of $28.6 million. During the third and fourth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quarter of 2020, the Company completed the acquisition of 18 properties for an aggregate purchase price of $41.2 million, for total acquisition volume of $116.6 million for the year ended December 31, 2020.</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On September 25, 2020, the Company sold its single-tenant income property, classified as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2020, leased to Outback Steakhouse located in Charlottesville, Virginia, for total disposition volume of $5.1 million, reflecting an exit cap rate of 5.8%. The Company’s gain on the sale was $0.3 million, or $0.03 per diluted share. No income properties were disposed of during the period beginning with the commencement of our operations on November 26, 2019 through December 31, 2019.</w:t>
      </w:r>
    </w:p>
    <w:p>
      <w:pPr>
        <w:spacing w:after="0" w:line="20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Through December 31, 2020, the Company incurred $0.9 million of tenant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property leased to 7-Eleven in Georgetown, Texas, of which the tenant reimbursed $0.4 million subsequent to year end pursuant to the lease. As of December 31, 2020, $0.1 million of the total $0.9 million was left to be funded.</w:t>
      </w:r>
    </w:p>
    <w:p>
      <w:pPr>
        <w:spacing w:after="0" w:line="1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$43.2 million of available capacity on the existing $150.0 million Credit Facility, based on our current borrowing base of income properties, as of December 31, 2020.</w:t>
      </w:r>
    </w:p>
    <w:p>
      <w:pPr>
        <w:spacing w:after="0" w:line="187" w:lineRule="exact"/>
        <w:rPr>
          <w:sz w:val="20"/>
          <w:szCs w:val="20"/>
          <w:color w:val="auto"/>
        </w:rPr>
      </w:pPr>
    </w:p>
    <w:p>
      <w:pPr>
        <w:jc w:val="both"/>
        <w:ind w:left="60" w:right="59" w:firstLine="368"/>
        <w:spacing w:after="0" w:line="291"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single-tenant net leased income properties by utilizing the capital we raised in the IPO and available borrowing capacity from the Credit Facility to increase our portfolio of income-producing properties, providing stabilized cash flows with strong risk-adjusted returns primarily in larger metropolitan areas and growth markets.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Through December 31, 2020, the Company incurred $0.9 million of tenant improvements related to the property leased to 7-Eleven in Georgetown, Texas, of which the tenant reimbursed $0.4 million subsequent to year end pursuant to the lease. As of December 31, 2020, $0.1 million of the total $0.9 million was left to be funded.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no development obligations, that are not recognized as liabilities in our consolidated financial statements.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consolidated financial statements included in this Annual Report are prepared in conformity with GAAP. 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The development and selection of these critical accounting policies have been determined by management and the related disclosures have been reviewed with the Audit Committee of the Board of Directors of the Company. Actual results could differ from those estimates.</w:t>
      </w:r>
    </w:p>
    <w:p>
      <w:pPr>
        <w:spacing w:after="0" w:line="16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significant accounting policies are more fully described in Note 3, “Summary of Significant Accounting Policies” to the consolidated and combined financial statements included in Item 8, “Financial Statements and Supplementary Data” in this Annual Report on Form 10-K; however, the most critical accounting policies, which involve the use of estimates and assumptions as to future uncertainties and, therefore, may result in actual amounts that differ from estimates, are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Use of Estimates in the Preparation of Financial Statements. </w:t>
      </w:r>
      <w:r>
        <w:rPr>
          <w:rFonts w:ascii="Arial" w:cs="Arial" w:eastAsia="Arial" w:hAnsi="Arial"/>
          <w:sz w:val="16"/>
          <w:szCs w:val="16"/>
          <w:color w:val="auto"/>
        </w:rPr>
        <w:t>The preparation of financial statements in conformity</w:t>
      </w:r>
      <w:r>
        <w:rPr>
          <w:rFonts w:ascii="Arial" w:cs="Arial" w:eastAsia="Arial" w:hAnsi="Arial"/>
          <w:sz w:val="16"/>
          <w:szCs w:val="16"/>
          <w:i w:val="1"/>
          <w:iCs w:val="1"/>
          <w:color w:val="auto"/>
        </w:rPr>
        <w:t xml:space="preserve"> </w:t>
      </w:r>
      <w:r>
        <w:rPr>
          <w:rFonts w:ascii="Arial" w:cs="Arial" w:eastAsia="Arial" w:hAnsi="Arial"/>
          <w:sz w:val="16"/>
          <w:szCs w:val="16"/>
          <w:color w:val="auto"/>
        </w:rPr>
        <w:t>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5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Because of, among other factors, the fluctuating market conditions that currently exist in the national real estate markets, and the volatility and uncertainty in the financial and credit markets, it is possible that the estimates and assumptions, most notably those related to the Predecessor’s investment in income properties, could change materially due to the continued volatility of the real estate and financial markets or as a result of a significant dislocation in those markets.</w:t>
      </w:r>
    </w:p>
    <w:p>
      <w:pPr>
        <w:spacing w:after="0" w:line="15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The Company follows Financial Accounting Standards Board (“FASB”)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Codification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Purchase Accounting for Acquisitions of Real Estate Subject to a Lease. </w:t>
      </w:r>
      <w:r>
        <w:rPr>
          <w:rFonts w:ascii="Arial" w:cs="Arial" w:eastAsia="Arial" w:hAnsi="Arial"/>
          <w:sz w:val="17"/>
          <w:szCs w:val="17"/>
          <w:color w:val="auto"/>
        </w:rPr>
        <w:t>Investments in real estate are carried at cost</w:t>
      </w:r>
      <w:r>
        <w:rPr>
          <w:rFonts w:ascii="Arial" w:cs="Arial" w:eastAsia="Arial" w:hAnsi="Arial"/>
          <w:sz w:val="17"/>
          <w:szCs w:val="17"/>
          <w:i w:val="1"/>
          <w:iCs w:val="1"/>
          <w:color w:val="auto"/>
        </w:rPr>
        <w:t xml:space="preserve"> </w:t>
      </w:r>
      <w:r>
        <w:rPr>
          <w:rFonts w:ascii="Arial" w:cs="Arial" w:eastAsia="Arial" w:hAnsi="Arial"/>
          <w:sz w:val="17"/>
          <w:szCs w:val="17"/>
          <w:color w:val="auto"/>
        </w:rPr>
        <w:t>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both the Company and the Predecessor amortize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Income Property Lease Revenue</w:t>
      </w:r>
      <w:r>
        <w:rPr>
          <w:rFonts w:ascii="Arial" w:cs="Arial" w:eastAsia="Arial" w:hAnsi="Arial"/>
          <w:sz w:val="16"/>
          <w:szCs w:val="16"/>
          <w:color w:val="auto"/>
        </w:rPr>
        <w:t>. The rental arrangements associated with the Company’s income property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as of December 31, 2020 and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has elected to be taxed as a REIT for U.S. federal income tax purposes under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commencing with its short taxable year beginning on November 26, 2019 and ending on December 31, 2019. The Company believes that, commencing with such short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6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Refer to Note 3, “Summary of Significant Accounting Policies”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combined financial statements included in Item 8, “Financial Statements and Supplementary Data” in this Annual Report on Form 10-K.</w:t>
      </w:r>
    </w:p>
    <w:p>
      <w:pPr>
        <w:spacing w:after="0" w:line="180"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are a smaller reporting company as defined in Rule 12b-2 under the Securities Exchange Act of 1934. As a result, pursuant to Item 305(e) of Regulation S-K, we are not required to provide the information required by this Item.</w:t>
      </w:r>
    </w:p>
    <w:p>
      <w:pPr>
        <w:spacing w:after="0" w:line="358"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Company’s Consolidated and Combined Financial Statements appear beginning on page F-1 of this report. See Item 15 of this report.</w:t>
      </w:r>
    </w:p>
    <w:p>
      <w:pPr>
        <w:spacing w:after="0" w:line="16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have been no disagreements with our accountants on accounting and financial disclosures.</w:t>
      </w:r>
    </w:p>
    <w:p>
      <w:pPr>
        <w:spacing w:after="0" w:line="2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U.S.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spacing w:after="0" w:line="18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information required to be set forth herein will be included in the Company’s definitive proxy statement for its 2021 annual stockholders’ meeting to be filed with the SEC within 120 days after the end of the registrant’s fiscal year ended December 31, 2020 (the “Proxy Statement”), which sections are incorporated herein by reference.</w:t>
      </w:r>
    </w:p>
    <w:p>
      <w:pPr>
        <w:spacing w:after="0" w:line="16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spacing w:after="0" w:line="180"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2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pacing w:after="0" w:line="16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80" w:type="dxa"/>
            <w:vAlign w:val="bottom"/>
            <w:gridSpan w:val="10"/>
          </w:tcPr>
          <w:p>
            <w:pPr>
              <w:ind w:left="10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742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 AND FINANCIAL STATEMENT SCHEDULES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14"/>
          </w:tcPr>
          <w:p>
            <w:pPr>
              <w:spacing w:after="0"/>
              <w:rPr>
                <w:sz w:val="20"/>
                <w:szCs w:val="20"/>
                <w:color w:val="auto"/>
              </w:rPr>
            </w:pPr>
            <w:r>
              <w:rPr>
                <w:rFonts w:ascii="Arial" w:cs="Arial" w:eastAsia="Arial" w:hAnsi="Arial"/>
                <w:sz w:val="18"/>
                <w:szCs w:val="18"/>
                <w:b w:val="1"/>
                <w:bCs w:val="1"/>
                <w:color w:val="auto"/>
              </w:rPr>
              <w:t>1.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8400" w:type="dxa"/>
            <w:vAlign w:val="bottom"/>
            <w:gridSpan w:val="13"/>
          </w:tcPr>
          <w:p>
            <w:pPr>
              <w:ind w:left="20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520" w:type="dxa"/>
            <w:vAlign w:val="bottom"/>
            <w:gridSpan w:val="1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Independent Registered Public Accounting Firm</w:t>
              </w:r>
            </w:hyperlink>
          </w:p>
        </w:tc>
        <w:tc>
          <w:tcPr>
            <w:tcW w:w="380" w:type="dxa"/>
            <w:vAlign w:val="bottom"/>
          </w:tcPr>
          <w:p>
            <w:pPr>
              <w:ind w:left="1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30"/>
        </w:trPr>
        <w:tc>
          <w:tcPr>
            <w:tcW w:w="8520" w:type="dxa"/>
            <w:vAlign w:val="bottom"/>
            <w:gridSpan w:val="1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December 31, 2020 and 2019</w:t>
              </w:r>
            </w:hyperlink>
          </w:p>
        </w:tc>
        <w:tc>
          <w:tcPr>
            <w:tcW w:w="380" w:type="dxa"/>
            <w:vAlign w:val="bottom"/>
            <w:vMerge w:val="restart"/>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8080" w:type="dxa"/>
            <w:vAlign w:val="bottom"/>
            <w:gridSpan w:val="7"/>
            <w:vMerge w:val="restart"/>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Operations for the year ended December 31, 2020 (the Company) and for the period</w:t>
              </w:r>
            </w:hyperlink>
          </w:p>
        </w:tc>
        <w:tc>
          <w:tcPr>
            <w:tcW w:w="440" w:type="dxa"/>
            <w:vAlign w:val="bottom"/>
            <w:gridSpan w:val="7"/>
            <w:vMerge w:val="restart"/>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80" w:type="dxa"/>
            <w:vAlign w:val="bottom"/>
            <w:tcBorders>
              <w:bottom w:val="single" w:sz="8" w:color="0000EE"/>
            </w:tcBorders>
            <w:gridSpan w:val="7"/>
            <w:vMerge w:val="continue"/>
          </w:tcPr>
          <w:p>
            <w:pPr>
              <w:spacing w:after="0"/>
              <w:rPr>
                <w:sz w:val="15"/>
                <w:szCs w:val="15"/>
                <w:color w:val="auto"/>
              </w:rPr>
            </w:pPr>
          </w:p>
        </w:tc>
        <w:tc>
          <w:tcPr>
            <w:tcW w:w="440" w:type="dxa"/>
            <w:vAlign w:val="bottom"/>
            <w:gridSpan w:val="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from November 26, 2019 to December 31, 2019 (the Company) and Combined Statements of Operations for the</w:t>
              </w:r>
            </w:hyperlink>
          </w:p>
        </w:tc>
        <w:tc>
          <w:tcPr>
            <w:tcW w:w="3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period from January 1, 2019 to November 25, 2019 (Predecessor) and for the year ended December 31, 2018</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(Predecessor)</w:t>
              </w:r>
            </w:hyperlink>
          </w:p>
        </w:tc>
        <w:tc>
          <w:tcPr>
            <w:tcW w:w="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8520" w:type="dxa"/>
            <w:vAlign w:val="bottom"/>
            <w:gridSpan w:val="14"/>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Consolidated Statements of Comprehensive Income for the year ended December 31, 2020 (the Company) and for</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0000EE"/>
            </w:tcBorders>
          </w:tcPr>
          <w:p>
            <w:pPr>
              <w:spacing w:after="0"/>
              <w:rPr>
                <w:sz w:val="17"/>
                <w:szCs w:val="17"/>
                <w:color w:val="auto"/>
              </w:rPr>
            </w:pPr>
          </w:p>
        </w:tc>
        <w:tc>
          <w:tcPr>
            <w:tcW w:w="810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the period from November 26, 2019 to December 31, 2019 (the Company) and Combined Statements of</w:t>
              </w:r>
            </w:hyperlink>
          </w:p>
        </w:tc>
        <w:tc>
          <w:tcPr>
            <w:tcW w:w="3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2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Comprehensive Income for the period from January 1, 2019 to November 25, 2019 (Predecessor) and for the year</w:t>
              </w:r>
            </w:hyperlink>
          </w:p>
        </w:tc>
        <w:tc>
          <w:tcPr>
            <w:tcW w:w="2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ended December 31, 2018 (Predecessor)</w:t>
              </w:r>
            </w:hyperlink>
          </w:p>
        </w:tc>
        <w:tc>
          <w:tcPr>
            <w:tcW w:w="5480" w:type="dxa"/>
            <w:vAlign w:val="bottom"/>
            <w:gridSpan w:val="10"/>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8520" w:type="dxa"/>
            <w:vAlign w:val="bottom"/>
            <w:gridSpan w:val="1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Consolidated Statements of Stockholders’ Equity for the year ended December 31, 2020 (the Company) and for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3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3"/>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period from November 26, 2019 to December 31, 2019 (the Company) and Combined Statements of Stockholders’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Equity for the period from January 1, 2019 to November 25, 2019 (Predecessor) and for the year ended December</w:t>
              </w:r>
            </w:hyperlink>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31, 2018 (Predecessor)</w:t>
              </w:r>
            </w:hyperlink>
          </w:p>
        </w:tc>
        <w:tc>
          <w:tcPr>
            <w:tcW w:w="6740" w:type="dxa"/>
            <w:vAlign w:val="bottom"/>
            <w:gridSpan w:val="11"/>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Cash Flows for the year ended December 31, 2020 (the Company) and for the period</w:t>
              </w:r>
            </w:hyperlink>
          </w:p>
        </w:tc>
        <w:tc>
          <w:tcPr>
            <w:tcW w:w="38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3"/>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from November 26, 2019 to December 31, 2019 (the Company) and Combined Statements of Cash Flows for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18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period from January 1, 2019 to November 25, 2019 (Predecessor) and for the year ended December 31, 2018</w:t>
              </w:r>
            </w:hyperlink>
          </w:p>
        </w:tc>
        <w:tc>
          <w:tcPr>
            <w:tcW w:w="2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(Predecessor)</w:t>
              </w:r>
            </w:hyperlink>
          </w:p>
        </w:tc>
        <w:tc>
          <w:tcPr>
            <w:tcW w:w="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7"/>
        </w:trPr>
        <w:tc>
          <w:tcPr>
            <w:tcW w:w="8520" w:type="dxa"/>
            <w:vAlign w:val="bottom"/>
            <w:gridSpan w:val="1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and Combined Financial Statements</w:t>
              </w:r>
            </w:hyperlink>
          </w:p>
        </w:tc>
        <w:tc>
          <w:tcPr>
            <w:tcW w:w="380" w:type="dxa"/>
            <w:vAlign w:val="bottom"/>
          </w:tcPr>
          <w:p>
            <w:pPr>
              <w:ind w:left="12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Schedules are omitted because of the absence of conditions under which they are required, materiality, or because the required information is given in the financial statements or notes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20" w:type="dxa"/>
            <w:vAlign w:val="bottom"/>
            <w:gridSpan w:val="24"/>
          </w:tcPr>
          <w:p>
            <w:pPr>
              <w:ind w:left="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21"/>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8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94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Articles of Amendment and Restatement of Alpine Income Property Trust, Inc. (incorporated by</w:t>
              </w:r>
            </w:hyperlink>
          </w:p>
        </w:tc>
        <w:tc>
          <w:tcPr>
            <w:tcW w:w="500" w:type="dxa"/>
            <w:vAlign w:val="bottom"/>
            <w:tcBorders>
              <w:top w:val="single" w:sz="8" w:color="auto"/>
            </w:tcBorders>
            <w:gridSpan w:val="1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40" w:type="dxa"/>
            <w:vAlign w:val="bottom"/>
            <w:gridSpan w:val="26"/>
          </w:tcPr>
          <w:p>
            <w:pPr>
              <w:spacing w:after="0"/>
              <w:rPr>
                <w:rFonts w:ascii="Arial" w:cs="Arial" w:eastAsia="Arial" w:hAnsi="Arial"/>
                <w:sz w:val="18"/>
                <w:szCs w:val="18"/>
                <w:u w:val="single" w:color="auto"/>
                <w:color w:val="0000EE"/>
                <w:w w:val="94"/>
              </w:rPr>
            </w:pPr>
            <w:hyperlink r:id="rId80">
              <w:r>
                <w:rPr>
                  <w:rFonts w:ascii="Arial" w:cs="Arial" w:eastAsia="Arial" w:hAnsi="Arial"/>
                  <w:sz w:val="18"/>
                  <w:szCs w:val="18"/>
                  <w:u w:val="single" w:color="auto"/>
                  <w:color w:val="0000EE"/>
                  <w:w w:val="94"/>
                </w:rPr>
                <w:t>reference to Exhibit 3.1 to the Company’s Current Report on Form 8-K filed on December 3, 2019).</w:t>
              </w:r>
            </w:hyperlink>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Amended and Restated Bylaws of Alpine Income Property Trust, Inc. (incorporated by reference to</w:t>
              </w:r>
            </w:hyperlink>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4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Exhibit 3.2 to the Company’s Current Report on Form 8-K filed on December 3, 2019).</w:t>
              </w:r>
            </w:hyperlink>
          </w:p>
        </w:tc>
        <w:tc>
          <w:tcPr>
            <w:tcW w:w="3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Description of the Registrant’s Securities †</w:t>
              </w:r>
            </w:hyperlink>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tcBorders>
              <w:bottom w:val="single" w:sz="8" w:color="0000EE"/>
            </w:tcBorders>
            <w:gridSpan w:val="24"/>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Specimen Common Stock Certificate of Alpine Income Property Trust, Inc. (incorporated by reference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to Exhibit 4.1 to the Registrant’s Registration Statement on Form S-11/A (File No. 333-234304) filed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with the Commission on October 29, 2019).</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EE"/>
            </w:tcBorders>
            <w:gridSpan w:val="17"/>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Stock Purchase Agreement, dated November 21, 2019, between Alpine Income Property Trust, Inc.</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and Consolidated-Tomoka Land Co. (incorporated by reference to Exhibit 10.1 to the Company’s</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Current Report on Form 8-K filed on December 3, 2019).</w:t>
              </w:r>
            </w:hyperlink>
          </w:p>
        </w:tc>
        <w:tc>
          <w:tcPr>
            <w:tcW w:w="33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color w:val="0000EE"/>
              </w:rPr>
            </w:pPr>
            <w:hyperlink r:id="rId84">
              <w:r>
                <w:rPr>
                  <w:rFonts w:ascii="Arial" w:cs="Arial" w:eastAsia="Arial" w:hAnsi="Arial"/>
                  <w:sz w:val="18"/>
                  <w:szCs w:val="18"/>
                  <w:color w:val="0000EE"/>
                </w:rPr>
                <w:t>Registration Rights Agreement, dated November 26, 2019, between Alpine Income Property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Trust, Inc. and Consolidated-Tomoka Land Co. (incorporated by reference to Exhibit 10.2 to the</w:t>
              </w:r>
            </w:hyperlink>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Company’s Current Report on Form 8-K filed on 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tcBorders>
              <w:bottom w:val="single" w:sz="8" w:color="0000EE"/>
            </w:tcBorders>
            <w:gridSpan w:val="19"/>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Agreement of Limited Partnership, dated November 26, 2019, among Alpine</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Income Property GP, LLC, Alpine Income Property Trust, Inc., Consolidated-Tomoka Land Co. and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Indigo Group Ltd. (incorporated by reference to Exhibit 10.3 to the Company’s Current Report on</w:t>
              </w:r>
            </w:hyperlink>
          </w:p>
        </w:tc>
        <w:tc>
          <w:tcPr>
            <w:tcW w:w="140" w:type="dxa"/>
            <w:vAlign w:val="bottom"/>
            <w:tcBorders>
              <w:top w:val="single" w:sz="8" w:color="0000EE"/>
            </w:tcBorders>
            <w:gridSpan w:val="4"/>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Form 8-K filed on 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13"/>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Tax Protection Agreement, dated November 26, 2019, among Alpine Income Property Trust, Inc.,</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Alpine Income Property OP, LP, Consolidated-Tomoka Land Co. and Indigo Group Ltd. (incorporated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by reference to Exhibit 10.4 to the Company’s Current Report on Form 8-K filed on December 3,</w:t>
              </w:r>
            </w:hyperlink>
          </w:p>
        </w:tc>
        <w:tc>
          <w:tcPr>
            <w:tcW w:w="340" w:type="dxa"/>
            <w:vAlign w:val="bottom"/>
            <w:tcBorders>
              <w:top w:val="single" w:sz="8" w:color="0000EE"/>
            </w:tcBorders>
            <w:gridSpan w:val="11"/>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EE"/>
                <w:w w:val="86"/>
              </w:rPr>
            </w:pPr>
            <w:hyperlink r:id="rId86">
              <w:r>
                <w:rPr>
                  <w:rFonts w:ascii="Arial" w:cs="Arial" w:eastAsia="Arial" w:hAnsi="Arial"/>
                  <w:sz w:val="18"/>
                  <w:szCs w:val="18"/>
                  <w:color w:val="0000EE"/>
                  <w:w w:val="86"/>
                </w:rPr>
                <w:t>2019).</w:t>
              </w:r>
            </w:hyperlink>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color w:val="0000EE"/>
                <w:w w:val="97"/>
              </w:rPr>
            </w:pPr>
            <w:hyperlink r:id="rId87">
              <w:r>
                <w:rPr>
                  <w:rFonts w:ascii="Arial" w:cs="Arial" w:eastAsia="Arial" w:hAnsi="Arial"/>
                  <w:sz w:val="18"/>
                  <w:szCs w:val="18"/>
                  <w:color w:val="0000EE"/>
                  <w:w w:val="97"/>
                </w:rPr>
                <w:t>Management Agreement, dated November 26, 2019, among Alpine Income Property Trust, Inc.,</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Alpine Income Property OP, LP and Alpine Income Property Manager, LLC (incorporated by reference</w:t>
              </w:r>
            </w:hyperlink>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40" w:type="dxa"/>
            <w:vAlign w:val="bottom"/>
            <w:gridSpan w:val="26"/>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to Exhibit 10.5 to the Company’s Current Report on Form 8-K filed on December 3, 2019).*</w:t>
              </w:r>
            </w:hyperlink>
          </w:p>
        </w:tc>
        <w:tc>
          <w:tcPr>
            <w:tcW w:w="0" w:type="dxa"/>
            <w:vAlign w:val="bottom"/>
          </w:tcPr>
          <w:p>
            <w:pPr>
              <w:spacing w:after="0"/>
              <w:rPr>
                <w:sz w:val="1"/>
                <w:szCs w:val="1"/>
                <w:color w:val="auto"/>
              </w:rPr>
            </w:pPr>
          </w:p>
        </w:tc>
      </w:tr>
      <w:tr>
        <w:trPr>
          <w:trHeight w:val="391"/>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Exclusivity and Right of First Offer Agreement, dated November 26, 2019, between Consolidated-</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Tomoka Land Co. and Alpine Income Property Trust, Inc. (incorporated by reference to Exhibit 10.6 to</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the Company’s Current Report on Form 8-K filed on December 3,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Credit Agreement, dated November 26, 2019, among Alpine Income Property OP, LP, Alpine Income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320" w:type="dxa"/>
            <w:vAlign w:val="bottom"/>
            <w:gridSpan w:val="1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Property Trust, Inc., Bank of Montreal, BMO Capital Markets Corp. and Raymond James Bank, N.A.</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(incorporated by reference to Exhibit 10.7 to the Company’s Current Report on Form 8-K filed on</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320" w:type="dxa"/>
            <w:vAlign w:val="bottom"/>
            <w:gridSpan w:val="1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26"/>
          </w:tcPr>
          <w:p>
            <w:pPr>
              <w:spacing w:after="0"/>
              <w:rPr>
                <w:rFonts w:ascii="Arial" w:cs="Arial" w:eastAsia="Arial" w:hAnsi="Arial"/>
                <w:sz w:val="18"/>
                <w:szCs w:val="18"/>
                <w:color w:val="0000EE"/>
                <w:w w:val="94"/>
              </w:rPr>
            </w:pPr>
            <w:hyperlink r:id="rId90">
              <w:r>
                <w:rPr>
                  <w:rFonts w:ascii="Arial" w:cs="Arial" w:eastAsia="Arial" w:hAnsi="Arial"/>
                  <w:sz w:val="18"/>
                  <w:szCs w:val="18"/>
                  <w:color w:val="0000EE"/>
                  <w:w w:val="94"/>
                </w:rPr>
                <w:t>Indemnification Agreement, dated November 21, 2019, between Alpine Income Property Trust, Inc.</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4320" w:type="dxa"/>
            <w:vAlign w:val="bottom"/>
            <w:gridSpan w:val="14"/>
            <w:shd w:val="clear" w:color="auto" w:fill="0000EE"/>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26"/>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and John P. Albright (incorporated by reference to Exhibit 10.8 to the Company’s Current Report on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Form 8-K filed on December 3, 2019).*</w:t>
              </w:r>
            </w:hyperlink>
          </w:p>
        </w:tc>
        <w:tc>
          <w:tcPr>
            <w:tcW w:w="4320" w:type="dxa"/>
            <w:vAlign w:val="bottom"/>
            <w:tcBorders>
              <w:top w:val="single" w:sz="8" w:color="0000EE"/>
            </w:tcBorders>
            <w:gridSpan w:val="14"/>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10.9</w:t>
            </w:r>
          </w:p>
        </w:tc>
        <w:tc>
          <w:tcPr>
            <w:tcW w:w="7460" w:type="dxa"/>
            <w:vAlign w:val="bottom"/>
            <w:gridSpan w:val="25"/>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20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and Steven R. Greathouse (incorporated by reference to Exhibit 10.10 to the Company’s Current</w:t>
              </w:r>
            </w:hyperlink>
          </w:p>
        </w:tc>
        <w:tc>
          <w:tcPr>
            <w:tcW w:w="260" w:type="dxa"/>
            <w:vAlign w:val="bottom"/>
            <w:gridSpan w:val="9"/>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Report on Form 8-K filed on December 3, 2019).*</w:t>
              </w:r>
            </w:hyperlink>
          </w:p>
        </w:tc>
        <w:tc>
          <w:tcPr>
            <w:tcW w:w="3300" w:type="dxa"/>
            <w:vAlign w:val="bottom"/>
            <w:tcBorders>
              <w:top w:val="single" w:sz="8" w:color="0000EE"/>
            </w:tcBorders>
            <w:gridSpan w:val="5"/>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gridSpan w:val="25"/>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Indemnification Agreement, dated November 21, 2019, between Alpine Income Property Trust, Inc.</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and Daniel E. Smith (incorporated by reference to Exhibit 10.11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Form 8-K filed on December 3, 2019).*</w:t>
              </w:r>
            </w:hyperlink>
          </w:p>
        </w:tc>
        <w:tc>
          <w:tcPr>
            <w:tcW w:w="4380" w:type="dxa"/>
            <w:vAlign w:val="bottom"/>
            <w:tcBorders>
              <w:top w:val="single" w:sz="8" w:color="0000EE"/>
            </w:tcBorders>
            <w:gridSpan w:val="14"/>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10.11</w:t>
            </w:r>
          </w:p>
        </w:tc>
        <w:tc>
          <w:tcPr>
            <w:tcW w:w="7460" w:type="dxa"/>
            <w:vAlign w:val="bottom"/>
            <w:gridSpan w:val="25"/>
          </w:tcPr>
          <w:p>
            <w:pPr>
              <w:spacing w:after="0"/>
              <w:rPr>
                <w:rFonts w:ascii="Arial" w:cs="Arial" w:eastAsia="Arial" w:hAnsi="Arial"/>
                <w:sz w:val="18"/>
                <w:szCs w:val="18"/>
                <w:color w:val="0000EE"/>
                <w:w w:val="94"/>
              </w:rPr>
            </w:pPr>
            <w:hyperlink r:id="rId94">
              <w:r>
                <w:rPr>
                  <w:rFonts w:ascii="Arial" w:cs="Arial" w:eastAsia="Arial" w:hAnsi="Arial"/>
                  <w:sz w:val="18"/>
                  <w:szCs w:val="18"/>
                  <w:color w:val="0000EE"/>
                  <w:w w:val="94"/>
                </w:rPr>
                <w:t>Indemnification Agreement, dated November 21, 2019, between Alpine Income Property Trust, Inc.</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73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and Mark O. Decker, Jr. (incorporated by reference to Exhibit 10.12 to the Company’s Current Report</w:t>
              </w:r>
            </w:hyperlink>
          </w:p>
        </w:tc>
        <w:tc>
          <w:tcPr>
            <w:tcW w:w="120" w:type="dxa"/>
            <w:vAlign w:val="bottom"/>
            <w:gridSpan w:val="5"/>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 Form 8-K filed on December 3, 2019).*</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gridSpan w:val="25"/>
          </w:tcPr>
          <w:p>
            <w:pPr>
              <w:spacing w:after="0"/>
              <w:rPr>
                <w:rFonts w:ascii="Arial" w:cs="Arial" w:eastAsia="Arial" w:hAnsi="Arial"/>
                <w:sz w:val="18"/>
                <w:szCs w:val="18"/>
                <w:color w:val="0000EE"/>
                <w:w w:val="94"/>
              </w:rPr>
            </w:pPr>
            <w:hyperlink r:id="rId95">
              <w:r>
                <w:rPr>
                  <w:rFonts w:ascii="Arial" w:cs="Arial" w:eastAsia="Arial" w:hAnsi="Arial"/>
                  <w:sz w:val="18"/>
                  <w:szCs w:val="18"/>
                  <w:color w:val="0000EE"/>
                  <w:w w:val="94"/>
                </w:rPr>
                <w:t>Indemnification Agreement, dated November 21, 2019, between Alpine Income Property Trust, Inc.</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and M. Carson Good (incorporated by reference to Exhibit 10.13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Form 8-K filed on December 3, 2019).*</w:t>
              </w:r>
            </w:hyperlink>
          </w:p>
        </w:tc>
        <w:tc>
          <w:tcPr>
            <w:tcW w:w="4440" w:type="dxa"/>
            <w:vAlign w:val="bottom"/>
            <w:tcBorders>
              <w:top w:val="single" w:sz="8" w:color="0000EE"/>
            </w:tcBorders>
            <w:gridSpan w:val="15"/>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gridSpan w:val="25"/>
          </w:tcPr>
          <w:p>
            <w:pPr>
              <w:spacing w:after="0"/>
              <w:rPr>
                <w:rFonts w:ascii="Arial" w:cs="Arial" w:eastAsia="Arial" w:hAnsi="Arial"/>
                <w:sz w:val="18"/>
                <w:szCs w:val="18"/>
                <w:color w:val="0000EE"/>
                <w:w w:val="94"/>
              </w:rPr>
            </w:pPr>
            <w:hyperlink r:id="rId96">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and Andrew C. Richardson (incorporated by reference to Exhibit 10.14 to the Company’s Current</w:t>
              </w:r>
            </w:hyperlink>
          </w:p>
        </w:tc>
        <w:tc>
          <w:tcPr>
            <w:tcW w:w="160" w:type="dxa"/>
            <w:vAlign w:val="bottom"/>
            <w:tcBorders>
              <w:top w:val="single" w:sz="8" w:color="0000EE"/>
            </w:tcBorders>
            <w:gridSpan w:val="2"/>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Report on Form 8-K filed on December 3, 2019).*</w:t>
              </w:r>
            </w:hyperlink>
          </w:p>
        </w:tc>
        <w:tc>
          <w:tcPr>
            <w:tcW w:w="3820" w:type="dxa"/>
            <w:vAlign w:val="bottom"/>
            <w:gridSpan w:val="18"/>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gridSpan w:val="25"/>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Indemnification Agreement, dated November 21, 2019, between Alpine Income Property Trust, Inc.</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and Jeffrey S. Yarckin (incorporated by reference to Exhibit 10.15 to the Company’s Current Report on</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Form 8-K filed on December 3, 2019).*</w:t>
              </w:r>
            </w:hyperlink>
          </w:p>
        </w:tc>
        <w:tc>
          <w:tcPr>
            <w:tcW w:w="4560" w:type="dxa"/>
            <w:vAlign w:val="bottom"/>
            <w:gridSpan w:val="20"/>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10.15</w:t>
            </w:r>
          </w:p>
        </w:tc>
        <w:tc>
          <w:tcPr>
            <w:tcW w:w="7420" w:type="dxa"/>
            <w:vAlign w:val="bottom"/>
            <w:tcBorders>
              <w:bottom w:val="single" w:sz="8" w:color="0000EE"/>
            </w:tcBorders>
            <w:gridSpan w:val="23"/>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Indemnification Agreement, dated February 10, 2021, between Alpine Income Property Trust, Inc. and</w:t>
              </w:r>
            </w:hyperlink>
          </w:p>
        </w:tc>
        <w:tc>
          <w:tcPr>
            <w:tcW w:w="4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Rachel E. Wein (incorporated by reference to Exhibit 10.1 to the Company’s Current Report on</w:t>
              </w:r>
            </w:hyperlink>
          </w:p>
        </w:tc>
      </w:tr>
      <w:tr>
        <w:trPr>
          <w:trHeight w:val="196"/>
        </w:trPr>
        <w:tc>
          <w:tcPr>
            <w:tcW w:w="14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Form 8-K filed on February 11, 2021).*</w:t>
              </w:r>
            </w:hyperlink>
          </w:p>
        </w:tc>
        <w:tc>
          <w:tcPr>
            <w:tcW w:w="3980" w:type="dxa"/>
            <w:vAlign w:val="bottom"/>
            <w:tcBorders>
              <w:top w:val="single" w:sz="8" w:color="0000EE"/>
            </w:tcBorders>
            <w:gridSpan w:val="6"/>
          </w:tcPr>
          <w:p>
            <w:pPr>
              <w:spacing w:after="0"/>
              <w:rPr>
                <w:sz w:val="17"/>
                <w:szCs w:val="17"/>
                <w:color w:val="auto"/>
              </w:rPr>
            </w:pPr>
          </w:p>
        </w:tc>
        <w:tc>
          <w:tcPr>
            <w:tcW w:w="600" w:type="dxa"/>
            <w:vAlign w:val="bottom"/>
            <w:gridSpan w:val="15"/>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10.16</w:t>
            </w:r>
          </w:p>
        </w:tc>
        <w:tc>
          <w:tcPr>
            <w:tcW w:w="7460" w:type="dxa"/>
            <w:vAlign w:val="bottom"/>
            <w:tcBorders>
              <w:bottom w:val="single" w:sz="8" w:color="0000EE"/>
            </w:tcBorders>
            <w:gridSpan w:val="25"/>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Alpine Income Property Trust, Inc. 2019 Individual Equity Incentive Plan (incorporated by reference to</w:t>
              </w:r>
            </w:hyperlink>
          </w:p>
        </w:tc>
      </w:tr>
      <w:tr>
        <w:trPr>
          <w:trHeight w:val="196"/>
        </w:trPr>
        <w:tc>
          <w:tcPr>
            <w:tcW w:w="146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Exhibit 10.1 to the Company’s Registration Statement on Form S-8 (File No. 333-235256) filed on</w:t>
              </w:r>
            </w:hyperlink>
          </w:p>
        </w:tc>
        <w:tc>
          <w:tcPr>
            <w:tcW w:w="340" w:type="dxa"/>
            <w:vAlign w:val="bottom"/>
            <w:gridSpan w:val="10"/>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November 25, 2019).*</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10.17</w:t>
            </w:r>
          </w:p>
        </w:tc>
        <w:tc>
          <w:tcPr>
            <w:tcW w:w="7360" w:type="dxa"/>
            <w:vAlign w:val="bottom"/>
            <w:tcBorders>
              <w:bottom w:val="single" w:sz="8" w:color="0000EE"/>
            </w:tcBorders>
            <w:gridSpan w:val="2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Alpine Income Property Trust, Inc. 2019 Manager Equity Incentive Plan (incorporated by reference to</w:t>
              </w:r>
            </w:hyperlink>
          </w:p>
        </w:tc>
        <w:tc>
          <w:tcPr>
            <w:tcW w:w="100" w:type="dxa"/>
            <w:vAlign w:val="bottom"/>
            <w:gridSpan w:val="4"/>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7460" w:type="dxa"/>
            <w:vAlign w:val="bottom"/>
            <w:gridSpan w:val="25"/>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Exhibit 10.17 to the Company’s Current Report on Form 8-K filed on December 3, 2019).*</w:t>
              </w:r>
            </w:hyperlink>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10.18</w:t>
            </w:r>
          </w:p>
        </w:tc>
        <w:tc>
          <w:tcPr>
            <w:tcW w:w="7460" w:type="dxa"/>
            <w:vAlign w:val="bottom"/>
            <w:gridSpan w:val="25"/>
          </w:tcPr>
          <w:p>
            <w:pPr>
              <w:spacing w:after="0"/>
              <w:rPr>
                <w:rFonts w:ascii="Arial" w:cs="Arial" w:eastAsia="Arial" w:hAnsi="Arial"/>
                <w:sz w:val="18"/>
                <w:szCs w:val="18"/>
                <w:color w:val="0000EE"/>
              </w:rPr>
            </w:pPr>
            <w:hyperlink r:id="rId101">
              <w:r>
                <w:rPr>
                  <w:rFonts w:ascii="Arial" w:cs="Arial" w:eastAsia="Arial" w:hAnsi="Arial"/>
                  <w:sz w:val="18"/>
                  <w:szCs w:val="18"/>
                  <w:color w:val="0000EE"/>
                </w:rPr>
                <w:t>Form of Non-Employee Director Restricted Stock Award Agreement under the Alpine Income</w:t>
              </w:r>
            </w:hyperlink>
          </w:p>
        </w:tc>
      </w:tr>
      <w:tr>
        <w:trPr>
          <w:trHeight w:val="20"/>
        </w:trPr>
        <w:tc>
          <w:tcPr>
            <w:tcW w:w="14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73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Property Trust, Inc. 2019 Individual Equity Incentive Plan (incorporated by reference to Exhibit 10.11</w:t>
              </w:r>
            </w:hyperlink>
          </w:p>
        </w:tc>
        <w:tc>
          <w:tcPr>
            <w:tcW w:w="100" w:type="dxa"/>
            <w:vAlign w:val="bottom"/>
            <w:gridSpan w:val="4"/>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to the Registrant’s Registration Statement on Form S-11/A (File No. 333-234304) filed with the</w:t>
              </w:r>
            </w:hyperlink>
          </w:p>
        </w:tc>
      </w:tr>
      <w:tr>
        <w:trPr>
          <w:trHeight w:val="196"/>
        </w:trPr>
        <w:tc>
          <w:tcPr>
            <w:tcW w:w="14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Commission on November 7, 2019).*</w:t>
              </w:r>
            </w:hyperlink>
          </w:p>
        </w:tc>
        <w:tc>
          <w:tcPr>
            <w:tcW w:w="4160" w:type="dxa"/>
            <w:vAlign w:val="bottom"/>
            <w:tcBorders>
              <w:top w:val="single" w:sz="8" w:color="0000EE"/>
            </w:tcBorders>
            <w:gridSpan w:val="8"/>
          </w:tcPr>
          <w:p>
            <w:pPr>
              <w:spacing w:after="0"/>
              <w:rPr>
                <w:sz w:val="17"/>
                <w:szCs w:val="17"/>
                <w:color w:val="auto"/>
              </w:rPr>
            </w:pPr>
          </w:p>
        </w:tc>
        <w:tc>
          <w:tcPr>
            <w:tcW w:w="580" w:type="dxa"/>
            <w:vAlign w:val="bottom"/>
            <w:gridSpan w:val="14"/>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7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First Amendment to the Credit Agreement, dated June 30, 2020, among Alpine Income Property OP,</w:t>
              </w:r>
            </w:hyperlink>
          </w:p>
        </w:tc>
        <w:tc>
          <w:tcPr>
            <w:tcW w:w="200" w:type="dxa"/>
            <w:vAlign w:val="bottom"/>
            <w:gridSpan w:val="7"/>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LP, Alpine Income Property Trust, Inc., Bank of Montreal, BMO Capital Markets Corp. and Raymond</w:t>
              </w:r>
            </w:hyperlink>
          </w:p>
        </w:tc>
      </w:tr>
      <w:tr>
        <w:trPr>
          <w:trHeight w:val="196"/>
        </w:trPr>
        <w:tc>
          <w:tcPr>
            <w:tcW w:w="1460" w:type="dxa"/>
            <w:vAlign w:val="bottom"/>
          </w:tcPr>
          <w:p>
            <w:pPr>
              <w:spacing w:after="0"/>
              <w:rPr>
                <w:sz w:val="17"/>
                <w:szCs w:val="17"/>
                <w:color w:val="auto"/>
              </w:rPr>
            </w:pPr>
          </w:p>
        </w:tc>
        <w:tc>
          <w:tcPr>
            <w:tcW w:w="7360" w:type="dxa"/>
            <w:vAlign w:val="bottom"/>
            <w:tcBorders>
              <w:top w:val="single" w:sz="8" w:color="0000EE"/>
            </w:tcBorders>
            <w:gridSpan w:val="21"/>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James Bank, N.A. (incorporated by reference to Exhibit 10.1 to the Company’s Current Report on</w:t>
              </w:r>
            </w:hyperlink>
          </w:p>
        </w:tc>
        <w:tc>
          <w:tcPr>
            <w:tcW w:w="100" w:type="dxa"/>
            <w:vAlign w:val="bottom"/>
            <w:gridSpan w:val="4"/>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Form 10-Q filed on August 3, 2020).</w:t>
              </w:r>
            </w:hyperlink>
          </w:p>
        </w:tc>
        <w:tc>
          <w:tcPr>
            <w:tcW w:w="4380" w:type="dxa"/>
            <w:vAlign w:val="bottom"/>
            <w:tcBorders>
              <w:top w:val="single" w:sz="8" w:color="0000EE"/>
            </w:tcBorders>
            <w:gridSpan w:val="12"/>
          </w:tcPr>
          <w:p>
            <w:pPr>
              <w:spacing w:after="0"/>
              <w:rPr>
                <w:sz w:val="17"/>
                <w:szCs w:val="17"/>
                <w:color w:val="auto"/>
              </w:rPr>
            </w:pPr>
          </w:p>
        </w:tc>
        <w:tc>
          <w:tcPr>
            <w:tcW w:w="420" w:type="dxa"/>
            <w:vAlign w:val="bottom"/>
            <w:gridSpan w:val="11"/>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10.20</w:t>
            </w:r>
          </w:p>
        </w:tc>
        <w:tc>
          <w:tcPr>
            <w:tcW w:w="7400" w:type="dxa"/>
            <w:vAlign w:val="bottom"/>
            <w:tcBorders>
              <w:bottom w:val="single" w:sz="8" w:color="0000EE"/>
            </w:tcBorders>
            <w:gridSpan w:val="22"/>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Second Amendment to the Credit Agreement, dated October 16, 2020, among Alpine Income Property</w:t>
              </w:r>
            </w:hyperlink>
          </w:p>
        </w:tc>
        <w:tc>
          <w:tcPr>
            <w:tcW w:w="60" w:type="dxa"/>
            <w:vAlign w:val="bottom"/>
            <w:gridSpan w:val="3"/>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OP, LP, Alpine Income Property Trust, Inc., the other Guarantors party thereto, the Lenders party</w:t>
              </w:r>
            </w:hyperlink>
          </w:p>
        </w:tc>
        <w:tc>
          <w:tcPr>
            <w:tcW w:w="480" w:type="dxa"/>
            <w:vAlign w:val="bottom"/>
            <w:gridSpan w:val="12"/>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thereto and Bank of Montreal, as Administrative Agent (incorporated by reference to Exhibit 10.1 to</w:t>
              </w:r>
            </w:hyperlink>
          </w:p>
        </w:tc>
        <w:tc>
          <w:tcPr>
            <w:tcW w:w="220" w:type="dxa"/>
            <w:vAlign w:val="bottom"/>
            <w:gridSpan w:val="8"/>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7460" w:type="dxa"/>
            <w:vAlign w:val="bottom"/>
            <w:gridSpan w:val="25"/>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the Company’s Current Report on Form 8-K filed on October 22, 2020).</w:t>
              </w:r>
            </w:hyperlink>
          </w:p>
        </w:tc>
      </w:tr>
      <w:tr>
        <w:trPr>
          <w:trHeight w:val="453"/>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520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List of Subsidiaries of the Registrant. †</w:t>
              </w:r>
            </w:hyperlink>
          </w:p>
        </w:tc>
        <w:tc>
          <w:tcPr>
            <w:tcW w:w="2260" w:type="dxa"/>
            <w:vAlign w:val="bottom"/>
            <w:gridSpan w:val="17"/>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7460" w:type="dxa"/>
            <w:vAlign w:val="bottom"/>
            <w:gridSpan w:val="25"/>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Consent of Grant Thornton LLP. †</w:t>
              </w:r>
            </w:hyperlink>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7300" w:type="dxa"/>
            <w:vAlign w:val="bottom"/>
            <w:gridSpan w:val="8"/>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Certificate of John P. Albright, President and Chief Executive Officer, pursuant to Section 302 of the</w:t>
              </w:r>
            </w:hyperlink>
          </w:p>
        </w:tc>
      </w:tr>
      <w:tr>
        <w:trPr>
          <w:trHeight w:val="196"/>
        </w:trPr>
        <w:tc>
          <w:tcPr>
            <w:tcW w:w="14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Sarbanes-Oxley Act of 2002. †</w:t>
              </w:r>
            </w:hyperlink>
          </w:p>
        </w:tc>
        <w:tc>
          <w:tcPr>
            <w:tcW w:w="50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70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Certificate of Matthew M. Partridge, Senior Vice President, Chief Financial Officer and Treasurer,</w:t>
              </w:r>
            </w:hyperlink>
          </w:p>
        </w:tc>
        <w:tc>
          <w:tcPr>
            <w:tcW w:w="22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7300" w:type="dxa"/>
            <w:vAlign w:val="bottom"/>
            <w:gridSpan w:val="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pursuant to Section 302 of the Sarbanes-Oxley Act of 2002. †</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7300" w:type="dxa"/>
            <w:vAlign w:val="bottom"/>
            <w:gridSpan w:val="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Certificate of John P. Albright, President and Chief Executive Officer, pursuant to 18 U.S.C.</w:t>
              </w:r>
            </w:hyperlink>
          </w:p>
        </w:tc>
      </w:tr>
      <w:tr>
        <w:trPr>
          <w:trHeight w:val="237"/>
        </w:trPr>
        <w:tc>
          <w:tcPr>
            <w:tcW w:w="1460" w:type="dxa"/>
            <w:vAlign w:val="bottom"/>
          </w:tcPr>
          <w:p>
            <w:pPr>
              <w:spacing w:after="0"/>
              <w:rPr>
                <w:sz w:val="20"/>
                <w:szCs w:val="20"/>
                <w:color w:val="auto"/>
              </w:rPr>
            </w:pPr>
          </w:p>
        </w:tc>
        <w:tc>
          <w:tcPr>
            <w:tcW w:w="6640" w:type="dxa"/>
            <w:vAlign w:val="bottom"/>
            <w:tcBorders>
              <w:top w:val="single" w:sz="8" w:color="0000EE"/>
            </w:tcBorders>
            <w:gridSpan w:val="5"/>
          </w:tcPr>
          <w:p>
            <w:pPr>
              <w:spacing w:after="0"/>
              <w:rPr>
                <w:rFonts w:ascii="Arial" w:cs="Arial" w:eastAsia="Arial" w:hAnsi="Arial"/>
                <w:sz w:val="18"/>
                <w:szCs w:val="18"/>
                <w:u w:val="single" w:color="auto"/>
                <w:color w:val="0000EE"/>
                <w:w w:val="93"/>
              </w:rPr>
            </w:pPr>
            <w:hyperlink w:anchor="page114">
              <w:r>
                <w:rPr>
                  <w:rFonts w:ascii="Arial" w:cs="Arial" w:eastAsia="Arial" w:hAnsi="Arial"/>
                  <w:sz w:val="18"/>
                  <w:szCs w:val="18"/>
                  <w:u w:val="single" w:color="auto"/>
                  <w:color w:val="0000EE"/>
                  <w:w w:val="93"/>
                </w:rPr>
                <w:t>Section 1350, as adopted pursuant to Section 906 of the Sarbanes-Oxley Act of 2002. ††</w:t>
              </w:r>
            </w:hyperlink>
          </w:p>
        </w:tc>
        <w:tc>
          <w:tcPr>
            <w:tcW w:w="660" w:type="dxa"/>
            <w:vAlign w:val="bottom"/>
            <w:gridSpan w:val="3"/>
          </w:tcPr>
          <w:p>
            <w:pPr>
              <w:spacing w:after="0"/>
              <w:rPr>
                <w:sz w:val="20"/>
                <w:szCs w:val="20"/>
                <w:color w:val="auto"/>
              </w:rPr>
            </w:pPr>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70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Certificate of Matthew M. Partridge, Senior Vice President, Chief Financial Officer and Treasurer,</w:t>
              </w:r>
            </w:hyperlink>
          </w:p>
        </w:tc>
        <w:tc>
          <w:tcPr>
            <w:tcW w:w="22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73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pursuant to 18 U.S.C. Section 1350, as adopted pursuant to Section 906 of the Sarbanes-Oxley Act of</w:t>
              </w:r>
            </w:hyperlink>
          </w:p>
        </w:tc>
      </w:tr>
      <w:tr>
        <w:trPr>
          <w:trHeight w:val="196"/>
        </w:trPr>
        <w:tc>
          <w:tcPr>
            <w:tcW w:w="1460" w:type="dxa"/>
            <w:vAlign w:val="bottom"/>
          </w:tcPr>
          <w:p>
            <w:pPr>
              <w:spacing w:after="0"/>
              <w:rPr>
                <w:sz w:val="17"/>
                <w:szCs w:val="17"/>
                <w:color w:val="auto"/>
              </w:rPr>
            </w:pPr>
          </w:p>
        </w:tc>
        <w:tc>
          <w:tcPr>
            <w:tcW w:w="7300" w:type="dxa"/>
            <w:vAlign w:val="bottom"/>
            <w:gridSpan w:val="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2002. ††</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r>
      <w:tr>
        <w:trPr>
          <w:trHeight w:val="453"/>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73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5"/>
        </w:trPr>
        <w:tc>
          <w:tcPr>
            <w:tcW w:w="1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77"/>
        </w:trPr>
        <w:tc>
          <w:tcPr>
            <w:tcW w:w="1460" w:type="dxa"/>
            <w:vAlign w:val="bottom"/>
          </w:tcPr>
          <w:p>
            <w:pPr>
              <w:ind w:left="20"/>
              <w:spacing w:after="0"/>
              <w:rPr>
                <w:sz w:val="20"/>
                <w:szCs w:val="20"/>
                <w:color w:val="auto"/>
              </w:rPr>
            </w:pPr>
            <w:r>
              <w:rPr>
                <w:rFonts w:ascii="Arial" w:cs="Arial" w:eastAsia="Arial" w:hAnsi="Arial"/>
                <w:sz w:val="18"/>
                <w:szCs w:val="18"/>
                <w:color w:val="auto"/>
              </w:rPr>
              <w:t>† Filed Herewith</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320" w:hanging="270"/>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ALPINE INCOME PROPERTY TRUST, INC.</w:t>
      </w:r>
    </w:p>
    <w:p>
      <w:pPr>
        <w:spacing w:after="0" w:line="225" w:lineRule="exact"/>
        <w:rPr>
          <w:sz w:val="20"/>
          <w:szCs w:val="20"/>
          <w:color w:val="auto"/>
        </w:rPr>
      </w:pPr>
    </w:p>
    <w:p>
      <w:pPr>
        <w:ind w:left="60"/>
        <w:spacing w:after="0"/>
        <w:tabs>
          <w:tab w:leader="none" w:pos="4660" w:val="left"/>
          <w:tab w:leader="none" w:pos="596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457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February 16, 2021    President and Chief Executive Officer (Principal Executive</w:t>
            </w:r>
          </w:p>
        </w:tc>
        <w:tc>
          <w:tcPr>
            <w:tcW w:w="256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Officer), and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ALBRIGHT</w:t>
            </w:r>
          </w:p>
        </w:tc>
      </w:tr>
      <w:tr>
        <w:trPr>
          <w:trHeight w:val="411"/>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February 16, 2021    Senior Vice President and Chief Financial Officer and</w:t>
            </w:r>
          </w:p>
        </w:tc>
        <w:tc>
          <w:tcPr>
            <w:tcW w:w="25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Treasurer (Principal Financial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 PARTRIDGE</w:t>
            </w:r>
          </w:p>
        </w:tc>
      </w:tr>
      <w:tr>
        <w:trPr>
          <w:trHeight w:val="411"/>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February 16, 2021    Vice President and Chief Accounting Officer (Principal</w:t>
            </w:r>
          </w:p>
        </w:tc>
        <w:tc>
          <w:tcPr>
            <w:tcW w:w="2560" w:type="dxa"/>
            <w:vAlign w:val="bottom"/>
          </w:tcPr>
          <w:p>
            <w:pPr>
              <w:spacing w:after="0"/>
              <w:rPr>
                <w:sz w:val="24"/>
                <w:szCs w:val="24"/>
                <w:color w:val="auto"/>
              </w:rPr>
            </w:pPr>
          </w:p>
        </w:tc>
      </w:tr>
      <w:tr>
        <w:trPr>
          <w:trHeight w:val="230"/>
        </w:trPr>
        <w:tc>
          <w:tcPr>
            <w:tcW w:w="150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Accounting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M. VORAKOUN</w:t>
            </w:r>
          </w:p>
        </w:tc>
      </w:tr>
      <w:tr>
        <w:trPr>
          <w:trHeight w:val="426"/>
        </w:trPr>
        <w:tc>
          <w:tcPr>
            <w:tcW w:w="1500" w:type="dxa"/>
            <w:vAlign w:val="bottom"/>
          </w:tcPr>
          <w:p>
            <w:pPr>
              <w:ind w:left="20"/>
              <w:spacing w:after="0"/>
              <w:rPr>
                <w:sz w:val="20"/>
                <w:szCs w:val="20"/>
                <w:color w:val="auto"/>
              </w:rPr>
            </w:pPr>
            <w:r>
              <w:rPr>
                <w:rFonts w:ascii="Arial" w:cs="Arial" w:eastAsia="Arial" w:hAnsi="Arial"/>
                <w:sz w:val="18"/>
                <w:szCs w:val="18"/>
                <w:color w:val="auto"/>
                <w:w w:val="99"/>
              </w:rPr>
              <w:t>February 16, 2021</w:t>
            </w:r>
          </w:p>
        </w:tc>
        <w:tc>
          <w:tcPr>
            <w:tcW w:w="4860" w:type="dxa"/>
            <w:vAlign w:val="bottom"/>
          </w:tcPr>
          <w:p>
            <w:pPr>
              <w:ind w:left="140"/>
              <w:spacing w:after="0"/>
              <w:rPr>
                <w:sz w:val="20"/>
                <w:szCs w:val="20"/>
                <w:color w:val="auto"/>
              </w:rPr>
            </w:pPr>
            <w:r>
              <w:rPr>
                <w:rFonts w:ascii="Arial" w:cs="Arial" w:eastAsia="Arial" w:hAnsi="Arial"/>
                <w:sz w:val="18"/>
                <w:szCs w:val="18"/>
                <w:color w:val="auto"/>
              </w:rPr>
              <w:t>Chairman of the Board,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ANDREW C. RICHARDSON</w:t>
            </w:r>
          </w:p>
        </w:tc>
      </w:tr>
      <w:tr>
        <w:trPr>
          <w:trHeight w:val="425"/>
        </w:trPr>
        <w:tc>
          <w:tcPr>
            <w:tcW w:w="1500" w:type="dxa"/>
            <w:vAlign w:val="bottom"/>
          </w:tcPr>
          <w:p>
            <w:pPr>
              <w:ind w:left="20"/>
              <w:spacing w:after="0"/>
              <w:rPr>
                <w:sz w:val="20"/>
                <w:szCs w:val="20"/>
                <w:color w:val="auto"/>
              </w:rPr>
            </w:pPr>
            <w:r>
              <w:rPr>
                <w:rFonts w:ascii="Arial" w:cs="Arial" w:eastAsia="Arial" w:hAnsi="Arial"/>
                <w:sz w:val="18"/>
                <w:szCs w:val="18"/>
                <w:color w:val="auto"/>
                <w:w w:val="99"/>
              </w:rPr>
              <w:t>February 16, 2021</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 DECKER, JR.</w:t>
            </w:r>
          </w:p>
        </w:tc>
      </w:tr>
      <w:tr>
        <w:trPr>
          <w:trHeight w:val="425"/>
        </w:trPr>
        <w:tc>
          <w:tcPr>
            <w:tcW w:w="1500" w:type="dxa"/>
            <w:vAlign w:val="bottom"/>
          </w:tcPr>
          <w:p>
            <w:pPr>
              <w:ind w:left="20"/>
              <w:spacing w:after="0"/>
              <w:rPr>
                <w:sz w:val="20"/>
                <w:szCs w:val="20"/>
                <w:color w:val="auto"/>
              </w:rPr>
            </w:pPr>
            <w:r>
              <w:rPr>
                <w:rFonts w:ascii="Arial" w:cs="Arial" w:eastAsia="Arial" w:hAnsi="Arial"/>
                <w:sz w:val="18"/>
                <w:szCs w:val="18"/>
                <w:color w:val="auto"/>
                <w:w w:val="99"/>
              </w:rPr>
              <w:t>February 16, 2021</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CARSON GOOD</w:t>
            </w:r>
          </w:p>
        </w:tc>
      </w:tr>
      <w:tr>
        <w:trPr>
          <w:trHeight w:val="425"/>
        </w:trPr>
        <w:tc>
          <w:tcPr>
            <w:tcW w:w="1500" w:type="dxa"/>
            <w:vAlign w:val="bottom"/>
          </w:tcPr>
          <w:p>
            <w:pPr>
              <w:ind w:left="20"/>
              <w:spacing w:after="0"/>
              <w:rPr>
                <w:sz w:val="20"/>
                <w:szCs w:val="20"/>
                <w:color w:val="auto"/>
              </w:rPr>
            </w:pPr>
            <w:r>
              <w:rPr>
                <w:rFonts w:ascii="Arial" w:cs="Arial" w:eastAsia="Arial" w:hAnsi="Arial"/>
                <w:sz w:val="18"/>
                <w:szCs w:val="18"/>
                <w:color w:val="auto"/>
                <w:w w:val="99"/>
              </w:rPr>
              <w:t>February 16, 2021</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YARCKIN</w:t>
            </w:r>
          </w:p>
        </w:tc>
      </w:tr>
      <w:tr>
        <w:trPr>
          <w:trHeight w:val="871"/>
        </w:trPr>
        <w:tc>
          <w:tcPr>
            <w:tcW w:w="1500" w:type="dxa"/>
            <w:vAlign w:val="bottom"/>
          </w:tcPr>
          <w:p>
            <w:pPr>
              <w:spacing w:after="0"/>
              <w:rPr>
                <w:sz w:val="24"/>
                <w:szCs w:val="24"/>
                <w:color w:val="auto"/>
              </w:rPr>
            </w:pPr>
          </w:p>
        </w:tc>
        <w:tc>
          <w:tcPr>
            <w:tcW w:w="4860" w:type="dxa"/>
            <w:vAlign w:val="bottom"/>
          </w:tcPr>
          <w:p>
            <w:pPr>
              <w:ind w:left="2880"/>
              <w:spacing w:after="0"/>
              <w:rPr>
                <w:sz w:val="20"/>
                <w:szCs w:val="20"/>
                <w:color w:val="auto"/>
              </w:rPr>
            </w:pPr>
            <w:r>
              <w:rPr>
                <w:rFonts w:ascii="Arial" w:cs="Arial" w:eastAsia="Arial" w:hAnsi="Arial"/>
                <w:sz w:val="18"/>
                <w:szCs w:val="18"/>
                <w:color w:val="auto"/>
              </w:rPr>
              <w:t>66</w:t>
            </w:r>
          </w:p>
        </w:tc>
        <w:tc>
          <w:tcPr>
            <w:tcW w:w="2560" w:type="dxa"/>
            <w:vAlign w:val="bottom"/>
          </w:tcPr>
          <w:p>
            <w:pPr>
              <w:spacing w:after="0"/>
              <w:rPr>
                <w:sz w:val="24"/>
                <w:szCs w:val="24"/>
                <w:color w:val="auto"/>
              </w:rPr>
            </w:pPr>
          </w:p>
        </w:tc>
      </w:tr>
      <w:tr>
        <w:trPr>
          <w:trHeight w:val="560"/>
        </w:trPr>
        <w:tc>
          <w:tcPr>
            <w:tcW w:w="15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520" w:type="dxa"/>
            <w:vAlign w:val="bottom"/>
            <w:gridSpan w:val="16"/>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Independent Registered Public Accounting Firm</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230"/>
        </w:trPr>
        <w:tc>
          <w:tcPr>
            <w:tcW w:w="8520" w:type="dxa"/>
            <w:vAlign w:val="bottom"/>
            <w:gridSpan w:val="16"/>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December 31, 2020 and 2019</w:t>
              </w:r>
            </w:hyperlink>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16"/>
        </w:trPr>
        <w:tc>
          <w:tcPr>
            <w:tcW w:w="8080" w:type="dxa"/>
            <w:vAlign w:val="bottom"/>
            <w:gridSpan w:val="7"/>
            <w:vMerge w:val="restart"/>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Operations for the year ended December 31, 2020 (the Company) and for the period</w:t>
              </w:r>
            </w:hyperlink>
          </w:p>
        </w:tc>
        <w:tc>
          <w:tcPr>
            <w:tcW w:w="440" w:type="dxa"/>
            <w:vAlign w:val="bottom"/>
            <w:gridSpan w:val="9"/>
            <w:vMerge w:val="restart"/>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080" w:type="dxa"/>
            <w:vAlign w:val="bottom"/>
            <w:tcBorders>
              <w:bottom w:val="single" w:sz="8" w:color="0000EE"/>
            </w:tcBorders>
            <w:gridSpan w:val="7"/>
            <w:vMerge w:val="continue"/>
          </w:tcPr>
          <w:p>
            <w:pPr>
              <w:spacing w:after="0"/>
              <w:rPr>
                <w:sz w:val="15"/>
                <w:szCs w:val="15"/>
                <w:color w:val="auto"/>
              </w:rPr>
            </w:pPr>
          </w:p>
        </w:tc>
        <w:tc>
          <w:tcPr>
            <w:tcW w:w="440" w:type="dxa"/>
            <w:vAlign w:val="bottom"/>
            <w:gridSpan w:val="9"/>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from November 26, 2019 to December 31, 2019 (the Company) and Combined Statements of Operations for the</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8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period from January 1, 2019 to November 25, 2019 (Predecessor) and for the year ended December 31, 2018</w:t>
              </w:r>
            </w:hyperlink>
          </w:p>
        </w:tc>
        <w:tc>
          <w:tcPr>
            <w:tcW w:w="32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(Predecessor)</w:t>
              </w:r>
            </w:hyperlink>
          </w:p>
        </w:tc>
        <w:tc>
          <w:tcPr>
            <w:tcW w:w="6860" w:type="dxa"/>
            <w:vAlign w:val="bottom"/>
            <w:tcBorders>
              <w:top w:val="single" w:sz="8" w:color="0000EE"/>
            </w:tcBorders>
            <w:gridSpan w:val="4"/>
          </w:tcPr>
          <w:p>
            <w:pPr>
              <w:spacing w:after="0"/>
              <w:rPr>
                <w:sz w:val="17"/>
                <w:szCs w:val="17"/>
                <w:color w:val="auto"/>
              </w:rPr>
            </w:pPr>
          </w:p>
        </w:tc>
        <w:tc>
          <w:tcPr>
            <w:tcW w:w="560" w:type="dxa"/>
            <w:vAlign w:val="bottom"/>
            <w:gridSpan w:val="10"/>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Consolidated Statements of Comprehensive Income for the year ended December 31, 2020 (the Company) and for</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0000EE"/>
            </w:tcBorders>
          </w:tcPr>
          <w:p>
            <w:pPr>
              <w:spacing w:after="0"/>
              <w:rPr>
                <w:sz w:val="17"/>
                <w:szCs w:val="17"/>
                <w:color w:val="auto"/>
              </w:rPr>
            </w:pPr>
          </w:p>
        </w:tc>
        <w:tc>
          <w:tcPr>
            <w:tcW w:w="810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the period from November 26, 2019 to December 31, 2019 (the Company) and Combined Statements of</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Comprehensive Income for the period from January 1, 2019 to November 25, 2019 (Predecessor) and for the year</w:t>
              </w:r>
            </w:hyperlink>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ended December 31, 2018 (Predecessor)</w:t>
              </w:r>
            </w:hyperlink>
          </w:p>
        </w:tc>
        <w:tc>
          <w:tcPr>
            <w:tcW w:w="5480" w:type="dxa"/>
            <w:vAlign w:val="bottom"/>
            <w:gridSpan w:val="12"/>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Consolidated Statements of Stockholders’ Equity for the year ended December 31, 2020 (the Company) and for the</w:t>
              </w:r>
            </w:hyperlink>
          </w:p>
        </w:tc>
        <w:tc>
          <w:tcPr>
            <w:tcW w:w="2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period from November 26, 2019 to December 31, 2019 (the Company) and Combined Statements of Stockholders’</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Equity for the period from January 1, 2019 to November 25, 2019 (Predecessor) and for the year ended December</w:t>
              </w:r>
            </w:hyperlink>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31, 2018 (Predecessor)</w:t>
              </w:r>
            </w:hyperlink>
          </w:p>
        </w:tc>
        <w:tc>
          <w:tcPr>
            <w:tcW w:w="6740" w:type="dxa"/>
            <w:vAlign w:val="bottom"/>
            <w:gridSpan w:val="13"/>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Consolidated Statements of Cash Flows for the year ended December 31, 2020 (the Company) and for the period</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80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from November 26, 2019 to December 31, 2019 (the Company) and Combined Statements of Cash Flows for the</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14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period from January 1, 2019 to November 25, 2019 (Predecessor) and for the year ended December 31, 2018</w:t>
              </w:r>
            </w:hyperlink>
          </w:p>
        </w:tc>
        <w:tc>
          <w:tcPr>
            <w:tcW w:w="2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(Predecessor)</w:t>
              </w:r>
            </w:hyperlink>
          </w:p>
        </w:tc>
        <w:tc>
          <w:tcPr>
            <w:tcW w:w="6860" w:type="dxa"/>
            <w:vAlign w:val="bottom"/>
            <w:tcBorders>
              <w:top w:val="single" w:sz="8" w:color="0000EE"/>
            </w:tcBorders>
            <w:gridSpan w:val="4"/>
          </w:tcPr>
          <w:p>
            <w:pPr>
              <w:spacing w:after="0"/>
              <w:rPr>
                <w:sz w:val="17"/>
                <w:szCs w:val="17"/>
                <w:color w:val="auto"/>
              </w:rPr>
            </w:pPr>
          </w:p>
        </w:tc>
        <w:tc>
          <w:tcPr>
            <w:tcW w:w="560" w:type="dxa"/>
            <w:vAlign w:val="bottom"/>
            <w:gridSpan w:val="10"/>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237"/>
        </w:trPr>
        <w:tc>
          <w:tcPr>
            <w:tcW w:w="8520" w:type="dxa"/>
            <w:vAlign w:val="bottom"/>
            <w:gridSpan w:val="16"/>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and Combined Financial Statements</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Alpine Income Property Trust, Inc.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have audited the accompanying consolidated balance sheets of Alpine Income Property Trust, Inc. and subsidiaries (the “Company”) as of December 31, 2020 and 2019, the related consolidated statements of operations, comprehensive income, stockholders’ equity, and cash flows for the year ended December 31, 2020 and for the period from November 26, 2019 to December 31, 2019 (Company) and the combined statements of operations, comprehensive income, stockholders’ equity and cash flows for the period from January 1, 2019 to November 25, 2019 (Predecessor), and for the year ended December 31, 2018 (Predecessor) and the related notes (collectively referred to as the “financial statements”). In our opinion, the financial statements present fairly, in all material respects, the financial position of the Company as of December 31, 2020 and 2019 (Company), and the results of their operations and their cash flows for the year ended December 31, 2020, and for the period from November 26, 2019 to December 31, 2019 (Company), the period from January 1, 2019 to November 25, 2019 (Predecessor), and for the year ended December 31, 2018 (Predecessor), in conformity with accounting principles generally accepted in the United States of America.</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Straight-Line Rent Adjustment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261,590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7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Rent and Deferred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Intangible Lease Liabilities—Net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Preferred Stock, $0.01 par value per share, 100 million shares authorized, no</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shares issued and outstanding as of December 31, 2020 and December 31,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$0.01 par value per share, 500 million shares authorized,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w w:val="99"/>
              </w:rPr>
              <w:t>7,458,755 shares issued and outstanding as of December 31, 2020 and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7,902,737 shares issued and outstanding as of December 31, 2019</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Dividends in Excess of Net Income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(5,713)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126,759</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261,590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80"/>
        <w:spacing w:after="0" w:line="266" w:lineRule="auto"/>
        <w:rPr>
          <w:sz w:val="20"/>
          <w:szCs w:val="20"/>
          <w:color w:val="auto"/>
        </w:rPr>
      </w:pPr>
      <w:r>
        <w:rPr>
          <w:rFonts w:ascii="Arial" w:cs="Arial" w:eastAsia="Arial" w:hAnsi="Arial"/>
          <w:sz w:val="18"/>
          <w:szCs w:val="18"/>
          <w:b w:val="1"/>
          <w:bCs w:val="1"/>
          <w:color w:val="auto"/>
        </w:rPr>
        <w:t>ALPINE INCOME PROPERTY TRUST, INC. CONSOLIDATED AND COMBINED STATEMENTS OF OPERATIONS (In thousands, except share, per share and dividend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from November</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from January</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For the Year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26, 2019 to</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1, 2019 to</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November 25,</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w w:val="97"/>
              </w:rPr>
              <w:t>Net Income (Loss) Attributable to Alpine Income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vMerge w:val="restart"/>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Trust, Inc.</w:t>
            </w:r>
          </w:p>
        </w:tc>
        <w:tc>
          <w:tcPr>
            <w:tcW w:w="1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Income (Loss) Attributable to Alpine Income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w w:val="97"/>
              </w:rPr>
              <w:t>Weighted Average Number of Common Shares: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8,812,203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9,126,591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960"/>
        <w:spacing w:after="0" w:line="275" w:lineRule="auto"/>
        <w:rPr>
          <w:sz w:val="20"/>
          <w:szCs w:val="20"/>
          <w:color w:val="auto"/>
        </w:rPr>
      </w:pPr>
      <w:r>
        <w:rPr>
          <w:rFonts w:ascii="Arial" w:cs="Arial" w:eastAsia="Arial" w:hAnsi="Arial"/>
          <w:sz w:val="18"/>
          <w:szCs w:val="18"/>
          <w:b w:val="1"/>
          <w:bCs w:val="1"/>
          <w:color w:val="auto"/>
        </w:rPr>
        <w:t>ALPINE INCOME PROPERTY TRUST, INC. CONSOLIDATED AND COMBINED STATEMENTS OF COMPREHENSIVE INCOME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 the Period</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 Year</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November</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from January 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26, 2019 to</w:t>
            </w: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2019 to</w:t>
            </w: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November 25,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196"/>
        </w:trPr>
        <w:tc>
          <w:tcPr>
            <w:tcW w:w="36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673"/>
              <w:spacing w:after="0" w:line="196" w:lineRule="exact"/>
              <w:rPr>
                <w:sz w:val="20"/>
                <w:szCs w:val="20"/>
                <w:color w:val="auto"/>
              </w:rPr>
            </w:pPr>
            <w:r>
              <w:rPr>
                <w:rFonts w:ascii="Arial" w:cs="Arial" w:eastAsia="Arial" w:hAnsi="Arial"/>
                <w:sz w:val="18"/>
                <w:szCs w:val="18"/>
                <w:b w:val="1"/>
                <w:bCs w:val="1"/>
                <w:color w:val="auto"/>
              </w:rPr>
              <w:t>The Company</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52"/>
              <w:spacing w:after="0" w:line="196" w:lineRule="exact"/>
              <w:rPr>
                <w:sz w:val="20"/>
                <w:szCs w:val="20"/>
                <w:color w:val="auto"/>
              </w:rPr>
            </w:pPr>
            <w:r>
              <w:rPr>
                <w:rFonts w:ascii="Arial" w:cs="Arial" w:eastAsia="Arial" w:hAnsi="Arial"/>
                <w:sz w:val="18"/>
                <w:szCs w:val="18"/>
                <w:b w:val="1"/>
                <w:bCs w:val="1"/>
                <w:color w:val="auto"/>
              </w:rPr>
              <w:t>Predecessor</w:t>
            </w:r>
          </w:p>
        </w:tc>
      </w:tr>
      <w:tr>
        <w:trPr>
          <w:trHeight w:val="165"/>
        </w:trPr>
        <w:tc>
          <w:tcPr>
            <w:tcW w:w="3600" w:type="dxa"/>
            <w:vAlign w:val="bottom"/>
            <w:shd w:val="clear" w:color="auto" w:fill="CCEEFF"/>
          </w:tcPr>
          <w:p>
            <w:pPr>
              <w:ind w:left="20"/>
              <w:spacing w:after="0" w:line="165" w:lineRule="exact"/>
              <w:rPr>
                <w:sz w:val="20"/>
                <w:szCs w:val="20"/>
                <w:color w:val="auto"/>
              </w:rPr>
            </w:pPr>
            <w:r>
              <w:rPr>
                <w:rFonts w:ascii="Arial" w:cs="Arial" w:eastAsia="Arial" w:hAnsi="Arial"/>
                <w:sz w:val="17"/>
                <w:szCs w:val="17"/>
                <w:color w:val="auto"/>
                <w:w w:val="98"/>
              </w:rPr>
              <w:t>Net Income (Loss) Attributable to Alpine Income</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Trust,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w:t>
            </w:r>
          </w:p>
        </w:tc>
      </w:tr>
      <w:tr>
        <w:trPr>
          <w:trHeight w:val="196"/>
        </w:trPr>
        <w:tc>
          <w:tcPr>
            <w:tcW w:w="360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185"/>
        </w:trPr>
        <w:tc>
          <w:tcPr>
            <w:tcW w:w="360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Cash Flow Hedging Derivative - Interest Rate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0"/>
        </w:trPr>
        <w:tc>
          <w:tcPr>
            <w:tcW w:w="3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Swap</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Loss</w:t>
            </w: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4,015</w:t>
            </w: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020"/>
        <w:spacing w:after="0" w:line="266" w:lineRule="auto"/>
        <w:rPr>
          <w:sz w:val="20"/>
          <w:szCs w:val="20"/>
          <w:color w:val="auto"/>
        </w:rPr>
      </w:pPr>
      <w:r>
        <w:rPr>
          <w:rFonts w:ascii="Arial" w:cs="Arial" w:eastAsia="Arial" w:hAnsi="Arial"/>
          <w:sz w:val="18"/>
          <w:szCs w:val="18"/>
          <w:b w:val="1"/>
          <w:bCs w:val="1"/>
          <w:color w:val="auto"/>
        </w:rPr>
        <w:t>ALPINE INCOME PROPERTY TRUST, INC. CONSOLIDATED AND COMBINED STATEMENTS OF STOCKHOLDERS’ EQUITY (In thousands, except per share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Dividends</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Predecessor</w:t>
            </w:r>
          </w:p>
        </w:tc>
        <w:tc>
          <w:tcPr>
            <w:tcW w:w="6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at</w:t>
            </w: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in Excess of</w:t>
            </w: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Net Income</w:t>
            </w: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3"/>
                <w:szCs w:val="13"/>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24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Balance January 1, 2018</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120,380</w:t>
            </w:r>
          </w:p>
        </w:tc>
        <w:tc>
          <w:tcPr>
            <w:tcW w:w="12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120,380</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120,380</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4,015</w:t>
            </w:r>
          </w:p>
        </w:tc>
      </w:tr>
      <w:tr>
        <w:trPr>
          <w:trHeight w:val="121"/>
        </w:trPr>
        <w:tc>
          <w:tcPr>
            <w:tcW w:w="2460" w:type="dxa"/>
            <w:vAlign w:val="bottom"/>
          </w:tcPr>
          <w:p>
            <w:pPr>
              <w:ind w:left="20"/>
              <w:spacing w:after="0" w:line="121" w:lineRule="exact"/>
              <w:rPr>
                <w:sz w:val="20"/>
                <w:szCs w:val="20"/>
                <w:color w:val="auto"/>
              </w:rPr>
            </w:pPr>
            <w:r>
              <w:rPr>
                <w:rFonts w:ascii="Arial" w:cs="Arial" w:eastAsia="Arial" w:hAnsi="Arial"/>
                <w:sz w:val="13"/>
                <w:szCs w:val="13"/>
                <w:color w:val="auto"/>
              </w:rPr>
              <w:t>Stock Compensation Expense from CTO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3"/>
                <w:szCs w:val="13"/>
                <w:color w:val="auto"/>
              </w:rPr>
              <w:t>Realty Growth, Inc.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232</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8"/>
              </w:rPr>
              <w:t>Net Transactions with CTO Realty Growth,</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r>
      <w:tr>
        <w:trPr>
          <w:trHeight w:val="128"/>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2018</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124,189</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6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124,189</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124,189</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r>
      <w:tr>
        <w:trPr>
          <w:trHeight w:val="121"/>
        </w:trPr>
        <w:tc>
          <w:tcPr>
            <w:tcW w:w="2460" w:type="dxa"/>
            <w:vAlign w:val="bottom"/>
          </w:tcPr>
          <w:p>
            <w:pPr>
              <w:ind w:left="20"/>
              <w:spacing w:after="0" w:line="121" w:lineRule="exact"/>
              <w:rPr>
                <w:sz w:val="20"/>
                <w:szCs w:val="20"/>
                <w:color w:val="auto"/>
              </w:rPr>
            </w:pPr>
            <w:r>
              <w:rPr>
                <w:rFonts w:ascii="Arial" w:cs="Arial" w:eastAsia="Arial" w:hAnsi="Arial"/>
                <w:sz w:val="13"/>
                <w:szCs w:val="13"/>
                <w:color w:val="auto"/>
              </w:rPr>
              <w:t>Stock Compensation Expense from CTO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3"/>
                <w:szCs w:val="13"/>
                <w:color w:val="auto"/>
              </w:rPr>
              <w:t>Realty Growth, Inc.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509</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8"/>
              </w:rPr>
              <w:t>Net Transactions with CTO Realty Growth,</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r>
      <w:tr>
        <w:trPr>
          <w:trHeight w:val="128"/>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November 25, 2019</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ind w:left="6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27"/>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Dividends</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Predecessor</w:t>
            </w:r>
          </w:p>
        </w:tc>
        <w:tc>
          <w:tcPr>
            <w:tcW w:w="6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at</w:t>
            </w: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in Excess of</w:t>
            </w: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Net Income</w:t>
            </w: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3"/>
                <w:szCs w:val="13"/>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24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The Company</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Balance November 26, 2019</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Proceeds from Initial Public Offering</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7"/>
              </w:rPr>
              <w:t>142,425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142,500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142,500</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Private Placement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7,501</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Operating Units Issued</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23,253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23,253</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Payment of Initial Public Offering</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Costs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(11,978)</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(11,978)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(11,978)</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($0.058 per share)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w:t>
            </w:r>
          </w:p>
        </w:tc>
      </w:tr>
      <w:tr>
        <w:trPr>
          <w:trHeight w:val="129"/>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137,948</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(498)</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6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137,529</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23,176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160,705</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1,146</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(5,010)</w:t>
            </w: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(5,014)</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(5,014)</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Payment of Shelf Registration and ATM</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Costs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($0.82 per share)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(6,200)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(6,200)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(7,203)</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r>
      <w:tr>
        <w:trPr>
          <w:trHeight w:val="128"/>
        </w:trPr>
        <w:tc>
          <w:tcPr>
            <w:tcW w:w="24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132,878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Arial" w:cs="Arial" w:eastAsia="Arial" w:hAnsi="Arial"/>
                <w:sz w:val="13"/>
                <w:szCs w:val="13"/>
                <w:color w:val="auto"/>
                <w:w w:val="85"/>
              </w:rPr>
              <w:t>(481)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126,759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149,093</w:t>
            </w: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8"/>
          <w:szCs w:val="18"/>
          <w:b w:val="1"/>
          <w:bCs w:val="1"/>
          <w:color w:val="auto"/>
        </w:rPr>
        <w:t>ALPINE INCOME PROPERTY TRUST, INC. CONSOLIDATED AND COMBINED STATEMENTS OF CASH FLOWS (In thousands)</w:t>
      </w: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For the Period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from November</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from January 1,</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26, 2019 to</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2019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November 25,</w:t>
            </w: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31, 2018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648"/>
              <w:spacing w:after="0" w:line="142" w:lineRule="exact"/>
              <w:rPr>
                <w:sz w:val="20"/>
                <w:szCs w:val="20"/>
                <w:color w:val="auto"/>
              </w:rPr>
            </w:pPr>
            <w:r>
              <w:rPr>
                <w:rFonts w:ascii="Arial" w:cs="Arial" w:eastAsia="Arial" w:hAnsi="Arial"/>
                <w:sz w:val="14"/>
                <w:szCs w:val="14"/>
                <w:b w:val="1"/>
                <w:bCs w:val="1"/>
                <w:color w:val="auto"/>
              </w:rPr>
              <w:t>The Company</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728"/>
              <w:spacing w:after="0" w:line="142" w:lineRule="exact"/>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Cash Flow from Operating Activities: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9"/>
              </w:rPr>
              <w:t>Adjustments to Reconcile Net Income to Net Cash Provided by</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6"/>
              </w:rPr>
              <w:t>Amortization of Intangible Lease Assets and Liabilities to Lease</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Amortization of Deferred Loan Costs to Interest Expense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Amortization of Deferred Expenses to Lease Income</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Gain on Disposition of Assets</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Compensation</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Decrease (Increase) in Assets: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Straight-Line Rent Adjustment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(1,524)</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COVID-19 Rent Deferrals, Net</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Expenses</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(830)</w:t>
            </w: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Increase (Decrease) in Liabilities: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 Accrued Expenses, and Other Liabilities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Rent and Deferred Revenue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5"/>
                <w:szCs w:val="15"/>
                <w:color w:val="auto"/>
              </w:rPr>
              <w:t>Net Cash Provided By Operating Activities</w:t>
            </w: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9,394</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1,362</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7,546</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Cash Flow from Investing Activities: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w w:val="98"/>
              </w:rPr>
              <w:t>Acquisition of Real Estate, Including Capitalized Expenditures</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(118,808)</w:t>
            </w: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(125,919)</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(27,001)</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Disposition of Assets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5"/>
                <w:szCs w:val="15"/>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(113,875)</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(125,919)</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(27,001)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Cash Flow from Financing Activities: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Draws on Credit Facility</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Payments on Credit Facility</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(8,691)</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Repurchase of Common Stock</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(5,014)</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Received from Initial Public Offering</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Cash Received from Private Placement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Paid for Initial Public Offering Transaction Costs</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(11,978)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Cash Paid for Shelf Registration and ATM Transaction Costs</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Net Transactions with CTO Realty Growth, Inc.</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Cash Paid for Loan Fees</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Dividends Paid</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(7,203)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5"/>
                <w:szCs w:val="15"/>
                <w:color w:val="auto"/>
              </w:rPr>
              <w:t>Net Cash Provided By (Used In) Financing Activities</w:t>
            </w: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94,033</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136,899</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19,447</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20"/>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5"/>
                <w:szCs w:val="15"/>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Supplemental Disclosure of Cash Flow Information:</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line="162" w:lineRule="exact"/>
              <w:rPr>
                <w:sz w:val="20"/>
                <w:szCs w:val="20"/>
                <w:color w:val="auto"/>
              </w:rPr>
            </w:pPr>
            <w:r>
              <w:rPr>
                <w:rFonts w:ascii="Arial" w:cs="Arial" w:eastAsia="Arial" w:hAnsi="Arial"/>
                <w:sz w:val="15"/>
                <w:szCs w:val="15"/>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20"/>
              <w:spacing w:after="0" w:line="149" w:lineRule="exact"/>
              <w:rPr>
                <w:sz w:val="20"/>
                <w:szCs w:val="20"/>
                <w:color w:val="auto"/>
              </w:rPr>
            </w:pPr>
            <w:r>
              <w:rPr>
                <w:rFonts w:ascii="Arial" w:cs="Arial" w:eastAsia="Arial" w:hAnsi="Arial"/>
                <w:sz w:val="15"/>
                <w:szCs w:val="15"/>
                <w:color w:val="auto"/>
                <w:w w:val="99"/>
              </w:rPr>
              <w:t>Supplemental Disclosure of Non-Cash Investing and Financing</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Arial" w:cs="Arial" w:eastAsia="Arial" w:hAnsi="Arial"/>
                <w:sz w:val="15"/>
                <w:szCs w:val="15"/>
                <w:color w:val="auto"/>
              </w:rPr>
              <w:t>Activities: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Unrealized Loss on Cash Flow Hedge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20"/>
              <w:spacing w:after="0" w:line="149" w:lineRule="exact"/>
              <w:rPr>
                <w:sz w:val="20"/>
                <w:szCs w:val="20"/>
                <w:color w:val="auto"/>
              </w:rPr>
            </w:pPr>
            <w:r>
              <w:rPr>
                <w:rFonts w:ascii="Arial" w:cs="Arial" w:eastAsia="Arial" w:hAnsi="Arial"/>
                <w:sz w:val="15"/>
                <w:szCs w:val="15"/>
                <w:color w:val="auto"/>
                <w:w w:val="98"/>
              </w:rPr>
              <w:t>Contribution of OP Units in Exchange for Predecessor Income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120"/>
              <w:spacing w:after="0"/>
              <w:rPr>
                <w:sz w:val="20"/>
                <w:szCs w:val="20"/>
                <w:color w:val="auto"/>
              </w:rPr>
            </w:pPr>
            <w:r>
              <w:rPr>
                <w:rFonts w:ascii="Arial" w:cs="Arial" w:eastAsia="Arial" w:hAnsi="Arial"/>
                <w:sz w:val="15"/>
                <w:szCs w:val="15"/>
                <w:color w:val="auto"/>
              </w:rPr>
              <w:t>Properties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23,253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 xml:space="preserve">ALPINE INCOME PROPERTY TRUST, INC. NOTES TO CONSOLIDATED AND COMBINED FINANCIAL STATEMENTS </w:t>
      </w:r>
      <w:r>
        <w:rPr>
          <w:rFonts w:ascii="Arial" w:cs="Arial" w:eastAsia="Arial" w:hAnsi="Arial"/>
          <w:sz w:val="18"/>
          <w:szCs w:val="18"/>
          <w:color w:val="auto"/>
        </w:rPr>
        <w:t>December 31, 2020, 2019 and 2018</w:t>
      </w:r>
    </w:p>
    <w:p>
      <w:pPr>
        <w:spacing w:after="0" w:line="17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single-tenant commercial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portfolio consists of 48 single-tenant, primarily net leased, retail and office properties located in 34 markets in 18 states. All of the properties in our portfolio are subject to long-term, primarily triple-net leases, which generally require the tenant to pay all of the property operating expenses such as real estate taxes, insurance, assessments and other governmental fees, utilities, repairs and maintenance and certain capital expenditures. See Note 17, “Subsequent Events”, for information related to the single-tenant income properties acquired subsequent to December 31, 2020.</w:t>
      </w:r>
    </w:p>
    <w:p>
      <w:pPr>
        <w:spacing w:after="0" w:line="16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operating company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$142.5 million Offering was CTO’s purchase of 421,053 shares of our common stock for $8.0 million, representing a cash investment by CTO of $15.5 million. A total of $125.9 million of proceeds from the Offering were utilized to acquire 15 properties in our initial portfolio from CTO. The remaining five properties in our initial portfolio were contributed by CTO in exchange for 1,223,854 units of the operating partnership (the “OP Units”) for a value of $23.3 million based on the IPO Price. The Company incurred a total of $12.0 million of transaction costs, which included underwriting fees of $9.4 million. Upon completion of the Offering, the concurrent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6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2020, we have a total ownership interest in the Operating Partnership of 85.9%, with CTO holding, directly and indirectly, a 14.1%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The Board manages our business and affairs.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has elected to be taxed as a real estate investment trust (“REIT”) for U.S. federal income tax purposes under the Internal Revenue Code of 1986, as amended (the “Internal Revenue Code”) commencing with its short taxable year beginning on November 26, 2019 and ending on December 31, 2019.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 See Item 7, “Management’s Discussion and Analysis of Financial Condition and Results of Operations” for the Company’s disclosure related to the potential cash flow impact as well as Note 3, “Summary of Significant Accounting Policies” for the accounting treatment of lease modifications associated with tenant rent relief requests due to the COVID-19 Pandemic.</w:t>
      </w:r>
    </w:p>
    <w:p>
      <w:pPr>
        <w:spacing w:after="0" w:line="19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 AND PRINCIPLES OF CONSOLIDATION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For the periods prior to November 26, 2019, the accompanying combined financial statements of Alpine Income Property Trust Predecessor (the “Predecessor”) do not represent the financial position and results of operations of one legal entity, but rather a combination of entities under common control that have been “carved out” from CTO’s consolidated financial statements. Historically, financial statements of the Predecessor have not been prepared as it has not operated separately from CTO. These combined financial statements reflect the revenues and expenses of the Predecessor and include certain material assets and liabilities of CTO that are specifically identifiable and generated through, or associated with, an in-place net lease, which have been reflected at CTO’s historical basis.</w:t>
      </w:r>
    </w:p>
    <w:p>
      <w:pPr>
        <w:spacing w:after="0" w:line="17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For periods subsequent to November 26, 2019, the accompanying consolidated financial statements represent the consolidated statements of Alpine Income Property Trust, Inc. together with our consolidated subsidiaries. As a result of the Company’s acquisitions of the initial portfolio from CTO, the consolidated financial statements subsequent to November 26, 2019 are presented on a new basis of accounting pursuant to Accounting Standards Codification (“ASC”) 805-10,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preparation of these consolidated and combined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combined financial statements for the periods prior to November 26, 2019 include an allocation of general and administrative expenses to the Predecessor from CTO. In addition, general and administrative expenses include an allocation of the costs of certain CTO corporate functions, including executive oversight, treasury, finance, human resources, tax compliance and planning, internal audit, financial reporting, information technology and investor relations. General and administrative expenses (including stock-based compensation) represent a pro rata allocation of costs from CTO based on the revenues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of the Predecessor as a percentage of CTO’s total revenue. The Company believes the allocation methodology for general and administrative expenses is reasonable. However, the allocated general and administrative expense presented in our combined statements of operations for historical periods does not necessarily reflect what our general and administrative expenses will be as a stand-alone public company for future reporting periods. Additionally, most of the Predecessor entities included in CTO’s financial statements did not have separately established bank accounts for the periods presented, and most cash transactions were historically transacted through bank accounts owned by CTO. The combined statements of cash flows for the periods presented were prepared as if operating, investing, and financing transactions had been transacted through separate bank accounts of the Predecessor. The combined financial statements include, on a carve-out basis, the historical balance sheets and statements of operations and cash flows attributed to the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 periods subsequent to November 26, 2019, the consolidated financial statements include the accounts of the Company, its wholly owned subsidiaries, and other entities in which we have a controlling interest. All significant inter-company balances and transactions have been eliminated in the consolidated financial statements. For periods prior to November 26, 2019, the combined financial statements include, on a carve-out basis, the historical balance sheets and statements of operations and cash flows of the Predecessor.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ASC Topic 280, Segment Reporting, establishes standards related to the manner in which enterprises report operating segment information. The Company is primarily in the business of acquiring and managing retail real estate which is considered to be one reporting segment. The Company has no other reportable segments. The Company’s chief executive officer, who is the chief operating decision maker, reviews financial information on an aggregate basis for purposes of allocating and evaluating financial performance.</w:t>
      </w:r>
    </w:p>
    <w:p>
      <w:pPr>
        <w:spacing w:after="0" w:line="18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3.</w:t>
        <w:tab/>
        <w:t>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Company’s real estate assets are primarily comprised of the income properties in its portfolio, and are stated at cost, less accumulated depreciation and amortization. Such income properties are depreciated on a straight-line basis over their estimated useful lives. Renewals and betterments are capitalized to the applicable income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 ended December 31, 2020, the period from November 26, 2019 to December 31, 2019, the Predecessor period from January 1, 2019 to November 25, 2019, and the Predecessor year ended December 31, 2018, was $6.2 million, $0.4 million, $3.2 million, and $3.2 million,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Company follows Financial Accounting Standards Board (“FASB”) ASC Topic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in conducting its impairment analyses. The Company reviews the recoverability of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00"/>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2"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both the Company and the Predecessor amortize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income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2020, the Company recorded an allowance for doubtful accounts of $0.1 million. As of December 31, 2019, and 2018, no allowance for doubtful accounts was required.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TAX</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Sales tax collected on lease payments is recognized as a liability in the accompanying consolidated balance sheets when collected. The liability is reduced at the time payment is remitted to the applicable taxing authority.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December 31, 2020 and 2019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EXPENSES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2020, the Company’s long-term debt includes deferred financing costs associated with the Company’s Credit Facility. These costs are amortized on a straight-line basis over the term of the Credit Facility and are included in interest expense in the Company’s accompanying consolidated and combined statements of operations. As of December 31, 2019, these costs are reflected as deferred expenses on the accompanying consolidated balance sheet as there was no outstanding debt as of December 31,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Effective April 30, 2020, in conjunction with the variable-rate Credit Facility (hereinafter defined in Note 9, “Long-Term Debt”), the Company entered into an Interest Rate Swap to fix the interest rate on $50.0 million of the outstanding Credit Facility balance (the “Interest Rate Swap”). The Company accounts for its cash flow hedging derivative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Interest Rate Swap’s value at each balance sheet date, the derivative is included in either other assets or accounts payable, accrued expenses, and other liabilities on the consolidated balance sheet at its fair value. On the date the Interest Rate Swap was entered into, the Company designated the derivative as a hedge of the variability of cash flows to be paid related to the recognized long-term debt liabilities.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formally documented the relationship between the hedging instrument and the hedged item, as well as its risk-management objective and strategy for undertaking the hedge transaction. At the Interest Rate Swap’s inception, the Company formally assessed whether the derivative that is used in hedging the transaction is highly effective in offsetting changes in cash flows of the hedged item, and we will continue to do so on an ongoing basis. As the terms of the Interest Rate Swap and the associated debt are identical, the hedging instrument qualifies for the shortcut method, therefore, it is assumed that there is no hedge ineffectiveness throughout the entire term of the hedging instrument.</w:t>
      </w:r>
    </w:p>
    <w:p>
      <w:pPr>
        <w:spacing w:after="0" w:line="16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fair value of the hedging instrument that are highly effective and designated and qualified as cash-flow hedge are recorded in other comprehensive income and loss until earnings are affected by the variability in cash flows of the designated hedged item.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and other liabilities at December 31, 2020 and December 31, 2019, approximate fair value because of the short maturity of these instruments. The carrying value of the Credit Facility approximates current market rates for revolving credit arrangements with similar risks and maturities.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00" w:hanging="32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700" w:right="79" w:hanging="326"/>
        <w:spacing w:after="0" w:line="24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4" w:lineRule="exact"/>
        <w:rPr>
          <w:rFonts w:ascii="Arial" w:cs="Arial" w:eastAsia="Arial" w:hAnsi="Arial"/>
          <w:sz w:val="18"/>
          <w:szCs w:val="18"/>
          <w:color w:val="auto"/>
        </w:rPr>
      </w:pPr>
    </w:p>
    <w:p>
      <w:pPr>
        <w:jc w:val="both"/>
        <w:ind w:left="700" w:right="79" w:hanging="326"/>
        <w:spacing w:after="0" w:line="24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EARNINGS PER COMMON SHARE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is computed by dividing net income attributable to the Company for the period by the weighted average number of shares outstanding for the period. Diluted earnings per common share is based on the assumption that the OP Units issued to CTO in the Formation Transactions are exchanged for shares of our common stock on a one-for-one basis.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commencing with its short taxable year beginning on November 26, 2019 and ending on December 31, 2019. The Company believes that, commencing with such short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December 31, 2020, the Company has issued restricted shares of common stock pursuant to the Equity Incentive Plan.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and combined statements of operations. Award forfeitures are accounted for in the period in which they occur.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Certain of the tenants in the portfolio of 48 single-tenant properties accounted for more than 10% of total revenues during the year ended December 31, 2020, the period from November 26, 2019 to December 31, 2019, the Predecessor period from January 1, 2019 to November 25, 2019, and the Predecessor year ended December 31, 2018.</w:t>
      </w:r>
    </w:p>
    <w:p>
      <w:pPr>
        <w:spacing w:after="0" w:line="14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2020, the properties leased to Wells Fargo Bank and Hilton Grand Vacations represented 19% and 12% of total revenues, respectively. During the period from November 26, 2019 to December 31, 2019 and the Predecessor period from January 1, 2019 to November 25, 2019, the properties leased to Wells Fargo Bank and Hilton Grand Vacations represented 26% and 17% of total revenues, respectively. During the Predecessor year ended December 31, 2018, the properties leased to Wells Fargo Bank and Hilton Grand Vacations represented 31% and 18% of total revenues, respectively.</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December 31, 2020 and 2019, 13% and 24%, respectively, of the Company’s real estate portfolio, based on square footage, was located in the State of Oregon. As of December 31, 2020 and 2019, 17% and 29%, respectively, of the Company’s real estate portfolio, based on square footage, was located in the State of Florida. Additionally, as of December 31, 2020, individually more than 10% of the Company’s real estate portfolio, based on square footage, was located in the States of North Carolina and Michigan. As of December 31, 2019, more than 10% of the Company’s real estate portfolio, based on square footage, was located in the states of Georgia and North Carolina. Uncertainty of the duration of a prolonged real estate and economic downturn could have an adverse impact on the Company’s real estate values.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Cessation of LIBOR</w:t>
      </w:r>
      <w:r>
        <w:rPr>
          <w:rFonts w:ascii="Arial" w:cs="Arial" w:eastAsia="Arial" w:hAnsi="Arial"/>
          <w:sz w:val="17"/>
          <w:szCs w:val="17"/>
          <w:color w:val="auto"/>
        </w:rPr>
        <w:t>. In January 2021, the FASB issued ASU 2021-01 which is in response to concerns about structural</w:t>
      </w:r>
      <w:r>
        <w:rPr>
          <w:rFonts w:ascii="Arial" w:cs="Arial" w:eastAsia="Arial" w:hAnsi="Arial"/>
          <w:sz w:val="17"/>
          <w:szCs w:val="17"/>
          <w:i w:val="1"/>
          <w:iCs w:val="1"/>
          <w:color w:val="auto"/>
        </w:rPr>
        <w:t xml:space="preserve"> </w:t>
      </w:r>
      <w:r>
        <w:rPr>
          <w:rFonts w:ascii="Arial" w:cs="Arial" w:eastAsia="Arial" w:hAnsi="Arial"/>
          <w:sz w:val="17"/>
          <w:szCs w:val="17"/>
          <w:color w:val="auto"/>
        </w:rPr>
        <w:t>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it’s Interest Rate Swap (hereinafter defined) meets the scope of Topic 848-10-15-3A and therefore, Company will be able to continue to apply a perfectly effective assessment method by electing the corresponding optional expedient for subsequent assessments.</w:t>
      </w:r>
    </w:p>
    <w:p>
      <w:pPr>
        <w:spacing w:after="0" w:line="18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Lease Modifications. </w:t>
      </w:r>
      <w:r>
        <w:rPr>
          <w:rFonts w:ascii="Arial" w:cs="Arial" w:eastAsia="Arial" w:hAnsi="Arial"/>
          <w:sz w:val="16"/>
          <w:szCs w:val="16"/>
          <w:color w:val="auto"/>
        </w:rPr>
        <w:t>In April 2020, the FASB issued interpretive guidance relating to the accounting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concessions provided as a result of the COVID-19 Pandemic. In this guidance, entities can elect not to apply lease modification accounting with respect to such lease concessions and, instead, treat the concession as if it was a part of the existing contract. This guidance is only applicable to lease concessions related to the COVID-19 Pandemic that do not result in a substantial increase in the rights of the lessor or the obligations of the lessee. As of and for the year ended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December 31, 2020, the Company elected to not apply lease modification accounting with respect to rent deferrals as the concessions were related to COVID-19 and there was not a substantial increase in the lessor’s rights under the lease agreement. Accordingly, for leases in which deferred rent agreements were reached, the Company has continued to account for the lease by recognizing the normal straight-line rental income and as the deferred rents are repaid by the tenant, the straight-line receivable will be reduced. The portion of the straight-line adjustment related to COVID-19 concessions has been reflected separately in the Company’s statement of cash flows for the year ended December 31, 2020. With respect to rent abatement agreements, lease modification accounting applies as an extended term was a part of such agreements, accordingly the Company re-calculated straight-line rental income for such leases to recognize over the new lease term.</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ASC Topic 842, Leases. </w:t>
      </w:r>
      <w:r>
        <w:rPr>
          <w:rFonts w:ascii="Arial" w:cs="Arial" w:eastAsia="Arial" w:hAnsi="Arial"/>
          <w:sz w:val="16"/>
          <w:szCs w:val="16"/>
          <w:color w:val="auto"/>
        </w:rPr>
        <w:t>In February 2016, the FASB issued ASU 2016-02, which requires entities to recognize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liabilities that arise from financing and operating leases and to classify those finance and operating lease payments in the financing or operating sections, respectively, of the statement of cash flows pursuant to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The amendments in this update are effective for annual reporting periods beginning after December 15, 2018.</w:t>
      </w:r>
    </w:p>
    <w:p>
      <w:pPr>
        <w:spacing w:after="0" w:line="157"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 xml:space="preserve">During the Company’s and Predecessor’s evaluation of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the following practical expedients and accounting policies with respect to ASC 842 were elected and/or adopted effective January 1, 2019:</w:t>
      </w:r>
    </w:p>
    <w:p>
      <w:pPr>
        <w:spacing w:after="0" w:line="38" w:lineRule="exact"/>
        <w:rPr>
          <w:sz w:val="20"/>
          <w:szCs w:val="20"/>
          <w:color w:val="auto"/>
        </w:rPr>
      </w:pPr>
    </w:p>
    <w:p>
      <w:pPr>
        <w:ind w:left="700" w:right="79" w:hanging="326"/>
        <w:spacing w:after="0" w:line="342"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as lessor, will not reassess (i) whether any expired or existing contracts are or contain leases (ii) lease classification for any expired or existing leases or (iii) initial direct costs for any expired or existing leases.</w:t>
      </w:r>
    </w:p>
    <w:p>
      <w:pPr>
        <w:spacing w:after="0" w:line="15" w:lineRule="exact"/>
        <w:rPr>
          <w:rFonts w:ascii="Arial" w:cs="Arial" w:eastAsia="Arial" w:hAnsi="Arial"/>
          <w:sz w:val="16"/>
          <w:szCs w:val="16"/>
          <w:color w:val="auto"/>
        </w:rPr>
      </w:pPr>
    </w:p>
    <w:p>
      <w:pPr>
        <w:jc w:val="both"/>
        <w:ind w:left="700" w:right="79" w:hanging="326"/>
        <w:spacing w:after="0" w:line="275"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Company, as lessor, will not separate nonlease components from lease components and, instead, will account for each separate lease component and the nonlease components associated with that lease as a single component if the nonlease components otherwise would be accounted for under ASC Topic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primary reason for this election is related to instances where common area maintenance is,</w:t>
      </w:r>
      <w:r>
        <w:rPr>
          <w:rFonts w:ascii="Arial" w:cs="Arial" w:eastAsia="Arial" w:hAnsi="Arial"/>
          <w:sz w:val="17"/>
          <w:szCs w:val="17"/>
          <w:i w:val="1"/>
          <w:iCs w:val="1"/>
          <w:color w:val="auto"/>
        </w:rPr>
        <w:t xml:space="preserve"> </w:t>
      </w:r>
      <w:r>
        <w:rPr>
          <w:rFonts w:ascii="Arial" w:cs="Arial" w:eastAsia="Arial" w:hAnsi="Arial"/>
          <w:sz w:val="17"/>
          <w:szCs w:val="17"/>
          <w:color w:val="auto"/>
        </w:rPr>
        <w:t>or may be, a component of base rent within a lease agreement.</w:t>
      </w: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4.</w:t>
        <w:tab/>
        <w:t>INCOME PROPERTY PORTFOLIO</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of December 31, 2020, the Company’s income property portfolio consisted of 48 single-tenant properties with 1.6 million total square feet. See Note 17, “Subsequent Events”, for information related to the single-tenant income properties acquired subsequent to December 31, 2020.</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Leasing revenue consists of long-term rental revenue from retail and office income properties, which is recognized as earned, using the straight-line method over the life of each lease.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income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For the Period from</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For the Year Ended</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26, 2019</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For the Period from</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 December 31,</w:t>
            </w: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January 1, 2019 to</w:t>
            </w: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For the Year Ended</w:t>
            </w:r>
          </w:p>
        </w:tc>
      </w:tr>
      <w:tr>
        <w:trPr>
          <w:trHeight w:val="234"/>
        </w:trPr>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November 25, 2019</w:t>
            </w:r>
          </w:p>
        </w:tc>
        <w:tc>
          <w:tcPr>
            <w:tcW w:w="120" w:type="dxa"/>
            <w:vAlign w:val="bottom"/>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December 31, 2018</w:t>
            </w:r>
          </w:p>
        </w:tc>
      </w:tr>
      <w:tr>
        <w:trPr>
          <w:trHeight w:val="196"/>
        </w:trPr>
        <w:tc>
          <w:tcPr>
            <w:tcW w:w="2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970"/>
              <w:spacing w:after="0" w:line="196" w:lineRule="exact"/>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620"/>
              <w:spacing w:after="0" w:line="196" w:lineRule="exact"/>
              <w:rPr>
                <w:sz w:val="20"/>
                <w:szCs w:val="20"/>
                <w:color w:val="auto"/>
              </w:rPr>
            </w:pPr>
            <w:r>
              <w:rPr>
                <w:rFonts w:ascii="Arial" w:cs="Arial" w:eastAsia="Arial" w:hAnsi="Arial"/>
                <w:sz w:val="18"/>
                <w:szCs w:val="18"/>
                <w:b w:val="1"/>
                <w:bCs w:val="1"/>
                <w:color w:val="auto"/>
              </w:rPr>
              <w:t>Predecessor</w:t>
            </w:r>
          </w:p>
        </w:tc>
        <w:tc>
          <w:tcPr>
            <w:tcW w:w="840" w:type="dxa"/>
            <w:vAlign w:val="bottom"/>
            <w:tcBorders>
              <w:bottom w:val="single" w:sz="8" w:color="auto"/>
            </w:tcBorders>
          </w:tcPr>
          <w:p>
            <w:pPr>
              <w:spacing w:after="0"/>
              <w:rPr>
                <w:sz w:val="17"/>
                <w:szCs w:val="17"/>
                <w:color w:val="auto"/>
              </w:rPr>
            </w:pPr>
          </w:p>
        </w:tc>
      </w:tr>
      <w:tr>
        <w:trPr>
          <w:trHeight w:val="196"/>
        </w:trPr>
        <w:tc>
          <w:tcPr>
            <w:tcW w:w="2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Income</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34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10,779</w:t>
            </w:r>
          </w:p>
        </w:tc>
      </w:tr>
      <w:tr>
        <w:trPr>
          <w:trHeight w:val="216"/>
        </w:trPr>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10"/>
        </w:trPr>
        <w:tc>
          <w:tcPr>
            <w:tcW w:w="234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percentage rent and other lease payments that are not fixed and determinable, having remaining terms in excess of one year as of December 31, 2020,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tcPr>
          <w:p>
            <w:pPr>
              <w:spacing w:after="0"/>
              <w:rPr>
                <w:sz w:val="20"/>
                <w:szCs w:val="20"/>
                <w:color w:val="auto"/>
              </w:rPr>
            </w:pPr>
          </w:p>
        </w:tc>
        <w:tc>
          <w:tcPr>
            <w:tcW w:w="1780" w:type="dxa"/>
            <w:vAlign w:val="bottom"/>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20,974</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20,675</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20,825</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20,351</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19,824</w:t>
            </w:r>
          </w:p>
        </w:tc>
      </w:tr>
      <w:tr>
        <w:trPr>
          <w:trHeight w:val="216"/>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74,894</w:t>
            </w:r>
          </w:p>
        </w:tc>
      </w:tr>
      <w:tr>
        <w:trPr>
          <w:trHeight w:val="209"/>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177,543</w:t>
            </w:r>
          </w:p>
        </w:tc>
      </w:tr>
      <w:tr>
        <w:trPr>
          <w:trHeight w:val="20"/>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See Note 3, “Summary of Significant Accounting Policies” for the accounting treatment of potential lease modifications associated with tenant rent relief requests due to the COVID-19 Pandemic and Item 7, “Management’s Discussion and Analysis of Financial Condition and Results of Operations” for the amount of such rent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2020 Activity. </w:t>
      </w:r>
      <w:r>
        <w:rPr>
          <w:rFonts w:ascii="Arial" w:cs="Arial" w:eastAsia="Arial" w:hAnsi="Arial"/>
          <w:sz w:val="17"/>
          <w:szCs w:val="17"/>
          <w:color w:val="auto"/>
        </w:rPr>
        <w:t>During the year ended December 31, 2020, the Company acquired 29 single-tenant income properties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a purchase price of $116.6 million, or an acquisition cost of $117.7 million including capitalized acquisition costs. The acquisitions made during the year ended December 31, 2020 were accounted for as asset acquisitions. Of the total acquisition cost, $30.3 million was allocated to land, $70.0 million was allocated to buildings and improvements, $19.1 million was allocated to intangible assets pertaining to the in-place lease value, leasing fees, and above market lease value, and $1.7 million was allocated to intangible liabilities for the below market lease value. The weighted average amortization period for the intangible assets and liabilities was 10.1 years at acquisition.</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single-tenant net lease income properties acquired during the year ended December 31, 2020 are described below:</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Purchase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Property</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840" w:type="dxa"/>
            <w:vAlign w:val="bottom"/>
            <w:gridSpan w:val="2"/>
          </w:tcPr>
          <w:p>
            <w:pPr>
              <w:ind w:left="700"/>
              <w:spacing w:after="0"/>
              <w:rPr>
                <w:sz w:val="20"/>
                <w:szCs w:val="20"/>
                <w:color w:val="auto"/>
              </w:rPr>
            </w:pPr>
            <w:r>
              <w:rPr>
                <w:rFonts w:ascii="Arial" w:cs="Arial" w:eastAsia="Arial" w:hAnsi="Arial"/>
                <w:sz w:val="16"/>
                <w:szCs w:val="16"/>
                <w:b w:val="1"/>
                <w:bCs w:val="1"/>
                <w:color w:val="auto"/>
              </w:rPr>
              <w:t>Tenant Description</w:t>
            </w: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Property Location</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Acquisition</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Square-Feet</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($000's)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7-Eleven</w:t>
            </w: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Austin,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1/13/2020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7-Eleven</w:t>
            </w:r>
          </w:p>
        </w:tc>
        <w:tc>
          <w:tcPr>
            <w:tcW w:w="1740" w:type="dxa"/>
            <w:vAlign w:val="bottom"/>
            <w:gridSpan w:val="2"/>
          </w:tcPr>
          <w:p>
            <w:pPr>
              <w:spacing w:after="0"/>
              <w:rPr>
                <w:sz w:val="20"/>
                <w:szCs w:val="20"/>
                <w:color w:val="auto"/>
              </w:rPr>
            </w:pPr>
            <w:r>
              <w:rPr>
                <w:rFonts w:ascii="Arial" w:cs="Arial" w:eastAsia="Arial" w:hAnsi="Arial"/>
                <w:sz w:val="16"/>
                <w:szCs w:val="16"/>
                <w:color w:val="auto"/>
              </w:rPr>
              <w:t>Georgetown, TX</w:t>
            </w:r>
          </w:p>
        </w:tc>
        <w:tc>
          <w:tcPr>
            <w:tcW w:w="900" w:type="dxa"/>
            <w:vAlign w:val="bottom"/>
          </w:tcPr>
          <w:p>
            <w:pPr>
              <w:spacing w:after="0"/>
              <w:rPr>
                <w:sz w:val="20"/>
                <w:szCs w:val="20"/>
                <w:color w:val="auto"/>
              </w:rPr>
            </w:pPr>
            <w:r>
              <w:rPr>
                <w:rFonts w:ascii="Arial" w:cs="Arial" w:eastAsia="Arial" w:hAnsi="Arial"/>
                <w:sz w:val="16"/>
                <w:szCs w:val="16"/>
                <w:color w:val="auto"/>
              </w:rPr>
              <w:t>1/13/2020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Conn's HomePlus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Hurst, TX</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1/10/2020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Lehigh Gas Wholesale Services, Inc.</w:t>
            </w:r>
          </w:p>
        </w:tc>
        <w:tc>
          <w:tcPr>
            <w:tcW w:w="1740" w:type="dxa"/>
            <w:vAlign w:val="bottom"/>
            <w:gridSpan w:val="2"/>
          </w:tcPr>
          <w:p>
            <w:pPr>
              <w:spacing w:after="0"/>
              <w:rPr>
                <w:sz w:val="20"/>
                <w:szCs w:val="20"/>
                <w:color w:val="auto"/>
              </w:rPr>
            </w:pPr>
            <w:r>
              <w:rPr>
                <w:rFonts w:ascii="Arial" w:cs="Arial" w:eastAsia="Arial" w:hAnsi="Arial"/>
                <w:sz w:val="16"/>
                <w:szCs w:val="16"/>
                <w:color w:val="auto"/>
              </w:rPr>
              <w:t>Highland Heights, KY</w:t>
            </w:r>
          </w:p>
        </w:tc>
        <w:tc>
          <w:tcPr>
            <w:tcW w:w="900" w:type="dxa"/>
            <w:vAlign w:val="bottom"/>
          </w:tcPr>
          <w:p>
            <w:pPr>
              <w:spacing w:after="0"/>
              <w:rPr>
                <w:sz w:val="20"/>
                <w:szCs w:val="20"/>
                <w:color w:val="auto"/>
              </w:rPr>
            </w:pPr>
            <w:r>
              <w:rPr>
                <w:rFonts w:ascii="Arial" w:cs="Arial" w:eastAsia="Arial" w:hAnsi="Arial"/>
                <w:sz w:val="16"/>
                <w:szCs w:val="16"/>
                <w:color w:val="auto"/>
              </w:rPr>
              <w:t>2/03/2020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Multi-Cinema, Inc.</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Tyngsborough, MA</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2/19/2020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spacing w:after="0"/>
              <w:rPr>
                <w:sz w:val="20"/>
                <w:szCs w:val="20"/>
                <w:color w:val="auto"/>
              </w:rPr>
            </w:pPr>
            <w:r>
              <w:rPr>
                <w:rFonts w:ascii="Arial" w:cs="Arial" w:eastAsia="Arial" w:hAnsi="Arial"/>
                <w:sz w:val="16"/>
                <w:szCs w:val="16"/>
                <w:color w:val="auto"/>
              </w:rPr>
              <w:t>Tulsa, OK</w:t>
            </w:r>
          </w:p>
        </w:tc>
        <w:tc>
          <w:tcPr>
            <w:tcW w:w="900" w:type="dxa"/>
            <w:vAlign w:val="bottom"/>
          </w:tcPr>
          <w:p>
            <w:pPr>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 John Silver's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Tulsa, OK</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2/28/2020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Old Time Pottery</w:t>
            </w:r>
          </w:p>
        </w:tc>
        <w:tc>
          <w:tcPr>
            <w:tcW w:w="1740" w:type="dxa"/>
            <w:vAlign w:val="bottom"/>
            <w:gridSpan w:val="2"/>
          </w:tcPr>
          <w:p>
            <w:pPr>
              <w:spacing w:after="0"/>
              <w:rPr>
                <w:sz w:val="20"/>
                <w:szCs w:val="20"/>
                <w:color w:val="auto"/>
              </w:rPr>
            </w:pPr>
            <w:r>
              <w:rPr>
                <w:rFonts w:ascii="Arial" w:cs="Arial" w:eastAsia="Arial" w:hAnsi="Arial"/>
                <w:sz w:val="16"/>
                <w:szCs w:val="16"/>
                <w:color w:val="auto"/>
              </w:rPr>
              <w:t>Orange Park, FL</w:t>
            </w:r>
          </w:p>
        </w:tc>
        <w:tc>
          <w:tcPr>
            <w:tcW w:w="900" w:type="dxa"/>
            <w:vAlign w:val="bottom"/>
          </w:tcPr>
          <w:p>
            <w:pPr>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Freddy's Frozen Custard</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Orange Park, FL</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2/28/2020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spacing w:after="0"/>
              <w:rPr>
                <w:sz w:val="20"/>
                <w:szCs w:val="20"/>
                <w:color w:val="auto"/>
              </w:rPr>
            </w:pPr>
            <w:r>
              <w:rPr>
                <w:rFonts w:ascii="Arial" w:cs="Arial" w:eastAsia="Arial" w:hAnsi="Arial"/>
                <w:sz w:val="16"/>
                <w:szCs w:val="16"/>
                <w:color w:val="auto"/>
              </w:rPr>
              <w:t>Arden, NC</w:t>
            </w:r>
          </w:p>
        </w:tc>
        <w:tc>
          <w:tcPr>
            <w:tcW w:w="900" w:type="dxa"/>
            <w:vAlign w:val="bottom"/>
          </w:tcPr>
          <w:p>
            <w:pPr>
              <w:spacing w:after="0"/>
              <w:rPr>
                <w:sz w:val="20"/>
                <w:szCs w:val="20"/>
                <w:color w:val="auto"/>
              </w:rPr>
            </w:pPr>
            <w:r>
              <w:rPr>
                <w:rFonts w:ascii="Arial" w:cs="Arial" w:eastAsia="Arial" w:hAnsi="Arial"/>
                <w:sz w:val="16"/>
                <w:szCs w:val="16"/>
                <w:color w:val="auto"/>
              </w:rPr>
              <w:t>6/24/2020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7,987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Walmart</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Howell, MI</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6/30/2020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Advanced Auto Parts</w:t>
            </w:r>
          </w:p>
        </w:tc>
        <w:tc>
          <w:tcPr>
            <w:tcW w:w="1740" w:type="dxa"/>
            <w:vAlign w:val="bottom"/>
            <w:gridSpan w:val="2"/>
          </w:tcPr>
          <w:p>
            <w:pPr>
              <w:spacing w:after="0"/>
              <w:rPr>
                <w:sz w:val="20"/>
                <w:szCs w:val="20"/>
                <w:color w:val="auto"/>
              </w:rPr>
            </w:pPr>
            <w:r>
              <w:rPr>
                <w:rFonts w:ascii="Arial" w:cs="Arial" w:eastAsia="Arial" w:hAnsi="Arial"/>
                <w:sz w:val="16"/>
                <w:szCs w:val="16"/>
                <w:color w:val="auto"/>
              </w:rPr>
              <w:t>Severn, MD</w:t>
            </w:r>
          </w:p>
        </w:tc>
        <w:tc>
          <w:tcPr>
            <w:tcW w:w="900" w:type="dxa"/>
            <w:vAlign w:val="bottom"/>
          </w:tcPr>
          <w:p>
            <w:pPr>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Heuvelton, NY</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Winthrop, NY</w:t>
            </w:r>
          </w:p>
        </w:tc>
        <w:tc>
          <w:tcPr>
            <w:tcW w:w="900" w:type="dxa"/>
            <w:vAlign w:val="bottom"/>
          </w:tcPr>
          <w:p>
            <w:pPr>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Salem, NY</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Harrisville, NY</w:t>
            </w:r>
          </w:p>
        </w:tc>
        <w:tc>
          <w:tcPr>
            <w:tcW w:w="900" w:type="dxa"/>
            <w:vAlign w:val="bottom"/>
          </w:tcPr>
          <w:p>
            <w:pPr>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Newtonsville, OH</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Hammond, NY</w:t>
            </w:r>
          </w:p>
        </w:tc>
        <w:tc>
          <w:tcPr>
            <w:tcW w:w="900" w:type="dxa"/>
            <w:vAlign w:val="bottom"/>
          </w:tcPr>
          <w:p>
            <w:pPr>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Barker, NY</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Chazy, NY</w:t>
            </w:r>
          </w:p>
        </w:tc>
        <w:tc>
          <w:tcPr>
            <w:tcW w:w="900" w:type="dxa"/>
            <w:vAlign w:val="bottom"/>
          </w:tcPr>
          <w:p>
            <w:pPr>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Milford, ME</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9/21/2020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Limestone, ME</w:t>
            </w:r>
          </w:p>
        </w:tc>
        <w:tc>
          <w:tcPr>
            <w:tcW w:w="900" w:type="dxa"/>
            <w:vAlign w:val="bottom"/>
          </w:tcPr>
          <w:p>
            <w:pPr>
              <w:spacing w:after="0"/>
              <w:rPr>
                <w:sz w:val="20"/>
                <w:szCs w:val="20"/>
                <w:color w:val="auto"/>
              </w:rPr>
            </w:pPr>
            <w:r>
              <w:rPr>
                <w:rFonts w:ascii="Arial" w:cs="Arial" w:eastAsia="Arial" w:hAnsi="Arial"/>
                <w:sz w:val="16"/>
                <w:szCs w:val="16"/>
                <w:color w:val="auto"/>
              </w:rPr>
              <w:t>9/21/2020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Bingham, ME</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9/21/2020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Willis, TX</w:t>
            </w:r>
          </w:p>
        </w:tc>
        <w:tc>
          <w:tcPr>
            <w:tcW w:w="900" w:type="dxa"/>
            <w:vAlign w:val="bottom"/>
          </w:tcPr>
          <w:p>
            <w:pPr>
              <w:spacing w:after="0"/>
              <w:rPr>
                <w:sz w:val="20"/>
                <w:szCs w:val="20"/>
                <w:color w:val="auto"/>
              </w:rPr>
            </w:pPr>
            <w:r>
              <w:rPr>
                <w:rFonts w:ascii="Arial" w:cs="Arial" w:eastAsia="Arial" w:hAnsi="Arial"/>
                <w:sz w:val="16"/>
                <w:szCs w:val="16"/>
                <w:color w:val="auto"/>
              </w:rPr>
              <w:t>9/23/2020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Somerville, TX</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9/23/2020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Odessa, TX</w:t>
            </w:r>
          </w:p>
        </w:tc>
        <w:tc>
          <w:tcPr>
            <w:tcW w:w="900" w:type="dxa"/>
            <w:vAlign w:val="bottom"/>
          </w:tcPr>
          <w:p>
            <w:pPr>
              <w:spacing w:after="0"/>
              <w:rPr>
                <w:sz w:val="20"/>
                <w:szCs w:val="20"/>
                <w:color w:val="auto"/>
              </w:rPr>
            </w:pPr>
            <w:r>
              <w:rPr>
                <w:rFonts w:ascii="Arial" w:cs="Arial" w:eastAsia="Arial" w:hAnsi="Arial"/>
                <w:sz w:val="16"/>
                <w:szCs w:val="16"/>
                <w:color w:val="auto"/>
              </w:rPr>
              <w:t>9/30/2020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Kermit, TX</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11/9/2020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Kohl's</w:t>
            </w:r>
          </w:p>
        </w:tc>
        <w:tc>
          <w:tcPr>
            <w:tcW w:w="1740" w:type="dxa"/>
            <w:vAlign w:val="bottom"/>
            <w:gridSpan w:val="2"/>
          </w:tcPr>
          <w:p>
            <w:pPr>
              <w:spacing w:after="0"/>
              <w:rPr>
                <w:sz w:val="20"/>
                <w:szCs w:val="20"/>
                <w:color w:val="auto"/>
              </w:rPr>
            </w:pPr>
            <w:r>
              <w:rPr>
                <w:rFonts w:ascii="Arial" w:cs="Arial" w:eastAsia="Arial" w:hAnsi="Arial"/>
                <w:sz w:val="16"/>
                <w:szCs w:val="16"/>
                <w:color w:val="auto"/>
              </w:rPr>
              <w:t>Glendale, AZ</w:t>
            </w:r>
          </w:p>
        </w:tc>
        <w:tc>
          <w:tcPr>
            <w:tcW w:w="900" w:type="dxa"/>
            <w:vAlign w:val="bottom"/>
          </w:tcPr>
          <w:p>
            <w:pPr>
              <w:spacing w:after="0"/>
              <w:rPr>
                <w:sz w:val="20"/>
                <w:szCs w:val="20"/>
                <w:color w:val="auto"/>
              </w:rPr>
            </w:pPr>
            <w:r>
              <w:rPr>
                <w:rFonts w:ascii="Arial" w:cs="Arial" w:eastAsia="Arial" w:hAnsi="Arial"/>
                <w:sz w:val="16"/>
                <w:szCs w:val="16"/>
                <w:color w:val="auto"/>
              </w:rPr>
              <w:t>12/11/2020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Walgreens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Tacoma, WA</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12/18/2020</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ind w:left="940"/>
              <w:spacing w:after="0"/>
              <w:rPr>
                <w:sz w:val="20"/>
                <w:szCs w:val="20"/>
                <w:color w:val="auto"/>
              </w:rPr>
            </w:pPr>
            <w:r>
              <w:rPr>
                <w:rFonts w:ascii="Arial" w:cs="Arial" w:eastAsia="Arial" w:hAnsi="Arial"/>
                <w:sz w:val="16"/>
                <w:szCs w:val="16"/>
                <w:color w:val="auto"/>
                <w:w w:val="99"/>
              </w:rPr>
              <w:t>Total / Weighted Average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786,898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116,633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September 25, 2020, the Company sold its single-tenant income property, classified as held for sale as of June 30, 2020, leased to Outback Steakhouse located in Charlottesville, Virginia, for total disposition volume of $5.1 million, reflecting an exit cap rate of 5.8%. The Company’s gain on the sale was $0.3 million, or $0.03 per diluted share.</w:t>
      </w:r>
    </w:p>
    <w:p>
      <w:pPr>
        <w:spacing w:after="0" w:line="14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Period from November 26, 2019 to December 31, 2019 Activity. </w:t>
      </w:r>
      <w:r>
        <w:rPr>
          <w:rFonts w:ascii="Arial" w:cs="Arial" w:eastAsia="Arial" w:hAnsi="Arial"/>
          <w:sz w:val="17"/>
          <w:szCs w:val="17"/>
          <w:color w:val="auto"/>
        </w:rPr>
        <w:t>On November 26, 2019, the Company closed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public offering. The Company used $125.9 million of the net proceeds from the Offering to acquire 15 of the 20 properties in the Company’s initial portfolio from CTO, or the Predecessor. The remaining five properties in the Company’s initial portfolio were contributed by CTO in exchange for 1,223,854 OP Units of the Operating Partnership for a value of $23.3 million based on the public offering price of $19.00 per share. The Company accounted for the 20-property initial portfolio acquisition as a business combination and recorded the assets and liabilities acquired at their fair value in accordance with the provisions of ASC 805-10, </w:t>
      </w:r>
      <w:r>
        <w:rPr>
          <w:rFonts w:ascii="Arial" w:cs="Arial" w:eastAsia="Arial" w:hAnsi="Arial"/>
          <w:sz w:val="17"/>
          <w:szCs w:val="17"/>
          <w:i w:val="1"/>
          <w:iCs w:val="1"/>
          <w:color w:val="auto"/>
        </w:rPr>
        <w:t>Business Combinations</w:t>
      </w:r>
      <w:r>
        <w:rPr>
          <w:rFonts w:ascii="Arial" w:cs="Arial" w:eastAsia="Arial" w:hAnsi="Arial"/>
          <w:sz w:val="17"/>
          <w:szCs w:val="17"/>
          <w:color w:val="auto"/>
        </w:rPr>
        <w:t>. No income properties were disposed of during the period from November 26, 2019 to December 31, 2019.</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96"/>
        <w:spacing w:after="0" w:line="277" w:lineRule="auto"/>
        <w:rPr>
          <w:sz w:val="20"/>
          <w:szCs w:val="20"/>
          <w:color w:val="auto"/>
        </w:rPr>
      </w:pPr>
      <w:r>
        <w:rPr>
          <w:rFonts w:ascii="Arial" w:cs="Arial" w:eastAsia="Arial" w:hAnsi="Arial"/>
          <w:sz w:val="18"/>
          <w:szCs w:val="18"/>
          <w:color w:val="auto"/>
        </w:rPr>
        <w:t>In connection with the accounting of the 20-property initial portfolio acquisition as a business combination, the purchase consideration was calculated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November 26, 2019</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 Units Issued (number of units)</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1,223,854</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Company's IPO Price per Share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r>
      <w:tr>
        <w:trPr>
          <w:trHeight w:val="20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 Unit Consideration Paid for Initial Portfolio</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23,253,230</w:t>
            </w: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Cash Consideration Paid for Initial Portfolio</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125,918,773</w:t>
            </w: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 Paid for Initial Portfolio</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149,172,003</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utilized valuations by a third party valuation specialist as the basis for determining the allocation of the determined fair value of the asset group to the individual tangible and intangible assets and liabilities. The fair value of the total purchase consideration was allocated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November 26, 2019</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at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54,386,511</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Building and Improvements, at cost</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74,070,181</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22,648,727</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Lease Liabilities</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(1,933,416)</w:t>
            </w: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149,172,003</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the Initial Portfolio was completed on January 1, 2018. The unaudited pro forma financial information includes adjustments for (i) depreciation on acquired building and improvements of approximately $4.3 million for the pro forma years ended 2019 and 2018; (ii) amortization of intangible lease assets and intangible lease liabilities recorded at the date of the transactions of approximately $2.7 million for the pro forma years ended 2019 and 2018; and (iii) the elimination of acquisition related costs of approximately $216,000. This information is presented for informational purposes only and does not purport to be indicative of the results of future operations or the results that would have occurred had the transaction taken place on January 1, 2018:</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For the Years Ended December 31,</w:t>
            </w:r>
          </w:p>
        </w:tc>
      </w:tr>
      <w:tr>
        <w:trPr>
          <w:trHeight w:val="209"/>
        </w:trPr>
        <w:tc>
          <w:tcPr>
            <w:tcW w:w="5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Total Revenues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13,963,945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14,023,566</w:t>
            </w:r>
          </w:p>
        </w:tc>
      </w:tr>
      <w:tr>
        <w:trPr>
          <w:trHeight w:val="202"/>
        </w:trPr>
        <w:tc>
          <w:tcPr>
            <w:tcW w:w="5120" w:type="dxa"/>
            <w:vAlign w:val="bottom"/>
          </w:tcPr>
          <w:p>
            <w:pPr>
              <w:ind w:left="20"/>
              <w:spacing w:after="0" w:line="201" w:lineRule="exact"/>
              <w:rPr>
                <w:sz w:val="20"/>
                <w:szCs w:val="20"/>
                <w:color w:val="auto"/>
              </w:rPr>
            </w:pPr>
            <w:r>
              <w:rPr>
                <w:rFonts w:ascii="Arial" w:cs="Arial" w:eastAsia="Arial" w:hAnsi="Arial"/>
                <w:sz w:val="18"/>
                <w:szCs w:val="18"/>
                <w:color w:val="auto"/>
              </w:rPr>
              <w:t>Unaudited Pro Forma Net Income Attributable to Alpine Income</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759,512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723,274</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Basic Net Income per Share</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Unaudited Pro Forma Diluted Net Income per Share</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Funds from Operations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7,825,645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7,789,407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Unaudited Pro Form Adjusted Funds from Operations</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7,437,723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7,345,549</w:t>
            </w:r>
          </w:p>
        </w:tc>
      </w:tr>
    </w:tbl>
    <w:p>
      <w:pPr>
        <w:spacing w:after="0" w:line="20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Period from January 1, 2019 to November 25, 2019 Predecessor Activity. </w:t>
      </w:r>
      <w:r>
        <w:rPr>
          <w:rFonts w:ascii="Arial" w:cs="Arial" w:eastAsia="Arial" w:hAnsi="Arial"/>
          <w:sz w:val="16"/>
          <w:szCs w:val="16"/>
          <w:color w:val="auto"/>
        </w:rPr>
        <w:t>During the period from January 1,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25, 2019, Predecessor acquired five single-tenant net lease income properties for an aggregate purchase price of $26.8 million, or an aggregate acquisition cost of $27.0 million including capitalized acquisition costs. The acquisitions made during the period from January 1, 2019 to November 25, 2019 were accounted for as asset acquisitions. Of the total acquisition cost, $10.0 million was allocated to land, $13.8 million was allocated to buildings and improvements, $3.6 million was allocated to intangible assets pertaining to the in-place lease value, leasing costs, and above market lease value, and $0.4 million was allocated to intangible liabilities for the below market lease value. The weighted average amortization period for the intangible assets and liabilities was 10.6 years at acquisition.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income properties were disposed of during the period from January 1, 2019 to November 25,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2018 Predecessor Activity. </w:t>
      </w:r>
      <w:r>
        <w:rPr>
          <w:rFonts w:ascii="Arial" w:cs="Arial" w:eastAsia="Arial" w:hAnsi="Arial"/>
          <w:sz w:val="16"/>
          <w:szCs w:val="16"/>
          <w:color w:val="auto"/>
        </w:rPr>
        <w:t>During the year ended December 31, 2018, the Predecessor acquired two single-tenant net</w:t>
      </w:r>
      <w:r>
        <w:rPr>
          <w:rFonts w:ascii="Arial" w:cs="Arial" w:eastAsia="Arial" w:hAnsi="Arial"/>
          <w:sz w:val="16"/>
          <w:szCs w:val="16"/>
          <w:i w:val="1"/>
          <w:iCs w:val="1"/>
          <w:color w:val="auto"/>
        </w:rPr>
        <w:t xml:space="preserve"> </w:t>
      </w:r>
      <w:r>
        <w:rPr>
          <w:rFonts w:ascii="Arial" w:cs="Arial" w:eastAsia="Arial" w:hAnsi="Arial"/>
          <w:sz w:val="16"/>
          <w:szCs w:val="16"/>
          <w:color w:val="auto"/>
        </w:rPr>
        <w:t>lease properties, for an aggregate acquisition cost of $5.1 million, including capitalized acquisition costs. The acquisitions made during the year ended December 31, 2018 were accounted for as asset acquisitions. Of the total acquisition cost, $4.7 million was allocated to land, $0.6 million was allocated to intangible assets pertaining to the in-place lease value, leasing costs and above market lease value, and $0.2 million was allocated to intangible liabilities for the below market lease value. The weighted average amortization period for the intangible assets and liabilities was 18.6 years at acquisition. No income properties were disposed of during the year ended December 31, 2018.</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carrying value and estimated fair value of the Company’s financial instruments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December 31, 2019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30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Estimated</w:t>
            </w:r>
          </w:p>
        </w:tc>
        <w:tc>
          <w:tcPr>
            <w:tcW w:w="2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20" w:type="dxa"/>
            <w:vAlign w:val="bottom"/>
          </w:tcPr>
          <w:p>
            <w:pPr>
              <w:spacing w:after="0"/>
              <w:rPr>
                <w:sz w:val="18"/>
                <w:szCs w:val="18"/>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106,159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106,159</w:t>
            </w:r>
          </w:p>
        </w:tc>
        <w:tc>
          <w:tcPr>
            <w:tcW w:w="1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following table presents the fair value of assets measured on a recurring basis by Level as of December 31, 2020, 2020. There were no assets or liabilities measured on a recurring basis by Level as of December 31, 2019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2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Active Markets</w:t>
            </w: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Identical</w:t>
            </w: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Observable Inputs</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12/31/2020</w:t>
            </w:r>
          </w:p>
        </w:tc>
        <w:tc>
          <w:tcPr>
            <w:tcW w:w="20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Assets (Level 1)</w:t>
            </w:r>
          </w:p>
        </w:tc>
        <w:tc>
          <w:tcPr>
            <w:tcW w:w="24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(Level 3)</w:t>
            </w: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878"/>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F-19</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6.</w:t>
        <w:tab/>
        <w:t>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December 31, 2020 and 2019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2020</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Value of In-Place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27,494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14,479</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w:t>
            </w:r>
          </w:p>
        </w:tc>
        <w:tc>
          <w:tcPr>
            <w:tcW w:w="20" w:type="dxa"/>
            <w:vAlign w:val="bottom"/>
          </w:tcPr>
          <w:p>
            <w:pPr>
              <w:spacing w:after="0"/>
              <w:rPr>
                <w:sz w:val="18"/>
                <w:szCs w:val="18"/>
                <w:color w:val="auto"/>
              </w:rPr>
            </w:pPr>
          </w:p>
        </w:tc>
      </w:tr>
      <w:tr>
        <w:trPr>
          <w:trHeight w:val="21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Sub-total Intangible Lease Assets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22,649</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20" w:type="dxa"/>
            <w:vAlign w:val="bottom"/>
          </w:tcPr>
          <w:p>
            <w:pPr>
              <w:spacing w:after="0"/>
              <w:rPr>
                <w:sz w:val="18"/>
                <w:szCs w:val="18"/>
                <w:color w:val="auto"/>
              </w:rPr>
            </w:pPr>
          </w:p>
        </w:tc>
      </w:tr>
      <w:tr>
        <w:trPr>
          <w:trHeight w:val="209"/>
        </w:trPr>
        <w:tc>
          <w:tcPr>
            <w:tcW w:w="5180" w:type="dxa"/>
            <w:vAlign w:val="bottom"/>
          </w:tcPr>
          <w:p>
            <w:pPr>
              <w:ind w:left="220"/>
              <w:spacing w:after="0"/>
              <w:rPr>
                <w:sz w:val="20"/>
                <w:szCs w:val="20"/>
                <w:color w:val="auto"/>
              </w:rPr>
            </w:pPr>
            <w:r>
              <w:rPr>
                <w:rFonts w:ascii="Arial" w:cs="Arial" w:eastAsia="Arial" w:hAnsi="Arial"/>
                <w:sz w:val="18"/>
                <w:szCs w:val="18"/>
                <w:color w:val="auto"/>
              </w:rPr>
              <w:t>Intangible Lease Liabilities: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Below Market In-Place Leases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(3,674)</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18"/>
                <w:szCs w:val="18"/>
                <w:color w:val="auto"/>
              </w:rPr>
            </w:pPr>
          </w:p>
        </w:tc>
      </w:tr>
      <w:tr>
        <w:trPr>
          <w:trHeight w:val="209"/>
        </w:trPr>
        <w:tc>
          <w:tcPr>
            <w:tcW w:w="5180" w:type="dxa"/>
            <w:vAlign w:val="bottom"/>
          </w:tcPr>
          <w:p>
            <w:pPr>
              <w:ind w:left="120"/>
              <w:spacing w:after="0"/>
              <w:rPr>
                <w:sz w:val="20"/>
                <w:szCs w:val="20"/>
                <w:color w:val="auto"/>
              </w:rPr>
            </w:pPr>
            <w:r>
              <w:rPr>
                <w:rFonts w:ascii="Arial" w:cs="Arial" w:eastAsia="Arial" w:hAnsi="Arial"/>
                <w:sz w:val="18"/>
                <w:szCs w:val="18"/>
                <w:color w:val="auto"/>
              </w:rPr>
              <w:t>Sub-total Intangible Lease Liabilities</w:t>
            </w: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 and Liabilities—Net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 xml:space="preserve">The balances as of December 31, 2019 represent the Predecessor’s historical allocation of fair value of the 20 properties, representing the initial portfolio, of which values were adjusted based their fair values as determined on November 26, 2019, the acquisition date, in accordance with the provisions of ASC 805-10,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following table reflects the net amortization of intangible assets and liabilities during the year ended December 31, 2020, the period from November 26, 2019 to December 31, 2019, the Predecessor period from January 1, 2019 to November 25, 2019, and the Predecessor year ended December 31, 2018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Period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Year</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from November</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from January 1,</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26, 2019 to</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2019 to</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November 25,</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Ended December</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31, 2018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10"/>
              <w:spacing w:after="0" w:line="196" w:lineRule="exact"/>
              <w:rPr>
                <w:sz w:val="20"/>
                <w:szCs w:val="20"/>
                <w:color w:val="auto"/>
              </w:rPr>
            </w:pPr>
            <w:r>
              <w:rPr>
                <w:rFonts w:ascii="Arial" w:cs="Arial" w:eastAsia="Arial" w:hAnsi="Arial"/>
                <w:sz w:val="18"/>
                <w:szCs w:val="18"/>
                <w:b w:val="1"/>
                <w:bCs w:val="1"/>
                <w:color w:val="auto"/>
              </w:rPr>
              <w:t>The Company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90"/>
              <w:spacing w:after="0" w:line="196" w:lineRule="exact"/>
              <w:rPr>
                <w:sz w:val="20"/>
                <w:szCs w:val="20"/>
                <w:color w:val="auto"/>
              </w:rPr>
            </w:pPr>
            <w:r>
              <w:rPr>
                <w:rFonts w:ascii="Arial" w:cs="Arial" w:eastAsia="Arial" w:hAnsi="Arial"/>
                <w:sz w:val="18"/>
                <w:szCs w:val="18"/>
                <w:b w:val="1"/>
                <w:bCs w:val="1"/>
                <w:color w:val="auto"/>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w w:val="93"/>
              </w:rPr>
              <w:t>Increase to Income Properties Revenue</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Amortization of Intangible Assets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Liabilities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Future Accretion to</w:t>
            </w: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 Property</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4,533</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11,594</w:t>
            </w:r>
          </w:p>
        </w:tc>
      </w:tr>
      <w:tr>
        <w:trPr>
          <w:trHeight w:val="210"/>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2020, the weighted average amortization period of both the total intangible assets and liabilities was 9.1 years.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7.   OTHER ASSETS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14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(in thousands):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18"/>
                <w:szCs w:val="18"/>
                <w:color w:val="auto"/>
              </w:rPr>
            </w:pPr>
          </w:p>
        </w:tc>
      </w:tr>
      <w:tr>
        <w:trPr>
          <w:trHeight w:val="209"/>
        </w:trPr>
        <w:tc>
          <w:tcPr>
            <w:tcW w:w="514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Tenant Receivables—Net </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Accrued Unbilled Tenant Receivables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Deposits on Acquisitions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and Deposits - Other</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As of December 31, 2020, includes $0.1 million allowance for doubtful accounts.</w:t>
      </w:r>
    </w:p>
    <w:p>
      <w:pPr>
        <w:spacing w:after="0" w:line="21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Due to CTO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Accrual for Tenant Improvement</w:t>
            </w:r>
          </w:p>
        </w:tc>
        <w:tc>
          <w:tcPr>
            <w:tcW w:w="120" w:type="dxa"/>
            <w:vAlign w:val="bottom"/>
          </w:tcPr>
          <w:p>
            <w:pPr>
              <w:spacing w:after="0"/>
              <w:rPr>
                <w:sz w:val="18"/>
                <w:szCs w:val="18"/>
                <w:color w:val="auto"/>
              </w:rPr>
            </w:pP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5180" w:type="dxa"/>
            <w:vAlign w:val="bottom"/>
            <w:gridSpan w:val="2"/>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As of December 31, 2019, includes less than $0.1 million dividends declared and payable of $0.058 per share on the 1,223,854 OP Units due to CTO.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9.</w:t>
        <w:tab/>
        <w:t>LONG-TERM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the Company’s outstanding indebtedness, at face value, was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Face Value Debt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60" w:type="dxa"/>
            <w:vAlign w:val="bottom"/>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center"/>
              <w:ind w:right="350"/>
              <w:spacing w:after="0" w:line="230" w:lineRule="exact"/>
              <w:rPr>
                <w:sz w:val="20"/>
                <w:szCs w:val="20"/>
                <w:color w:val="auto"/>
              </w:rPr>
            </w:pPr>
            <w:r>
              <w:rPr>
                <w:rFonts w:ascii="Arial" w:cs="Arial" w:eastAsia="Arial" w:hAnsi="Arial"/>
                <w:sz w:val="18"/>
                <w:szCs w:val="18"/>
                <w:color w:val="auto"/>
              </w:rPr>
              <w:t xml:space="preserve">1.35% - 1.95% </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r>
      <w:tr>
        <w:trPr>
          <w:trHeight w:val="20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160" w:type="dxa"/>
            <w:vAlign w:val="bottom"/>
          </w:tcPr>
          <w:p>
            <w:pPr>
              <w:spacing w:after="0"/>
              <w:rPr>
                <w:sz w:val="18"/>
                <w:szCs w:val="18"/>
                <w:color w:val="auto"/>
              </w:rPr>
            </w:pPr>
          </w:p>
        </w:tc>
        <w:tc>
          <w:tcPr>
            <w:tcW w:w="2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achieve a fixed interest rate of 0.48% plus the applicable spread on $50.0 million of the outstanding balance on the Credit Facility.</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November 26, 2019,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Agreement”) with a group of lenders for a senior unsecured revolving credit facility (the “Credit Facility”) in the maximum aggregate initial original principal amount of up to $100.0 million and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October 16, 2020, the Company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Pursuant to the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Agreement. The Credit Facility also accrues a fee of 15 to 25 basis points for any unused portion of the borrowing capacity based on whether the unused portion is greater or less than 50% of the total borrowing capacity.</w:t>
      </w:r>
    </w:p>
    <w:p>
      <w:pPr>
        <w:spacing w:after="0" w:line="161" w:lineRule="exact"/>
        <w:rPr>
          <w:sz w:val="20"/>
          <w:szCs w:val="20"/>
          <w:color w:val="auto"/>
        </w:rPr>
      </w:pPr>
    </w:p>
    <w:p>
      <w:pPr>
        <w:jc w:val="both"/>
        <w:ind w:left="60" w:right="59" w:firstLine="381"/>
        <w:spacing w:after="0" w:line="271" w:lineRule="auto"/>
        <w:rPr>
          <w:sz w:val="20"/>
          <w:szCs w:val="20"/>
          <w:color w:val="auto"/>
        </w:rPr>
      </w:pPr>
      <w:r>
        <w:rPr>
          <w:rFonts w:ascii="Arial" w:cs="Arial" w:eastAsia="Arial" w:hAnsi="Arial"/>
          <w:sz w:val="17"/>
          <w:szCs w:val="17"/>
          <w:color w:val="auto"/>
        </w:rPr>
        <w:t>The Operating Partnership is subject to customary restrictive covenants under the Credit Facility, including, but not limited to, limitations on the Operating Partnership’s ability to: (a) incur indebtedness; (b) make certain investments; (c) incur certain liens; (d) engage in certain affiliate transactions; and (e) engage in certain major transactions such as mergers. The Credit Facility also contains financial covenants covering the Operating Partnership, including but not limited to, tangible net worth and fixed charge coverage ratios. In addition, the Operating Partnership is subject to additional financial maintenance covenants as described in the Credit Agreement. On June 30, 2020, the Company and the Operating Partnership entered into the first amendment to the Credit Agreement with the lenders whereby the tangible net worth covenant was adjusted to be more reflective of market terms.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2020, the current commitment level under the Credit Facility was $150.0 million and the Company had an outstanding balance of $106.8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December 31, 2020 and December 31, 2019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auto"/>
            </w:tcBorders>
          </w:tcPr>
          <w:p>
            <w:pPr>
              <w:spacing w:after="0"/>
              <w:rPr>
                <w:sz w:val="20"/>
                <w:szCs w:val="20"/>
                <w:color w:val="auto"/>
              </w:rPr>
            </w:pPr>
          </w:p>
        </w:tc>
      </w:tr>
      <w:tr>
        <w:trPr>
          <w:trHeight w:val="191"/>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Due Within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Due Within</w:t>
            </w:r>
          </w:p>
        </w:tc>
        <w:tc>
          <w:tcPr>
            <w:tcW w:w="18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One Year</w:t>
            </w:r>
          </w:p>
        </w:tc>
        <w:tc>
          <w:tcPr>
            <w:tcW w:w="180" w:type="dxa"/>
            <w:vAlign w:val="bottom"/>
          </w:tcPr>
          <w:p>
            <w:pPr>
              <w:spacing w:after="0"/>
              <w:rPr>
                <w:sz w:val="20"/>
                <w:szCs w:val="20"/>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r>
      <w:tr>
        <w:trPr>
          <w:trHeight w:val="202"/>
        </w:trPr>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Loan Costs, net of accumulated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116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r>
      <w:tr>
        <w:trPr>
          <w:trHeight w:val="209"/>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324"/>
        <w:spacing w:after="0" w:line="277" w:lineRule="auto"/>
        <w:rPr>
          <w:sz w:val="20"/>
          <w:szCs w:val="20"/>
          <w:color w:val="auto"/>
        </w:rPr>
      </w:pPr>
      <w:r>
        <w:rPr>
          <w:rFonts w:ascii="Arial" w:cs="Arial" w:eastAsia="Arial" w:hAnsi="Arial"/>
          <w:sz w:val="18"/>
          <w:szCs w:val="18"/>
          <w:color w:val="auto"/>
        </w:rPr>
        <w:t>Payments applicable to reduction of principal amounts as of December 31, 2020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40" w:type="dxa"/>
            <w:vAlign w:val="bottom"/>
          </w:tcPr>
          <w:p>
            <w:pPr>
              <w:spacing w:after="0"/>
              <w:rPr>
                <w:sz w:val="20"/>
                <w:szCs w:val="20"/>
                <w:color w:val="auto"/>
              </w:rPr>
            </w:pPr>
          </w:p>
        </w:tc>
        <w:tc>
          <w:tcPr>
            <w:tcW w:w="2120" w:type="dxa"/>
            <w:vAlign w:val="bottom"/>
          </w:tcPr>
          <w:p>
            <w:pPr>
              <w:ind w:left="480"/>
              <w:spacing w:after="0"/>
              <w:rPr>
                <w:sz w:val="20"/>
                <w:szCs w:val="20"/>
                <w:color w:val="auto"/>
              </w:rPr>
            </w:pPr>
            <w:r>
              <w:rPr>
                <w:rFonts w:ascii="Arial" w:cs="Arial" w:eastAsia="Arial" w:hAnsi="Arial"/>
                <w:sz w:val="18"/>
                <w:szCs w:val="18"/>
                <w:b w:val="1"/>
                <w:bCs w:val="1"/>
                <w:color w:val="auto"/>
              </w:rPr>
              <w:t>Amount</w:t>
            </w: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w w:val="88"/>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ind w:left="1940"/>
              <w:spacing w:after="0"/>
              <w:rPr>
                <w:sz w:val="20"/>
                <w:szCs w:val="20"/>
                <w:color w:val="auto"/>
              </w:rPr>
            </w:pPr>
            <w:r>
              <w:rPr>
                <w:rFonts w:ascii="Arial" w:cs="Arial" w:eastAsia="Arial" w:hAnsi="Arial"/>
                <w:sz w:val="18"/>
                <w:szCs w:val="18"/>
                <w:color w:val="auto"/>
                <w:w w:val="88"/>
              </w:rPr>
              <w:t>—</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20" w:type="dxa"/>
            <w:vAlign w:val="bottom"/>
            <w:shd w:val="clear" w:color="auto" w:fill="CCEEFF"/>
          </w:tcPr>
          <w:p>
            <w:pPr>
              <w:ind w:left="1480"/>
              <w:spacing w:after="0"/>
              <w:rPr>
                <w:sz w:val="20"/>
                <w:szCs w:val="20"/>
                <w:color w:val="auto"/>
              </w:rPr>
            </w:pPr>
            <w:r>
              <w:rPr>
                <w:rFonts w:ascii="Arial" w:cs="Arial" w:eastAsia="Arial" w:hAnsi="Arial"/>
                <w:sz w:val="18"/>
                <w:szCs w:val="18"/>
                <w:color w:val="auto"/>
                <w:w w:val="95"/>
              </w:rPr>
              <w:t>106,809</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ind w:left="1940"/>
              <w:spacing w:after="0"/>
              <w:rPr>
                <w:sz w:val="20"/>
                <w:szCs w:val="20"/>
                <w:color w:val="auto"/>
              </w:rPr>
            </w:pPr>
            <w:r>
              <w:rPr>
                <w:rFonts w:ascii="Arial" w:cs="Arial" w:eastAsia="Arial" w:hAnsi="Arial"/>
                <w:sz w:val="18"/>
                <w:szCs w:val="18"/>
                <w:color w:val="auto"/>
                <w:w w:val="88"/>
              </w:rPr>
              <w:t>—</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2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88"/>
              </w:rPr>
              <w:t>—</w:t>
            </w:r>
          </w:p>
        </w:tc>
      </w:tr>
      <w:tr>
        <w:trPr>
          <w:trHeight w:val="216"/>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w w:val="88"/>
              </w:rPr>
              <w:t>—</w:t>
            </w:r>
          </w:p>
        </w:tc>
      </w:tr>
      <w:tr>
        <w:trPr>
          <w:trHeight w:val="209"/>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95"/>
              </w:rPr>
              <w:t>106,809</w:t>
            </w: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60" w:firstLine="324"/>
        <w:spacing w:after="0" w:line="275" w:lineRule="auto"/>
        <w:rPr>
          <w:sz w:val="20"/>
          <w:szCs w:val="20"/>
          <w:color w:val="auto"/>
        </w:rPr>
      </w:pPr>
      <w:r>
        <w:rPr>
          <w:rFonts w:ascii="Arial" w:cs="Arial" w:eastAsia="Arial" w:hAnsi="Arial"/>
          <w:sz w:val="17"/>
          <w:szCs w:val="17"/>
          <w:color w:val="auto"/>
        </w:rPr>
        <w:t>As of December 31, 2020, the Company’s long-term debt includes deferred financing costs of $0.9 million, net of accumulated amortization, of $0.2 million. These costs are amortized on a straight-line basis over the term of the Credit Facility and are included in interest expense in the Company’s accompanying consolidated and combined statements of operations. As of December 31, 2019, these costs were reflected as deferred expenses on the accompanying consolidated balance sheets as there was no outstanding debt as of December 31, 2019.</w:t>
      </w:r>
    </w:p>
    <w:p>
      <w:pPr>
        <w:spacing w:after="0" w:line="176" w:lineRule="exact"/>
        <w:rPr>
          <w:sz w:val="20"/>
          <w:szCs w:val="20"/>
          <w:color w:val="auto"/>
        </w:rPr>
      </w:pPr>
    </w:p>
    <w:p>
      <w:pPr>
        <w:jc w:val="both"/>
        <w:ind w:left="60" w:right="80" w:firstLine="324"/>
        <w:spacing w:after="0" w:line="263" w:lineRule="auto"/>
        <w:rPr>
          <w:sz w:val="20"/>
          <w:szCs w:val="20"/>
          <w:color w:val="auto"/>
        </w:rPr>
      </w:pPr>
      <w:r>
        <w:rPr>
          <w:rFonts w:ascii="Arial" w:cs="Arial" w:eastAsia="Arial" w:hAnsi="Arial"/>
          <w:sz w:val="18"/>
          <w:szCs w:val="18"/>
          <w:color w:val="auto"/>
        </w:rPr>
        <w:t>The following table reflects a summary of interest expense incurred and paid during the year ended December 31, 2020, the period from November 26, 2019 to December 31, 2019, the Predecessor period from January 1, 2019 to November 25, 2019, and the Predecessor year ended December 31, 2018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For the Period from</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26, 2019</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For the Period from</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For the Year Ended</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 December 31,</w:t>
            </w: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1, 2019 to</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For the Year Ended</w:t>
            </w:r>
          </w:p>
        </w:tc>
      </w:tr>
      <w:tr>
        <w:trPr>
          <w:trHeight w:val="234"/>
        </w:trPr>
        <w:tc>
          <w:tcPr>
            <w:tcW w:w="236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December 31, 2020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November 25, 2019</w:t>
            </w:r>
          </w:p>
        </w:tc>
        <w:tc>
          <w:tcPr>
            <w:tcW w:w="12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196"/>
        </w:trPr>
        <w:tc>
          <w:tcPr>
            <w:tcW w:w="23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990"/>
              <w:spacing w:after="0" w:line="196" w:lineRule="exact"/>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520"/>
              <w:spacing w:after="0" w:line="196" w:lineRule="exact"/>
              <w:rPr>
                <w:sz w:val="20"/>
                <w:szCs w:val="20"/>
                <w:color w:val="auto"/>
              </w:rPr>
            </w:pPr>
            <w:r>
              <w:rPr>
                <w:rFonts w:ascii="Arial" w:cs="Arial" w:eastAsia="Arial" w:hAnsi="Arial"/>
                <w:sz w:val="18"/>
                <w:szCs w:val="18"/>
                <w:b w:val="1"/>
                <w:bCs w:val="1"/>
                <w:color w:val="auto"/>
              </w:rPr>
              <w:t>Predecessor</w:t>
            </w:r>
          </w:p>
        </w:tc>
        <w:tc>
          <w:tcPr>
            <w:tcW w:w="700" w:type="dxa"/>
            <w:vAlign w:val="bottom"/>
            <w:tcBorders>
              <w:bottom w:val="single" w:sz="8" w:color="auto"/>
            </w:tcBorders>
          </w:tcPr>
          <w:p>
            <w:pPr>
              <w:spacing w:after="0"/>
              <w:rPr>
                <w:sz w:val="17"/>
                <w:szCs w:val="17"/>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Amortization of Loan Costs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December 31, 2020.</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INTEREST RATE SWAP</w:t>
      </w:r>
    </w:p>
    <w:p>
      <w:pPr>
        <w:spacing w:after="0" w:line="229" w:lineRule="exact"/>
        <w:rPr>
          <w:sz w:val="20"/>
          <w:szCs w:val="20"/>
          <w:color w:val="auto"/>
        </w:rPr>
      </w:pPr>
    </w:p>
    <w:p>
      <w:pPr>
        <w:jc w:val="both"/>
        <w:ind w:left="60" w:right="60" w:firstLine="324"/>
        <w:spacing w:after="0" w:line="253" w:lineRule="auto"/>
        <w:rPr>
          <w:sz w:val="20"/>
          <w:szCs w:val="20"/>
          <w:color w:val="auto"/>
        </w:rPr>
      </w:pPr>
      <w:r>
        <w:rPr>
          <w:rFonts w:ascii="Arial" w:cs="Arial" w:eastAsia="Arial" w:hAnsi="Arial"/>
          <w:sz w:val="18"/>
          <w:szCs w:val="18"/>
          <w:color w:val="auto"/>
        </w:rPr>
        <w:t>During April 2020, the Company entered into an Interest Rate Swap agreement to hedge cash flows tied to changes in the underlying floating interest rate tied to LIBOR for $50.0 million of the outstanding balance on the Credit Facility as discussed in Note 9, “Long-Term Debt.” During the year ended December 31, 2020, the Interest Rate Swap agreement was 100% effective. Accordingly, the change in fair value on the Interest Rate Swap has been included in accumulated other comprehensive loss. As of December 31, 2020, the fair value of our Interest Rate Swap agreement, which was a loss of $0.5 million, was included in accounts payable, accrued expenses, and other liabilities on the consolidated balance sheets. The Interest Rate Swap was effective on April 30, 2020 and matures on November 26, 2024. The Interest Rate Swap fixed the variable rate debt on the notional amount of related debt of $50.0 million to a fixed rate of 0.48% plus the applicable spread.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11.</w:t>
        <w:tab/>
        <w:t>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9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14, 2020, the Company implemented a $100.0 million at-the-market (“ATM”) offering program (the “2020 ATM Program”) pursuant to which the Company may sell, from time to time, shares of the Company’s common stock at its current trading prices. As of December 31, 2020, the Company had not sold any shares under the 2020 ATM Program.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commencing with its short taxable year beginning on November 26, 2019 and ending on December 31, 2019.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 ended December 31, 2020, the Company declared and paid cash dividends on its common stock and OP Units of $0.82 per share. See Note 17, “Subsequent Events” for disclosure related to the first quarter 2021 dividend.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PREDECESSOR EQUITY</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Predecessor equity represents net contributions from and distributions to CTO.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by the weighted average number of shares of common stock outstanding during the year. Diluted earnings per common share are determined based on the assumption of the conversion of OP Units on a one-for-one basis using the treasury stock method at average market prices for the periods.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For the Period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November 26,</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from January</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For the Year</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2019 to</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 2019 to</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November 25,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The Company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650"/>
              <w:spacing w:after="0" w:line="196" w:lineRule="exact"/>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82"/>
        </w:trPr>
        <w:tc>
          <w:tcPr>
            <w:tcW w:w="4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Net Income Attributable to Alpine Income Property</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Common Shares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7,902,737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20" w:type="dxa"/>
            <w:vAlign w:val="bottom"/>
          </w:tcPr>
          <w:p>
            <w:pPr>
              <w:ind w:left="20"/>
              <w:spacing w:after="0" w:line="201" w:lineRule="exact"/>
              <w:rPr>
                <w:sz w:val="20"/>
                <w:szCs w:val="20"/>
                <w:color w:val="auto"/>
              </w:rPr>
            </w:pPr>
            <w:r>
              <w:rPr>
                <w:rFonts w:ascii="Arial" w:cs="Arial" w:eastAsia="Arial" w:hAnsi="Arial"/>
                <w:sz w:val="18"/>
                <w:szCs w:val="18"/>
                <w:color w:val="auto"/>
              </w:rPr>
              <w:t>Common Shares Applicable to OP Units using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Treasury Stock Method </w:t>
            </w:r>
            <w:r>
              <w:rPr>
                <w:rFonts w:ascii="Arial" w:cs="Arial" w:eastAsia="Arial" w:hAnsi="Arial"/>
                <w:sz w:val="26"/>
                <w:szCs w:val="26"/>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2"/>
        </w:trPr>
        <w:tc>
          <w:tcPr>
            <w:tcW w:w="4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Shares Applicable to Diluted Earnings per</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8,812,203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9,126,591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9"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Represents OP Units owned by CTO Realty Growth, Inc. issued in connection with our Formation Transactions.</w:t>
      </w: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SHARE REPURCHASES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w:t>
      </w:r>
    </w:p>
    <w:p>
      <w:pPr>
        <w:spacing w:after="0" w:line="183"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connection with the closing of the IPO, on November 26, 2019, the Company granted restricted shares of common stock to each of the non-employee directors under the Individual Plan. Each of the non-employee directors received an award of 2,000 restricted shares of common stock on November 26, 2019. The restricted shares will vest in substantially equal installments on each of the first, second and third anniversaries of the grant date. As of December 31, 2020, the first increment of this award had vested, leaving 5,336 shares outstanding.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grant of these 8,000 restricted shares of Common Stock, the Company has not made any grants under the Equity Incentive Plans. Any future grants under the Equity Incentive Plans will be approved by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independent members of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During the year ended December 31, 2020 and the period from November 26, 2019 to December 31, 2019, the Company recognized stock compensation expense totaling $0.1 million and less than $0.1 million, respectively, which is included in general and administrative expenses in the consolidated statement of operations.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activity for these awards during the year ended December 31, 2020 and during the period from</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26, 2019 to December 31, 2019, is presented below:</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Wtd. Avg. Fair Value</w:t>
            </w:r>
          </w:p>
        </w:tc>
      </w:tr>
      <w:tr>
        <w:trPr>
          <w:trHeight w:val="210"/>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November 25, 2019</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2019</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(2,664)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2020, there was $0.1 million of unrecognized compensation cost related to the three-year vest restricted shares, which will be recognized over a remaining period of 1.9 years.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year ended December 31, 2020, the expense recognized for the value of the Company’s common stock received by non-employee directors totaled $0.2 million, or 14,572 shares, of which 4,098 shares were issued on April 1, 2020, 3,414 shares were issued on July 1, 2020, and 3,474 shares were issued on October 1, 2020 and 3,586 shares were issued on January 1, 2021. During the period from November 26, 2019 to December 31, 2019, the expense recognized for the value of the Company’s common stock received by non-employee directors totaled less than $0.1 million, or 1,269 shares which were issued on January 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Stock compensation expense for the year ended December 31, 2020, the period from November 26, 2019 to December 31, 2019, the Predecessor period from January 1, 2019 to November 25, 2019, and the Predecessor year ended December 31, 2018 is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November</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from January 1,</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Year</w:t>
            </w: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2019 to</w:t>
            </w:r>
          </w:p>
        </w:tc>
        <w:tc>
          <w:tcPr>
            <w:tcW w:w="1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November 25,</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ind w:left="700"/>
              <w:spacing w:after="0" w:line="196" w:lineRule="exact"/>
              <w:rPr>
                <w:sz w:val="20"/>
                <w:szCs w:val="20"/>
                <w:color w:val="auto"/>
              </w:rPr>
            </w:pPr>
            <w:r>
              <w:rPr>
                <w:rFonts w:ascii="Arial" w:cs="Arial" w:eastAsia="Arial" w:hAnsi="Arial"/>
                <w:sz w:val="18"/>
                <w:szCs w:val="18"/>
                <w:b w:val="1"/>
                <w:bCs w:val="1"/>
                <w:color w:val="auto"/>
              </w:rPr>
              <w:t>The Company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90"/>
              <w:spacing w:after="0" w:line="196" w:lineRule="exact"/>
              <w:rPr>
                <w:sz w:val="20"/>
                <w:szCs w:val="20"/>
                <w:color w:val="auto"/>
              </w:rPr>
            </w:pPr>
            <w:r>
              <w:rPr>
                <w:rFonts w:ascii="Arial" w:cs="Arial" w:eastAsia="Arial" w:hAnsi="Arial"/>
                <w:sz w:val="18"/>
                <w:szCs w:val="18"/>
                <w:b w:val="1"/>
                <w:bCs w:val="1"/>
                <w:color w:val="auto"/>
              </w:rPr>
              <w:t>Predecessor</w:t>
            </w:r>
          </w:p>
        </w:tc>
        <w:tc>
          <w:tcPr>
            <w:tcW w:w="20" w:type="dxa"/>
            <w:vAlign w:val="bottom"/>
          </w:tcPr>
          <w:p>
            <w:pPr>
              <w:spacing w:after="0"/>
              <w:rPr>
                <w:sz w:val="17"/>
                <w:szCs w:val="17"/>
                <w:color w:val="auto"/>
              </w:rPr>
            </w:pPr>
          </w:p>
        </w:tc>
      </w:tr>
      <w:tr>
        <w:trPr>
          <w:trHeight w:val="182"/>
        </w:trPr>
        <w:tc>
          <w:tcPr>
            <w:tcW w:w="34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34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Retainers Paid in Stock</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left="7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Allocation from CTO/Predecessor</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09"/>
        </w:trPr>
        <w:tc>
          <w:tcPr>
            <w:tcW w:w="3400" w:type="dxa"/>
            <w:vAlign w:val="bottom"/>
            <w:gridSpan w:val="2"/>
          </w:tcPr>
          <w:p>
            <w:pPr>
              <w:ind w:left="20"/>
              <w:spacing w:after="0" w:line="210" w:lineRule="exact"/>
              <w:rPr>
                <w:sz w:val="20"/>
                <w:szCs w:val="20"/>
                <w:color w:val="auto"/>
              </w:rPr>
            </w:pPr>
            <w:r>
              <w:rPr>
                <w:rFonts w:ascii="Arial" w:cs="Arial" w:eastAsia="Arial" w:hAnsi="Arial"/>
                <w:sz w:val="17"/>
                <w:szCs w:val="17"/>
                <w:color w:val="auto"/>
              </w:rPr>
              <w:t xml:space="preserve">Total Stock Compensation Expense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2" w:lineRule="exact"/>
        <w:rPr>
          <w:sz w:val="20"/>
          <w:szCs w:val="20"/>
          <w:color w:val="auto"/>
        </w:rPr>
      </w:pPr>
    </w:p>
    <w:p>
      <w:pPr>
        <w:jc w:val="both"/>
        <w:ind w:left="380" w:right="79" w:hanging="330"/>
        <w:spacing w:after="0" w:line="233"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Director retainers are issued through additional paid in capital in arrears. Therefore, the change in additional paid in capital during the year ended December 31, 2020 is equal to total stock compensation expense of $0.3 million, less the $0.05 million of fourth quarter 2020 director retainers, as those shares were issued on January 1, 2021 plus the fourth quarter 2019 director retainers of $0.02 million, as those shares were issued on January 2, 2020.</w:t>
      </w:r>
    </w:p>
    <w:p>
      <w:pPr>
        <w:spacing w:after="0" w:line="18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periods prior to November 26, 2019, Predecessor’s stock-based compensation expense, included in general and administrative expenses in the combined statements of operations for the period from January 1, 2019 to November 25, 2019 and the year ended December 31, 2018, reflected an allocation of a portion of the stock compensation expense of CTO for the applicable periods.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RELATED PARTY MANAGEMENT COMPANY</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are externally managed by the Manager, a wholly owned subsidiary of CTO. In addition to the CTO Private Placement, CTO purchased from us $8.0 million in shares of our common stock, or 421,053 shares, in the IPO. Upon completion of the Formation Transactions, CTO owned 22.3% of our outstanding common stock (assuming the OP Units issued to CTO in the Formation Transactions are exchanged for shares of our common stock on a one-for-one basis).</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we entered into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Our Manager is subject to the direction and oversight of the Board. We pay our Manager a base management fee equal to 0.375% per quarter of our “total equity” (as defined in the Management Agreement and based on a 1.5% annual rate), calculated and payable in cash, quarterly in arrears.</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to with respect to each annual measurement period in the amount of the greater of (i) $0.00 and</w:t>
      </w:r>
    </w:p>
    <w:p>
      <w:pPr>
        <w:spacing w:after="0" w:line="2" w:lineRule="exact"/>
        <w:rPr>
          <w:sz w:val="20"/>
          <w:szCs w:val="20"/>
          <w:color w:val="auto"/>
        </w:rPr>
      </w:pPr>
    </w:p>
    <w:p>
      <w:pPr>
        <w:ind w:left="60" w:right="59" w:hanging="10"/>
        <w:spacing w:after="0" w:line="260" w:lineRule="auto"/>
        <w:tabs>
          <w:tab w:leader="none" w:pos="3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 ended December 31, 2020.</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independent directors will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that is materially detrimental to us or (ii) a determination that the management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will pay directly or reimburse our Manager for certain expenses, if incurred by our Manager. We will not reimburse any compensation expenses incurred by our Manager or its affiliates. Expense reimbursements to our Manager will be made in cash on a quarterly basis following the end of each quarter. In addition, we will pay all of our operating expenses, except those specifically required to be borne by our Manager pursuant to the Management Agreement.</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During the year ended December 31, 2020 and the period from November 26, 2019 to December 31, 2019, the Company incurred management fee expenses which totaled $2.6 million and $0.3 million, respectively. The Company also paid dividends on the common stock owned by affiliates of its Manager in the amount of $1.7 million and $0.1 million for the year ended December 31, 2020 and the period from November 26, 2019 to December 31, 2019, respectively. There were no Manager dividends or management fees applicable to the Predecessor period from January 1, 2019 to November 25, 2019 or the Predecessor year ended December 31, 2018.</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from the Company to CTO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860" w:type="dxa"/>
            <w:vAlign w:val="bottom"/>
            <w:gridSpan w:val="3"/>
          </w:tcPr>
          <w:p>
            <w:pPr>
              <w:ind w:left="20"/>
              <w:spacing w:after="0"/>
              <w:rPr>
                <w:sz w:val="20"/>
                <w:szCs w:val="20"/>
                <w:color w:val="auto"/>
              </w:rPr>
            </w:pPr>
            <w:r>
              <w:rPr>
                <w:rFonts w:ascii="Arial" w:cs="Arial" w:eastAsia="Arial" w:hAnsi="Arial"/>
                <w:sz w:val="18"/>
                <w:szCs w:val="18"/>
                <w:color w:val="auto"/>
              </w:rPr>
              <w:t>Dividend Payable on OP Units</w:t>
            </w:r>
          </w:p>
        </w:tc>
        <w:tc>
          <w:tcPr>
            <w:tcW w:w="16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4860" w:type="dxa"/>
            <w:vAlign w:val="bottom"/>
            <w:gridSpan w:val="3"/>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Included in Accrued Expenses, see Note 8, “Accounts Payable, Accrued Expenses, and Other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Exclusivity and 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we also entered into an exclusivity and right of first offer (“ROFO”) agreement with CTO. During the term of the exclusivity and ROFO agreement, CTO will not, and will cause each of its affiliates (which for purposes of the exclusivity and ROFO agreement will not include our company and our subsidiaries) not to, acquire, directly or indirectly, a single-tenant, net leased property, without providing us with notice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exclusivity and ROFO agreement do not restrict CTO or any of its affiliates from providing financing for a third party’s acquisition of single-tenant, net leased properties or from developing and owning any single-tenant, net leased property.</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the exclusivity and ROFO agreement, neither CTO nor any of its affiliates (which for purposes of the exclusivity and ROFO agreement does not include our company and our subsidiaries) may sell to any third party any single-tenant, net leased property that was owned by CTO or any of its affiliates as of the closing date of the IPO; or is owned by CTO or any of its affiliates after the closing date of the IPO, without first offering us the right to purchase such property.</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exclusivity and ROFO agreement will continue for so long as the Management Agreement with our Manager is in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single-tenant, net leased properties in which our Manager or its affiliates have or may have an interest. Similarly, our Manager or its affiliates may acquire or sell single-tenant, net leased properties in which we have or may have an interest. Although such acquisitions or dispositions may present conflicts of interest, we nonetheless may pursue and consummate such transactions. Additionally, we may engage in transactions directly with our Manager or its affiliates, including the purchase and sale of all or a portion of a portfolio asset. If we acquire a single-tenant, net leased property from CTO or one of its affiliates or sell a single-tenant,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the exclusivity and ROFO agreement does contain exceptions to CTO’s exclusivity for opportunities that include only an incidental interest in single-tenant, net leased properties. Accordingly, the exclusivity and ROFO agreement will not prevent CTO from pursuing certain acquisition opportunities that otherwise satisfy our then-current investment criteria.</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6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16.</w:t>
        <w:tab/>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4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business. While the outcome of the legal proceedings cannot be predicted with certainty, the Company does not expect that these proceedings will have a material effect upon our financial condition or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COMMITMENTS - EXPENDITURES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Through December 31, 2020, the Company incurred $0.9 million of tenant improvements related to the property leased to 7-Eleven in Georgetown, Texas, of which the tenant reimbursed $0.4 million subsequent to year end pursuant to the lease. As of December 31, 2020, $0.1 million of the total $0.9 million was left to be funded.</w:t>
      </w:r>
    </w:p>
    <w:p>
      <w:pPr>
        <w:spacing w:after="0" w:line="16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reviewed all subsequent events and transactions through February 16, 2021, the date the consolidated and combined financial statements were issued.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 – 2021 Collections Update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has received payments for CBR due in January and February 2021 from tenants representing 100% of the CBR due during such periods.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Property Acquisitions</w:t>
      </w:r>
    </w:p>
    <w:p>
      <w:pPr>
        <w:spacing w:after="0" w:line="229"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On January 25, 2021 the Company acquired three single-tenant income properties in three separate transactions for an aggregate purchase price of $4.4 million, reflecting a weighted-average going-in cash cap rate of 6.5%. The three properties are located in Cut and Shoot, Del Rio, and Seguin, Texas and are leased to Dollar General. As of the acquisition date, the properties had a weighted-average remaining lease term of 14.3 years.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First Quarter 2021 Dividend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declared a first quarter 2021 cash dividend of $0.24 per share, representing a 9.1% increase from the fourth quarter of 2020. The dividend is payable on March 31, 2021 to stockholders of record as of the close of business on March 22, 2021.</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is a summary of the material terms of our securities registered under Section 12 of the Securities Exchange Act of 1934, as amended (the “Exchange Act”), as of December 31, 2020, and provisions of our charter and bylaws. The summary is subject to and qualified in its entirety by reference to the charter and bylaws, each of which is incorporated by reference as an exhibit to the Annual Report on Form 10-K of which this exhibit is a part. The following also summarizes certain provisions of the Maryland General Corporation Law (the “MGCL”) and is subject to and qualified in its entirety by reference to the MGCL.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our charter, we are currently authorized to designate and issue up to 500,000,000 shares of common stock, $0.01 par value per share (our “common stock”), and 100,000,000 shares of preferred stock, $0.01 par value per share (our “preferred stock”). A majority of our entire board of directors has the power, without stockholder approval, to amend our charter to increase or decrease the aggregate number of shares of stock or the number of shares of stock of any class or series that we are authorized to issue.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10, 2021, we had 7,462,341 shares of our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charter provides that we have authority to issue up to 500,000,000 shares of common stock. Under Maryland law, stockholders generally are not liable for a corporation’s debts or obligations solely as a result of their status as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Liquidation and Other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Stockholders are entitled to receive distributions when authorized by our board of directors and declared by us out of assets legally available for the payment of dividends. Stockholders are also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including any shares of preferred stock we may issue, and to the provisions of our charter regarding restrictions on ownership and transfer of our stock. See “Restrictions on Ownership and Transfer.”</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common stockholders have no preference, conversion, exchange, sinking fund or redemption rights and have no preemptive rights to subscribe for any of our capital stock. Our charter provides that our stockholders generally have no appraisal rights unless our board of directors determines that appraisal rights will apply to one or more transactions in which our common stockholders would otherwise be entitled to exercise such rights. Subject to our charter restrictions on ownership and transfer of our stock, holders of shares of our common stock have equal dividend, liquidation and other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our charter restrictions on ownership and transfer of our stock and the terms of any other class or series of our stock, each outstanding share of our common stock entitles the holder thereof to one vote on all matters submitted to a vote of stockholders, including the election of directors. Cumulative voting in the election of directors is not permitted. Directors will be elected by a plurality of the votes cast at the meeting in which directors are being elected and at which a quorum is present. This means that the holders of a majority of the outstanding shares of our common stock can effectively elect all of the directors then standing for election, and the holders of the remaining shares will not be able to elect any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Power to Classify and Reclassify Unissued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authorizes our board of directors to reclassify any unissued shares of our common stock into other classes or series of stock, including classes or series of preferred stock, and to establish the designation and number of shares of each such class or series and to set, subject to the provisions of our charter regarding the restrictions on ownership and transfer of our stock, the preferences, conversion or other rights, voting powers, restrictions, limitations as to dividends or other distributions, qualifications and terms and conditions of redemption of each such class or series. Thus, our board of directors could authorize the issuance of shares of common stock or preferred stock with terms and conditions which could have the effect of delaying, deferring or preventing a transaction or a change in control that might involve a premium price for our common stock or that our common stockholders otherwise believe to be in their best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trading symbol “PINE.”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of Our Charter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our charter and bylaws, the number of directors of our company may be established, increased or decreased only by a majority of our entire board of directors but may not be fewer than the minimum number required under the MGCL (which is one) nor, unless our bylaws are amended, more than 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entitled to be cast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MGCL, certain “business combinations” (including a merger, consolidation, statutory share exchange or, in certain circumstances specified under the statute,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w:t>
      </w:r>
    </w:p>
    <w:p>
      <w:pPr>
        <w:spacing w:after="0" w:line="157"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outstanding voting stock;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then-outstanding voting stock of the corporation.</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person is not an interested stockholder under the MGCL if the board of directors approved in advance the transaction by which the person otherwise would have become an interested stockholder. In approving a transaction, the board of directors may provide that its approval is subject to compliance, at or after the time of the approval, with any terms and conditions determined by 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ind w:firstLine="324"/>
        <w:spacing w:after="0" w:line="277" w:lineRule="auto"/>
        <w:rPr>
          <w:sz w:val="20"/>
          <w:szCs w:val="20"/>
          <w:color w:val="auto"/>
        </w:rPr>
      </w:pPr>
      <w:r>
        <w:rPr>
          <w:rFonts w:ascii="Arial" w:cs="Arial" w:eastAsia="Arial" w:hAnsi="Arial"/>
          <w:sz w:val="18"/>
          <w:szCs w:val="18"/>
          <w:color w:val="auto"/>
        </w:rPr>
        <w:t>After such five-year period, any such business combination must be recommended by the board of directors of the corporation and approved by the affirmative vote of at least:</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provisions of the MGCL do not apply, however, to business combinations that are approved or exempted by a corporation’s board of directors prior to the time that the interested stockholder becomes an interested stockholder. As permitted by the MGCL, our board of directors has adopted a resolution exempting any business combination between us and any other person from the provisions of this statute. Consequently, the five-year prohibition and the supermajority vote requirements will not apply to business combinations involving us. As a result, any person will be able to enter into business combinations with us that may not be in the best interests of our stockholders, without compliance with the supermajority vote requirements and other provisions of the statute. However, our board of directors may repeal or modify this resolution at any time in the future, in which case the applicable provisions of the MGCL will become applicable to business combinations between us and interested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MGCL provides that a holder of “control shares” of a Maryland corporation acquired in a “control share acquisition” has no voting rights with respect to those shares except to the extent approved by the affirmative vote of at least two-thirds of the votes entitled to be cast by stockholders entitled to exercise or direct the exercise of the voting power in the election of directors generally but excluding: (1) the person who has made or proposes to make the control share acquisition; (2) any officer of the corporation; or (3) any employee of the corporation who is also a director of the corporation. “Control shares” are voting shares of stock that,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w:t>
      </w:r>
    </w:p>
    <w:p>
      <w:pPr>
        <w:spacing w:after="0" w:line="19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Control shares do not include shares that the acquiring person is then entitled to vote as a result of having previously obtained stockholder approval. A “control share acquisition” means the acquisition, directly or indirectly, of ownership of, or the power to direct the exercise of voting power with respect to, issued and outstanding control shares, subject to certain exceptions.</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person who has made or proposes to make a control share acquisition, upon satisfaction of certain conditions (including an undertaking to pay expenses and making an “acquiring person statement” as described in the MGCL), may compel the board of directors of the company to call a special meeting of stockholders to be held within 50 days of demand to consider the voting rights of the control shares. If no request for a special meeting is made, the corporation may itself present the question at any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0" w:name="page101"/>
    <w:bookmarkEnd w:id="100"/>
    <w:p>
      <w:pPr>
        <w:jc w:val="both"/>
        <w:ind w:firstLine="324"/>
        <w:spacing w:after="0" w:line="271" w:lineRule="auto"/>
        <w:rPr>
          <w:sz w:val="20"/>
          <w:szCs w:val="20"/>
          <w:color w:val="auto"/>
        </w:rPr>
      </w:pPr>
      <w:r>
        <w:rPr>
          <w:rFonts w:ascii="Arial" w:cs="Arial" w:eastAsia="Arial" w:hAnsi="Arial"/>
          <w:sz w:val="17"/>
          <w:szCs w:val="17"/>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if a meeting of stockholders at which the voting rights of such shares are considered and not approved is held, as of the date of such meeting.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contain a provision exempting from the control share acquisition statute any and all control share acquisitions by any person of shares of our stock. There can be no assurance that such provision will not be amended or eliminated at any time in the future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the following five provisions:</w:t>
      </w:r>
    </w:p>
    <w:p>
      <w:pPr>
        <w:spacing w:after="0" w:line="16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a vote of the remaining directors (whether or not they constitute a quorum) and for the remainder of the full term of the class of directors in which the vacancy occurred and until a successor is elected and qualifies;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effective at such time as we are able to make a Subtitle 8 election, vacancies on our board of directors may be filled only by the remaining directors (whether or not they constitute a quorum) and that a director elected by the board of directors to fill a vacancy will serve for the remainder of the full term of the directorship. We have not elected to be subject to any of the other provisions of Subtitle 8, including the provisions that would permit us to classify our board of directors without stockholder approval. Moreover, our charter provides that, without the affirmative vote of a majority of the votes cast on the matter by stockholders entitled to vote generally in the election of directors, we may not elect to be subject to any of these additional provisions of Subtitle 8. Through provisions in our charter and bylaws unrelated to Subtitle 8, we (1) vest in our board of directors the exclusive power to fix the number of directors, (2) require, unless called by our chairman, our chief executive officer, our president or our board of directors, the request of stockholders entitled to cast not less than a majority of all the votes entitled to be cast at the meeting to call a special meeting of stockholders and (3) provide that a director may be removed only for cause and by the affirmative vote of two-thirds of the votes entitled to be cast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Amendments to Our Charter and Bylaws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herein and as provided in the MGCL, amendments to our charter must be advised by our board of directors and approved by the affirmative vote of our stockholders entitled to cast a majority of all of the votes entitled to be cast on the matter. Our board of directors has the exclusive power to amend our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our bylaws and pursuant to Maryland law, annual meetings of stockholders will be held each year at a date and at the time and place determined by our board of directors. Special meetings of stockholders may be called by our board of directors, the chairman of our board of directors, our president or our chief executive officer. Additionally, subject to the provisions of our bylaws, special meetings of the stockholders to act on any matter must be called by our secretary upon the written request of stockholders entitled to cast a majority of all the votes entitled to be cast on such matter at such meeting who have requested the special meeting in accordance with the procedures set forth in, and provided the information and certifications required by, our bylaws. Only matters set forth in the notice of the special meeting may be considered and acted upon at such a meeting. Our secretary will inform the requesting stockholders of the reasonably estimated cost of preparing and delivering the notice of meeting (including our proxy materials), and the requesting stockholder must pay such estimated cost before our secretary may prepare and deliver the notice of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to the maximum extent permitted by Maryland law, each of CTO Realty Growth, Inc., a Maryland corporation (“CTO”), its affiliates, each of their representatives, and each of our directors or officers who is also an officer, employee, agent, affiliate or designee of CTO or any of CTO’s affiliates has the right to, and has no duty not to, (x) directly or indirectly engage in the same or similar business activities or lines of business as us, including those deemed to be competing with us, or (y) directly or indirectly do business with any of our clients, customers or suppliers. In the event that CTO or any of its affiliates or employees, or any of their representatives or designees, acquires knowledge of a potential transaction or matter that may be a corporate opportunity for us, CTO, its affiliates and employees and any of their representatives or designees shall have no duty to communicate or present such corporate opportunity to us or any of our affiliates and shall not be liable to us or any of our affiliates, subsidiaries, stockholders or other equity holders for breach of any duty by reason of the fact that CTO or any of its affiliates or employees, or any of their representatives or designees, directly or indirectly, pursues or acquires such opportunity for themselves, directs such opportunity to another person, or does not present such opportunity to us or any of our affiliates; provided, however, that such corporate opportunity is not presented to such person in his or her capacity as a director or officer of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Amendments and Extraordinary Transactions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sell all or substantially all of its assets, convert into another form of entity, engage in a statutory share exchange or engage in similar transactions unless such transaction is declared advisable by the board of directors and approved by the affirmative vote of stockholders entitled to cast at least two-thirds of all of the votes entitled to be cast on the matter unless a lesser percentage (but not less than a majority of the votes entitled to be cast on the matter) is set forth in the corporation’s charter. Our charter provides for approval of these matters by the affirmative vote of stockholders entitled to cast a majority of the votes entitled to be cast on such matter, except that the affirmative vote of stockholders holding at least two-thirds of the shares entitled to vote on such matter is required to amend the provisions of our charter relating to the removal of directors or the vote required to amend the removal provisions. Maryland law also permits a corporation to transfer all or substantially all of its assets without the approval of its stockholders to an entity all of the equity interests of which are owned, directly or indirectly, by the corporation. Because our operating assets may be held by our operating partnership subsidiary or its wholly-owned subsidiaries, these subsidiaries may be able to merge or transfer all or substantially all of their assets without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Advance Notice of Director Nominations and New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bylaws provide that:</w:t>
      </w:r>
    </w:p>
    <w:p>
      <w:pPr>
        <w:spacing w:after="0" w:line="225"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an annual meeting of stockholders, nominations of individuals for election to our board of directors and the proposal of business to be considered by stockholders at the annual meeting may be made only: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pursuant to our notice of the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record date set by the board of directors for the meeting, at the time of giving of the notice of the meeting and at the time of the annual meeting (and any postponement or adjustment thereof), who is entitled to vote at the meeting in the election of each individual so nominated or on such other business and who has complied with the advance notice procedures set forth in, and provided the information and certifications required by, our bylaws; and</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special meetings of stockholders, only the business specified in our company’s notice of meeting may be brought before the special meeting of stockholders, and nominations of individuals for election to our board of directors may be made only: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provided that the special meeting has been called in accordance with our bylaws for the purpose of electing directors, by any stockholder who is a stockholder of record at the record date set by the board of directors for the special meeting, at the time of giving of the notice required by our bylaws and at the time of the meeting (and any postponement or adjustment thereof), who is entitled to vote at the meeting in the election of each individual so nominated and who has complied with the advance notice provisions set forth in, and provided the information and certifications required by, our bylaws.</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purpose of requiring stockholders to give advance notice of nominations and other proposals is to afford our board of directors and our stockholders the opportunity to consider the qualifications of the proposed nominees or the advisability of the other proposals and, to the extent considered necessary by our board of directors, to inform stockholders and make recommendations regarding the nominations or other proposals. Although our bylaws do not give our board of directors the power to disapprove timely stockholder nominations and proposals, our bylaws may have the effect of precluding a contest for the election of directors or proposals for other action if the proper procedures are not followed, and of discouraging or deterring a third party from conducting a solicitation of proxies to elect its own slate of directors to our board of directors or to approve its own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 of Certain Provisions of Maryland Law and of Our Charter and Bylaws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restrictions on ownership and transfer of our stock discussed below, the supermajority vote required to remove directors, our election to be subject to the provision of Subtitle 8 vesting in our board of directors the exclusive power to fill vacancies on our board of directors, and the advance notice provisions of our bylaws could delay, defer or prevent a transaction or a change of control of our company. Likewise, if our board of directors were to elect to be subject to the business combination provisions of the MGCL or if the provision in our bylaws opting out of the control share acquisition provisions of the MGCL were amended or rescinded, these provisions of the MGCL could have similar anti-takeover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3" w:name="page104"/>
    <w:bookmarkEnd w:id="103"/>
    <w:p>
      <w:pPr>
        <w:jc w:val="both"/>
        <w:ind w:firstLine="324"/>
        <w:spacing w:after="0" w:line="287" w:lineRule="auto"/>
        <w:rPr>
          <w:sz w:val="20"/>
          <w:szCs w:val="20"/>
          <w:color w:val="auto"/>
        </w:rPr>
      </w:pPr>
      <w:r>
        <w:rPr>
          <w:rFonts w:ascii="Arial" w:cs="Arial" w:eastAsia="Arial" w:hAnsi="Arial"/>
          <w:sz w:val="16"/>
          <w:szCs w:val="16"/>
          <w:color w:val="auto"/>
        </w:rPr>
        <w:t>Further, a majority of our entire board of directors has the power to increase or decrease the aggregate number of authorized shares of stock or the number of shares of any class or series of stock that we are authorized to issue, to classify and reclassify any unissued shares of our stock into other classes or series of stock and to authorize us to issue the newly classified shares, as discussed under the captions “Description of Capital Stock—General” and “Description of Capital Stock—Description of Common Stock—Power to Classify and Reclassify Unissued Stock,” and could authorize the issuance of shares of common stock or another class or series of stock, including a class or series of preferred stock, that could have the effect of delaying, deferring or preventing a change in control of us. These actions may be taken without stockholder approval unless such approval is required by applicable law, the terms of any other class or series of our stock or the rules of any stock exchange or automated quotation system on which any of our stock is listed or traded. We believe that the power of our board of directors to increase or decrease the number of authorized shares of stock and to classify or reclassify unissued shares of our common stock or preferred stock and thereafter to cause us to issue such shares of stock will provide us with increased flexibility in structuring possible future financings and acquisitions and in meeting other needs which might arise.</w:t>
      </w:r>
    </w:p>
    <w:p>
      <w:pPr>
        <w:spacing w:after="0" w:line="1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“—Meetings of Stockholders” and “—Advance Notice of Director Nominations and New Business” require stockholders seeking to call a special meeting, nominate an individual for election as a director or propose other business at an annual or special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the MGCL, (b) any derivative action or proceeding brought on our behalf other than actions arising under the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action asserting a claim against us or any of our directors, officers or other employees that is governed by the internal affairs doctrine.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 of Directors and Officers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4" w:name="page105"/>
    <w:bookmarkEnd w:id="104"/>
    <w:p>
      <w:pPr>
        <w:ind w:left="980" w:right="1740" w:hanging="648"/>
        <w:spacing w:after="0" w:line="482"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act or omission of the director or officer was material to the matter giving rise to the proceeding and: </w:t>
      </w:r>
      <w:r>
        <w:rPr>
          <w:rFonts w:ascii="Courier New" w:cs="Courier New" w:eastAsia="Courier New" w:hAnsi="Courier New"/>
          <w:sz w:val="18"/>
          <w:szCs w:val="18"/>
          <w:color w:val="auto"/>
        </w:rPr>
        <w:t xml:space="preserve">o </w:t>
      </w:r>
      <w:r>
        <w:rPr>
          <w:rFonts w:ascii="Arial" w:cs="Arial" w:eastAsia="Arial" w:hAnsi="Arial"/>
          <w:sz w:val="18"/>
          <w:szCs w:val="18"/>
          <w:color w:val="auto"/>
        </w:rPr>
        <w:t>was committed in bad faith; or</w:t>
      </w:r>
    </w:p>
    <w:p>
      <w:pPr>
        <w:ind w:left="98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was the result of active and deliberate dishonesty;</w:t>
      </w:r>
    </w:p>
    <w:p>
      <w:pPr>
        <w:spacing w:after="0" w:line="20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However, under the MGCL, a Maryland corporation may not indemnify a director or officer for an adverse judgment in a suit by or on behalf of the corporation or if the director or officer was adjudged liable on the basis that personal benefit was improperly received, unless, in either case, a court orders indemnification and then only for expenses.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MGCL permits a Maryland corporation to advance reasonable expenses to a director or officer upon the corporation’s receipt of:</w:t>
      </w:r>
    </w:p>
    <w:p>
      <w:pPr>
        <w:spacing w:after="0" w:line="170"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director or officer or on the director’s or officer’s behalf to repay the amount paid if it shall ultimately be determined that the standard of conduct has not been met.</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obligates us, to the maximum extent permitted by Maryland law in effect from time to time, to indemnify and to pay or reimburse reasonable expenses in advance of final disposition of a proceeding without requiring a preliminary determination of the director’s or officer’s ultimate entitlement to indemnification to:</w:t>
      </w:r>
    </w:p>
    <w:p>
      <w:pPr>
        <w:spacing w:after="0" w:line="184"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the proceeding by reason of his or her service in that capacity; or</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individual who, while a director or officer of our company and at our request, serves or has served as a director, officer, partner, member, manager, trustee, employee or agent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also permits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that obligate us to indemnify them to the maximum extent permitted by Maryland law as discussed above under “Certain Provisions of Maryland Law and of Our Charter and Bylaws— Limitation of Liability and Indemnification of Directors and Officers.” The indemnification agreements provide that, if a director or executive officer is a party to, or witness in, or is threatened to be made a party to, or witness in, any proceeding by reason of his or her service as a director, officer, employee or agent of our company or as a director, officer, partner, member, manager, fiduciary, employee, agent or trustee of any other foreign or domestic corporation, real estate investment trust, partnership, limited liability company, joint venture, trust, employee benefit plan or other enterprise that he or she is or was serving in such capacity at our request, or the request of our external manager, we must indemnify the director or executive officer for all expenses and liabilities actually and reasonably incurred by him or her, or on his or her behalf, to the maximum extent permitted under Maryland law, including in any proceeding brought by the director or executive officer to enforce his or her rights under the indemnification agreement, to the extent provided by the agreement. The indemnification agreements also require us to advance reasonable expenses incurred by the indemnitee within ten days of the receipt by us of a statement from the indemnitee requesting the advance, provided the statement evidences the expenses and is accompanied or preceded 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5" w:name="page106"/>
    <w:bookmarkEnd w:id="105"/>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written affirmation of the indemnitee’s good faith belief that he or she has met the standard of conduct necessary for indemnification;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indemnitee or on his or her behalf to repay the amount paid if it shall ultimately be established that the standard of conduct has not been met.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indemnification agreements also provide for procedures for the determination of entitlement to indemnification, including requiring such determination be made by independent counsel after a change of control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our board of directors may revoke or otherwise terminate our election to be taxed as a real estate investment trust (“REIT”) for U.S. federal income tax purposes, without approval of our stockholders, if it determines that it is no longer in our best interest to continue to qualify as a REIT.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to qualify and maintain our qualification as a REIT for each taxable year commencing with our taxable year ending December 31, 2020, our shares of stock must be beneficially owned by 100 or more persons during at least 335 days of a taxable year of 12 months or during a proportionate part of a shorter taxable year. Also, not more than 50% of the value of our outstanding shares of stock may be owned, directly or indirectly, by five or fewer individuals (as defined in the Internal Revenue Code of 1986, as amended (the “Code”), to include certain entities) during the last half of a taxable year commencing with our taxable year ending December 31, 2020.</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our board of directors believes it is at present essential for us to qualify as a REIT, our charter, subject to certain exceptions, restricts the amount of our shares of stock that a person may beneficially or constructively own. Our charter provides that, subject to certain exceptions, no person may beneficially or constructively own more than 9.8% in value or in number of shares, whichever is more restrictive, of the outstanding shares of any class or series of our capital stock.</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charter also prohibits any person from (i) beneficially owning shares of our capital stock to the extent that such beneficial ownership would result in our being “closely held” within the meaning of Section 856(h) of the Code (without regard to whether the ownership interest is held during the last half of the taxable year), (ii) transferring shares of our capital stock to the extent that such transfer would result in shares of our capital stock being beneficially owned by less than 100 persons (determined under the principles of Section 856(a)(5) of the Code), (iii) beneficially or constructively owning shares of our capital stock to the extent such beneficial or constructive ownership would cause us to constructively own 10% or more of the ownership interests in a tenant (other than a taxable REIT subsidiary (as defined in Section 856(l) of the Code)) of our real property within the meaning of Section 856(d)(2)(B) of the Code or (iv) beneficially or constructively owning or transferring shares of our capital stock if such ownership or transfer would otherwise cause us to fail to qualify as a REIT. Any person who acquires or attempts or intends to acquire beneficial or constructive ownership of shares of our capital stock that will or may violate any of the foregoing restrictions on transferability and ownership, or any person who would have owned shares of our capital stock that resulted in a transfer of shares of our capital stock to a charitable trust, is required to give written notice immediately to us, or in the case of a proposed or attempted transaction, to give at least 15 days’ prior written notice,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6" w:name="page107"/>
    <w:bookmarkEnd w:id="106"/>
    <w:p>
      <w:pPr>
        <w:jc w:val="both"/>
        <w:ind w:firstLine="324"/>
        <w:spacing w:after="0" w:line="272" w:lineRule="auto"/>
        <w:rPr>
          <w:sz w:val="20"/>
          <w:szCs w:val="20"/>
          <w:color w:val="auto"/>
        </w:rPr>
      </w:pPr>
      <w:r>
        <w:rPr>
          <w:rFonts w:ascii="Arial" w:cs="Arial" w:eastAsia="Arial" w:hAnsi="Arial"/>
          <w:sz w:val="17"/>
          <w:szCs w:val="17"/>
          <w:color w:val="auto"/>
        </w:rPr>
        <w:t>Our board of directors, in its sole discretion, may prospectively or retroactively exempt a person from the limits described above and may establish or increase an excepted holder percentage limit for such person. The person seeking an exemption must provide to our board of directors such representations, covenants and undertakings as our board of directors may deem appropriate in order to conclude that granting the exemption will not cause us to fail to qualify as a REIT. Our board of directors may not grant such an exemption to any person if such exemption would result in our failing to qualify as a REIT. Our board of directors may require a ruling from the Internal Revenue Service or an opinion of counsel, in either case in form and substance satisfactory to the board of directors, in its sole discretion, in order to determine or ensure our status as a REIT.</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Any attempted transfer of shares of our capital stock which, if effective, would violate any of the restrictions described above will result in the number of shares causing the violation (rounded up to the nearest whole share) to be automatically transferred to a trust for the exclusive benefit of one or more charitable beneficiaries, except that any transfer that results in the violation of the restriction relating to shares of our capital stock being beneficially owned by fewer than 100 persons will be void </w:t>
      </w:r>
      <w:r>
        <w:rPr>
          <w:rFonts w:ascii="Arial" w:cs="Arial" w:eastAsia="Arial" w:hAnsi="Arial"/>
          <w:sz w:val="16"/>
          <w:szCs w:val="16"/>
          <w:i w:val="1"/>
          <w:iCs w:val="1"/>
          <w:color w:val="auto"/>
        </w:rPr>
        <w:t>ab initio</w:t>
      </w:r>
      <w:r>
        <w:rPr>
          <w:rFonts w:ascii="Arial" w:cs="Arial" w:eastAsia="Arial" w:hAnsi="Arial"/>
          <w:sz w:val="16"/>
          <w:szCs w:val="16"/>
          <w:color w:val="auto"/>
        </w:rPr>
        <w:t>.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Within 20 days of receiving notice from us that shares of our capital stock have been transferred to the trust, the trustee will sell the shares to a person designated by the trustee, whose ownership of the shares will not violate the above ownership and transfer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(ii) the price received by the trustee (net of any commission and other 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shares of our capital stock held in the trust will be deemed to have been offered for sale to us, or our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which we may reduce by the amount of dividends and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jc w:val="both"/>
        <w:ind w:firstLine="324"/>
        <w:spacing w:after="0" w:line="263" w:lineRule="auto"/>
        <w:rPr>
          <w:sz w:val="20"/>
          <w:szCs w:val="20"/>
          <w:color w:val="auto"/>
        </w:rPr>
      </w:pPr>
      <w:r>
        <w:rPr>
          <w:rFonts w:ascii="Arial" w:cs="Arial" w:eastAsia="Arial" w:hAnsi="Arial"/>
          <w:sz w:val="18"/>
          <w:szCs w:val="18"/>
          <w:color w:val="auto"/>
        </w:rPr>
        <w:t xml:space="preserve">If a transfer to a charitable trust, as described above, would be ineffective for any reason to prevent a violation of a restriction, the transfer that would have resulted in such violation will be void </w:t>
      </w:r>
      <w:r>
        <w:rPr>
          <w:rFonts w:ascii="Arial" w:cs="Arial" w:eastAsia="Arial" w:hAnsi="Arial"/>
          <w:sz w:val="18"/>
          <w:szCs w:val="18"/>
          <w:i w:val="1"/>
          <w:iCs w:val="1"/>
          <w:color w:val="auto"/>
        </w:rPr>
        <w:t>ab initio</w:t>
      </w:r>
      <w:r>
        <w:rPr>
          <w:rFonts w:ascii="Arial" w:cs="Arial" w:eastAsia="Arial" w:hAnsi="Arial"/>
          <w:sz w:val="18"/>
          <w:szCs w:val="18"/>
          <w:color w:val="auto"/>
        </w:rPr>
        <w:t>, and the proposed transferee shall acquire no rights in such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Every owner of more than 5% (or such lower percentage as required by the Code or the regulations promulgated thereunder) of shares of our capital stock, within 30 days after the end of each taxable year, is required to give us written notice, stating his or her name and address, the number of shares of each class and/or series of our stock that he or she beneficially owns and a description of the manner in which the shares are held. Each such owner must provide us with such additional information as we may request in order to determine the effect, if any, of his or her beneficial ownership on our status as a REIT and to ensure compliance with the ownership limits. In addition, each stockholder will upon demand be required to provide us with such information as we may request in order to determine our status as a REIT and to comply with the requirements of any taxing authority or governmental authority or to determine such compliance and to ensure compliance with the ownership limit.</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otherwise be in the best interest of our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 Alpine Income Property Trust,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w w:val="90"/>
              </w:rPr>
              <w:t>Percentage of Voting Securities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Organized Under Laws of</w:t>
            </w:r>
          </w:p>
        </w:tc>
        <w:tc>
          <w:tcPr>
            <w:tcW w:w="222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Owned by Immediate Parent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Alpine Income Property GP, LLC</w:t>
            </w: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1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1"/>
              </w:rPr>
              <w:t>(1)</w:t>
            </w:r>
          </w:p>
        </w:tc>
      </w:tr>
      <w:tr>
        <w:trPr>
          <w:trHeight w:val="206"/>
        </w:trPr>
        <w:tc>
          <w:tcPr>
            <w:tcW w:w="4800" w:type="dxa"/>
            <w:vAlign w:val="bottom"/>
            <w:gridSpan w:val="2"/>
          </w:tcPr>
          <w:p>
            <w:pPr>
              <w:spacing w:after="0"/>
              <w:rPr>
                <w:sz w:val="20"/>
                <w:szCs w:val="20"/>
                <w:color w:val="auto"/>
              </w:rPr>
            </w:pPr>
            <w:r>
              <w:rPr>
                <w:rFonts w:ascii="Arial" w:cs="Arial" w:eastAsia="Arial" w:hAnsi="Arial"/>
                <w:sz w:val="16"/>
                <w:szCs w:val="16"/>
                <w:color w:val="auto"/>
              </w:rPr>
              <w:t>Alpine Income Property OP, LP</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12"/>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Bluebird Metrowest Orlando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CTLC18 Lynn MA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Charlottesville VA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CTO16 Huntersville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Raleigh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CTO16 Reno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Brandon FL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CTO17 Hillsboro OR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Saugus MA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CTO19 Albany GA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Birmingham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CTO19 Troy WI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Winston Salem NC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Indigo Henry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Florida</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LHC15 Glendale AZ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PINE19 Alpharetta GA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Asheville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PINE19 Georgetown TX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Glendale AZ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PINE19 Jacksonville FL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Slaughter Austin TX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Alb NM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Aloma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2"/>
        </w:trPr>
        <w:tc>
          <w:tcPr>
            <w:tcW w:w="4800" w:type="dxa"/>
            <w:vAlign w:val="bottom"/>
            <w:gridSpan w:val="2"/>
          </w:tcPr>
          <w:p>
            <w:pPr>
              <w:spacing w:after="0"/>
              <w:rPr>
                <w:sz w:val="20"/>
                <w:szCs w:val="20"/>
                <w:color w:val="auto"/>
              </w:rPr>
            </w:pPr>
            <w:r>
              <w:rPr>
                <w:rFonts w:ascii="Arial" w:cs="Arial" w:eastAsia="Arial" w:hAnsi="Arial"/>
                <w:sz w:val="16"/>
                <w:szCs w:val="16"/>
                <w:color w:val="auto"/>
              </w:rPr>
              <w:t>PINE20 Arden NC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Barker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Bingham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Blanding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Blanding Pad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Cecelia KY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Chazy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Chicago IL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Cut &amp; Shoot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Del Rio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Glendale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Hammond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Harrisville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2"/>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Heuvelton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Highland KY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Howell MI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Hurst TX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Kermit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Limestone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Milford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Mountain Lake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Newtonsville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Odessa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Salem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Seguin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Severn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Somerville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Sun WI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Tacoma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Tulsa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Tulsa Pad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Tyn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4800" w:type="dxa"/>
            <w:vAlign w:val="bottom"/>
            <w:gridSpan w:val="2"/>
          </w:tcPr>
          <w:p>
            <w:pPr>
              <w:spacing w:after="0"/>
              <w:rPr>
                <w:sz w:val="20"/>
                <w:szCs w:val="20"/>
                <w:color w:val="auto"/>
              </w:rPr>
            </w:pPr>
            <w:r>
              <w:rPr>
                <w:rFonts w:ascii="Arial" w:cs="Arial" w:eastAsia="Arial" w:hAnsi="Arial"/>
                <w:sz w:val="16"/>
                <w:szCs w:val="16"/>
                <w:color w:val="auto"/>
              </w:rPr>
              <w:t>PINE20 Willis LLC</w:t>
            </w:r>
          </w:p>
        </w:tc>
        <w:tc>
          <w:tcPr>
            <w:tcW w:w="27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2"/>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Winthrop LLC</w:t>
            </w:r>
          </w:p>
        </w:tc>
        <w:tc>
          <w:tcPr>
            <w:tcW w:w="27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Delaware</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08"/>
        </w:trPr>
        <w:tc>
          <w:tcPr>
            <w:tcW w:w="248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80" w:lineRule="exact"/>
        <w:rPr>
          <w:sz w:val="20"/>
          <w:szCs w:val="20"/>
          <w:color w:val="auto"/>
        </w:rPr>
      </w:pPr>
    </w:p>
    <w:p>
      <w:pPr>
        <w:sectPr>
          <w:pgSz w:w="11900" w:h="16838" w:orient="portrait"/>
          <w:cols w:equalWidth="0" w:num="1">
            <w:col w:w="9920"/>
          </w:cols>
          <w:pgMar w:left="980" w:top="121" w:right="999" w:bottom="1440" w:gutter="0" w:footer="0" w:header="0"/>
        </w:sectPr>
      </w:pPr>
    </w:p>
    <w:p>
      <w:pPr>
        <w:ind w:right="20" w:firstLine="8"/>
        <w:spacing w:after="0" w:line="207" w:lineRule="auto"/>
        <w:tabs>
          <w:tab w:leader="none" w:pos="414"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Alpine Income Property Trust, Inc. (the “Company”) is the sole member of Alpine Income Property GP, 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09" w:name="page110"/>
    <w:bookmarkEnd w:id="109"/>
    <w:p>
      <w:pPr>
        <w:jc w:val="both"/>
        <w:ind w:firstLine="8"/>
        <w:spacing w:after="0" w:line="219" w:lineRule="auto"/>
        <w:tabs>
          <w:tab w:leader="none" w:pos="292"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General Partner is the sole general partner of Alpine Income Property OP, LP (the “Operating Partnership”). The Company owns an approximate 85.9% ownership interest in the Operating Partnership, with CTO Realty Growth, Inc. holding, directly and indirectly, an approximate 14.1% ownership interest in the Operating Partnership.</w:t>
      </w:r>
    </w:p>
    <w:p>
      <w:pPr>
        <w:spacing w:after="0" w:line="122" w:lineRule="exact"/>
        <w:rPr>
          <w:rFonts w:ascii="Arial" w:cs="Arial" w:eastAsia="Arial" w:hAnsi="Arial"/>
          <w:sz w:val="27"/>
          <w:szCs w:val="27"/>
          <w:color w:val="auto"/>
          <w:vertAlign w:val="superscript"/>
        </w:rPr>
      </w:pPr>
    </w:p>
    <w:p>
      <w:pPr>
        <w:ind w:left="300" w:hanging="292"/>
        <w:spacing w:after="0"/>
        <w:tabs>
          <w:tab w:leader="none" w:pos="30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Operating Partnership is the sole member.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subsidiaries are included in the Consolidated and Combined Financial Statements of the Company and its subsidiaries appearing elsewhere in the Company’s Annual Report on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issued our report dated February 16, 2021, with respect to the consolidated financial statements included in the Annual Report of Alpine Income Property Trust, Inc. on Form 10-K for the year ended December 31, 2020. We consent to the incorporation by reference of said report in the Registration Statements of Alpine Income Property Trust, Inc. on Form S-3 (File No. 333-251057) and Form S-8 (File No. 333-235256).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John P. Albright,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20" w:val="left"/>
          <w:tab w:leader="none" w:pos="652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Matthew M. Partridge, certify that:</w:t>
      </w:r>
    </w:p>
    <w:p>
      <w:pPr>
        <w:spacing w:after="0" w:line="22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00" w:val="left"/>
          <w:tab w:leader="none" w:pos="624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Matthew M. Partridge</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Treasurer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2020,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February 16, 2021</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077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2020,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February 16, 2021</w:t>
      </w:r>
      <w:r>
        <w:rPr>
          <w:sz w:val="20"/>
          <w:szCs w:val="20"/>
          <w:color w:val="auto"/>
        </w:rPr>
        <w:tab/>
      </w:r>
      <w:r>
        <w:rPr>
          <w:rFonts w:ascii="Arial" w:cs="Arial" w:eastAsia="Arial" w:hAnsi="Arial"/>
          <w:sz w:val="17"/>
          <w:szCs w:val="17"/>
          <w:color w:val="auto"/>
        </w:rPr>
        <w:t>/S/  MATTHEW M. PARTRIDGE</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Senior Vice President, Chief Financial Officer and Treasurer</w:t>
      </w:r>
    </w:p>
    <w:p>
      <w:pPr>
        <w:spacing w:after="0" w:line="21"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lowerRoman"/>
      <w:start w:val="4"/>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lowerRoman"/>
      <w:start w:val="2"/>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1"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80" Type="http://schemas.openxmlformats.org/officeDocument/2006/relationships/hyperlink" Target="https://www.sec.gov/Archives/edgar/data/1786117/000155837019011294/ex-3d1.htm" TargetMode="External"/><Relationship Id="rId81" Type="http://schemas.openxmlformats.org/officeDocument/2006/relationships/hyperlink" Target="https://www.sec.gov/Archives/edgar/data/1786117/000155837019011294/ex-3d2.htm" TargetMode="External"/><Relationship Id="rId82" Type="http://schemas.openxmlformats.org/officeDocument/2006/relationships/hyperlink" Target="https://www.sec.gov/Archives/edgar/data/1786117/000119312519277917/d793798dex41.htm" TargetMode="External"/><Relationship Id="rId83" Type="http://schemas.openxmlformats.org/officeDocument/2006/relationships/hyperlink" Target="https://www.sec.gov/Archives/edgar/data/1786117/000155837019011294/ex-10d1.htm" TargetMode="External"/><Relationship Id="rId84" Type="http://schemas.openxmlformats.org/officeDocument/2006/relationships/hyperlink" Target="https://www.sec.gov/Archives/edgar/data/1786117/000155837019011294/ex-10d2.htm" TargetMode="External"/><Relationship Id="rId85" Type="http://schemas.openxmlformats.org/officeDocument/2006/relationships/hyperlink" Target="https://www.sec.gov/Archives/edgar/data/1786117/000155837019011294/ex-10d3.htm" TargetMode="External"/><Relationship Id="rId86" Type="http://schemas.openxmlformats.org/officeDocument/2006/relationships/hyperlink" Target="https://www.sec.gov/Archives/edgar/data/1786117/000155837019011294/ex-10d4.htm" TargetMode="External"/><Relationship Id="rId87" Type="http://schemas.openxmlformats.org/officeDocument/2006/relationships/hyperlink" Target="https://www.sec.gov/Archives/edgar/data/1786117/000155837019011294/ex-10d5.htm" TargetMode="External"/><Relationship Id="rId88" Type="http://schemas.openxmlformats.org/officeDocument/2006/relationships/hyperlink" Target="https://www.sec.gov/Archives/edgar/data/1786117/000155837019011294/ex-10d6.htm" TargetMode="External"/><Relationship Id="rId89" Type="http://schemas.openxmlformats.org/officeDocument/2006/relationships/hyperlink" Target="https://www.sec.gov/Archives/edgar/data/1786117/000155837019011294/ex-10d7.htm" TargetMode="External"/><Relationship Id="rId90" Type="http://schemas.openxmlformats.org/officeDocument/2006/relationships/hyperlink" Target="https://www.sec.gov/Archives/edgar/data/1786117/000155837019011294/ex-10d8.htm" TargetMode="External"/><Relationship Id="rId92" Type="http://schemas.openxmlformats.org/officeDocument/2006/relationships/hyperlink" Target="https://www.sec.gov/Archives/edgar/data/1786117/000155837019011294/ex-10d10.htm" TargetMode="External"/><Relationship Id="rId93" Type="http://schemas.openxmlformats.org/officeDocument/2006/relationships/hyperlink" Target="https://www.sec.gov/Archives/edgar/data/1786117/000155837019011294/ex-10d11.htm" TargetMode="External"/><Relationship Id="rId94" Type="http://schemas.openxmlformats.org/officeDocument/2006/relationships/hyperlink" Target="https://www.sec.gov/Archives/edgar/data/1786117/000155837019011294/ex-10d12.htm" TargetMode="External"/><Relationship Id="rId95" Type="http://schemas.openxmlformats.org/officeDocument/2006/relationships/hyperlink" Target="https://www.sec.gov/Archives/edgar/data/1786117/000155837019011294/ex-10d13.htm" TargetMode="External"/><Relationship Id="rId96" Type="http://schemas.openxmlformats.org/officeDocument/2006/relationships/hyperlink" Target="https://www.sec.gov/Archives/edgar/data/1786117/000155837019011294/ex-10d14.htm" TargetMode="External"/><Relationship Id="rId97" Type="http://schemas.openxmlformats.org/officeDocument/2006/relationships/hyperlink" Target="https://www.sec.gov/Archives/edgar/data/1786117/000155837019011294/ex-10d15.htm" TargetMode="External"/><Relationship Id="rId98" Type="http://schemas.openxmlformats.org/officeDocument/2006/relationships/hyperlink" Target="https://www.sec.gov/Archives/edgar/data/1786117/000155837021000918/tmb-20210210xex10d1.htm" TargetMode="External"/><Relationship Id="rId99" Type="http://schemas.openxmlformats.org/officeDocument/2006/relationships/hyperlink" Target="https://www.sec.gov/Archives/edgar/data/1786117/000119312519300042/d839902dex101.htm" TargetMode="External"/><Relationship Id="rId100" Type="http://schemas.openxmlformats.org/officeDocument/2006/relationships/hyperlink" Target="https://www.sec.gov/Archives/edgar/data/1786117/000155837019011294/ex-10d17.htm" TargetMode="External"/><Relationship Id="rId101" Type="http://schemas.openxmlformats.org/officeDocument/2006/relationships/hyperlink" Target="https://www.sec.gov/Archives/edgar/data/1786117/000119312519287435/d793798dex1011.htm" TargetMode="External"/><Relationship Id="rId102" Type="http://schemas.openxmlformats.org/officeDocument/2006/relationships/hyperlink" Target="https://www.sec.gov/Archives/edgar/data/1786117/000155837020009023/pine-20200630ex10198fe37.htm" TargetMode="External"/><Relationship Id="rId103" Type="http://schemas.openxmlformats.org/officeDocument/2006/relationships/hyperlink" Target="https://www.sec.gov/Archives/edgar/data/1786117/000155837020011628/tmb-20201016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2021-02-16T16:20:19Z</dcterms:created>
  <dcterms:modified xsi:type="dcterms:W3CDTF">2021-02-16T16:20:19Z</dcterms:modified>
</cp:coreProperties>
</file>