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pine-20231231x10k.htm"/>
        <w:bookmarkStart w:id="1" w:name="kspine2023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b2555374_b4b0_40c0_a2c3_6adf34226233"/>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Washington, DC 20549</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10-K</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           </w:t>
      </w:r>
      <w:r>
        <w:rPr>
          <w:rFonts w:ascii="Times New Roman;Times;serif" w:hAnsi="Times New Roman;Times;serif"/>
          <w:b/>
          <w:sz w:val="16"/>
        </w:rPr>
        <w:t>ANNUAL REPORT PURSUANT TO SECTION 13 OR 15(d) OF THE SECURITIES EXCHANGE ACT OF 1934</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2023</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           </w:t>
      </w:r>
      <w:r>
        <w:rPr>
          <w:rFonts w:ascii="Times New Roman;Times;serif" w:hAnsi="Times New Roman;Times;serif"/>
          <w:b/>
          <w:sz w:val="16"/>
        </w:rPr>
        <w:t>TRANSITION REPORT PURSUANT TO SECTION 13 OR 15(d) OF THE SECURITIES EXCHANGE ACT OF 1934</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xml:space="preserve">For the transition period from </w:t>
      </w:r>
      <w:r>
        <w:rPr>
          <w:rFonts w:ascii="Times New Roman;Times;serif" w:hAnsi="Times New Roman;Times;serif"/>
          <w:sz w:val="16"/>
        </w:rPr>
        <w:t xml:space="preserve">          </w:t>
      </w:r>
      <w:r>
        <w:rPr>
          <w:rFonts w:ascii="Times New Roman;Times;serif" w:hAnsi="Times New Roman;Times;serif"/>
          <w:b/>
          <w:sz w:val="16"/>
        </w:rPr>
        <w:t>to</w:t>
      </w:r>
      <w:r>
        <w:rPr>
          <w:rFonts w:ascii="Times New Roman;Times;serif" w:hAnsi="Times New Roman;Times;serif"/>
          <w:sz w:val="16"/>
        </w:rPr>
        <w:t xml:space="preserve">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001-39143</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ALPINE INCOME PROPERTY TRUST,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 w:name="Tc_lmdR2mzC7E6DEDHDeyAr9Q_3_1"/>
      <w:bookmarkStart w:id="4" w:name="Tc_E0MIcqB3pk6PpODC-nVOAA_3_0"/>
      <w:bookmarkStart w:id="5" w:name="Tc_Cm06VtqePUq760d0Wsd05A_2_1"/>
      <w:bookmarkStart w:id="6" w:name="Tc_7DYperMmM0296vC29CJT2A_2_0"/>
      <w:bookmarkStart w:id="7" w:name="_391b19ac_d944_4882_be45_f70e9c55e18a"/>
      <w:bookmarkStart w:id="8" w:name="Tc_lmdR2mzC7E6DEDHDeyAr9Q_3_1"/>
      <w:bookmarkStart w:id="9" w:name="Tc_E0MIcqB3pk6PpODC-nVOAA_3_0"/>
      <w:bookmarkStart w:id="10" w:name="Tc_Cm06VtqePUq760d0Wsd05A_2_1"/>
      <w:bookmarkStart w:id="11" w:name="Tc_7DYperMmM0296vC29CJT2A_2_0"/>
      <w:bookmarkStart w:id="12" w:name="_391b19ac_d944_4882_be45_f70e9c55e18a"/>
      <w:bookmarkEnd w:id="8"/>
      <w:bookmarkEnd w:id="9"/>
      <w:bookmarkEnd w:id="10"/>
      <w:bookmarkEnd w:id="11"/>
      <w:bookmarkEnd w:id="12"/>
    </w:p>
    <w:tbl>
      <w:tblPr>
        <w:tblW w:w="3857" w:type="dxa"/>
        <w:jc w:val="left"/>
        <w:tblInd w:w="0" w:type="dxa"/>
        <w:tblLayout w:type="fixed"/>
        <w:tblCellMar>
          <w:top w:w="0" w:type="dxa"/>
          <w:left w:w="0" w:type="dxa"/>
          <w:bottom w:w="0" w:type="dxa"/>
          <w:right w:w="0" w:type="dxa"/>
        </w:tblCellMar>
      </w:tblPr>
      <w:tblGrid>
        <w:gridCol w:w="2371"/>
        <w:gridCol w:w="1486"/>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505585" cy="29210"/>
                      <wp:effectExtent l="0" t="0" r="0" b="0"/>
                      <wp:wrapNone/>
                      <wp:docPr id="1" name="Frame1"/>
                      <a:graphic xmlns:a="http://schemas.openxmlformats.org/drawingml/2006/main">
                        <a:graphicData uri="http://schemas.microsoft.com/office/word/2010/wordprocessingShape">
                          <wps:wsp>
                            <wps:cNvSpPr txBox="1"/>
                            <wps:spPr>
                              <a:xfrm>
                                <a:off x="0" y="0"/>
                                <a:ext cx="1505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43610" cy="29210"/>
                      <wp:effectExtent l="0" t="0" r="0" b="0"/>
                      <wp:wrapNone/>
                      <wp:docPr id="2" name="Frame2"/>
                      <a:graphic xmlns:a="http://schemas.openxmlformats.org/drawingml/2006/main">
                        <a:graphicData uri="http://schemas.microsoft.com/office/word/2010/wordprocessingShape">
                          <wps:wsp>
                            <wps:cNvSpPr txBox="1"/>
                            <wps:spPr>
                              <a:xfrm>
                                <a:off x="0" y="0"/>
                                <a:ext cx="943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Maryland</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84-2769895</w:t>
            </w:r>
          </w:p>
        </w:tc>
      </w:tr>
      <w:tr>
        <w:trPr/>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tc>
      </w:tr>
      <w:tr>
        <w:trPr/>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6hkE3PLNxEu1LQ-NXaHDlw_3_1"/>
      <w:bookmarkStart w:id="14" w:name="Tc_xlTU-kXDLE2OSyKfVrILZw_3_0"/>
      <w:bookmarkStart w:id="15" w:name="Tc_n0FpUULWIEyExQQ9VF5moA_2_0"/>
      <w:bookmarkStart w:id="16" w:name="Tc_ZA9mKJ0GNUKx3fBVsTaFtQ_1_0"/>
      <w:bookmarkStart w:id="17" w:name="_47b806e9_828f_4e6a_a806_575a83e22086"/>
      <w:bookmarkStart w:id="18" w:name="Tc_6hkE3PLNxEu1LQ-NXaHDlw_3_1"/>
      <w:bookmarkStart w:id="19" w:name="Tc_xlTU-kXDLE2OSyKfVrILZw_3_0"/>
      <w:bookmarkStart w:id="20" w:name="Tc_n0FpUULWIEyExQQ9VF5moA_2_0"/>
      <w:bookmarkStart w:id="21" w:name="Tc_ZA9mKJ0GNUKx3fBVsTaFtQ_1_0"/>
      <w:bookmarkStart w:id="22" w:name="_47b806e9_828f_4e6a_a806_575a83e22086"/>
      <w:bookmarkEnd w:id="18"/>
      <w:bookmarkEnd w:id="19"/>
      <w:bookmarkEnd w:id="20"/>
      <w:bookmarkEnd w:id="21"/>
      <w:bookmarkEnd w:id="22"/>
    </w:p>
    <w:tbl>
      <w:tblPr>
        <w:tblW w:w="3857" w:type="dxa"/>
        <w:jc w:val="left"/>
        <w:tblInd w:w="0" w:type="dxa"/>
        <w:tblLayout w:type="fixed"/>
        <w:tblCellMar>
          <w:top w:w="0" w:type="dxa"/>
          <w:left w:w="0" w:type="dxa"/>
          <w:bottom w:w="0" w:type="dxa"/>
          <w:right w:w="0" w:type="dxa"/>
        </w:tblCellMar>
      </w:tblPr>
      <w:tblGrid>
        <w:gridCol w:w="2926"/>
        <w:gridCol w:w="93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58010" cy="29210"/>
                      <wp:effectExtent l="0" t="0" r="0" b="0"/>
                      <wp:wrapNone/>
                      <wp:docPr id="3" name="Frame3"/>
                      <a:graphic xmlns:a="http://schemas.openxmlformats.org/drawingml/2006/main">
                        <a:graphicData uri="http://schemas.microsoft.com/office/word/2010/wordprocessingShape">
                          <wps:wsp>
                            <wps:cNvSpPr txBox="1"/>
                            <wps:spPr>
                              <a:xfrm>
                                <a:off x="0" y="0"/>
                                <a:ext cx="1858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91185" cy="29210"/>
                      <wp:effectExtent l="0" t="0" r="0" b="0"/>
                      <wp:wrapNone/>
                      <wp:docPr id="4" name="Frame4"/>
                      <a:graphic xmlns:a="http://schemas.openxmlformats.org/drawingml/2006/main">
                        <a:graphicData uri="http://schemas.microsoft.com/office/word/2010/wordprocessingShape">
                          <wps:wsp>
                            <wps:cNvSpPr txBox="1"/>
                            <wps:spPr>
                              <a:xfrm>
                                <a:off x="0" y="0"/>
                                <a:ext cx="591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369 N. New York Avenue, Suite 201</w:t>
            </w:r>
            <w:r>
              <w:rPr>
                <w:rFonts w:ascii="Times New Roman;Times;serif" w:hAnsi="Times New Roman;Times;serif"/>
                <w:sz w:val="20"/>
              </w:rPr>
              <w:t xml:space="preserve"> </w:t>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Winter Park, Florida</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32789</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lineRule="auto" w:line="256" w:before="0" w:after="0"/>
        <w:ind w:left="0" w:right="0" w:hanging="0"/>
        <w:jc w:val="center"/>
        <w:rPr>
          <w:rFonts w:ascii="Times New Roman;Times;serif" w:hAnsi="Times New Roman;Times;serif"/>
          <w:b/>
          <w:sz w:val="16"/>
        </w:rPr>
      </w:pPr>
      <w:r>
        <w:rPr>
          <w:rFonts w:ascii="Times New Roman;Times;serif" w:hAnsi="Times New Roman;Times;serif"/>
          <w:b/>
          <w:sz w:val="16"/>
        </w:rPr>
        <w:t>(407) 904-3324</w:t>
      </w:r>
    </w:p>
    <w:p>
      <w:pPr>
        <w:pStyle w:val="TextBody"/>
        <w:bidi w:val="0"/>
        <w:spacing w:lineRule="auto" w:line="256" w:before="0" w:after="240"/>
        <w:ind w:left="0" w:right="0" w:hanging="0"/>
        <w:jc w:val="center"/>
        <w:rPr/>
      </w:pPr>
      <w:r>
        <w:rPr/>
        <w:t>​</w:t>
      </w:r>
    </w:p>
    <w:p>
      <w:pPr>
        <w:pStyle w:val="TextBody"/>
        <w:bidi w:val="0"/>
        <w:spacing w:lineRule="auto" w:line="256" w:before="0" w:after="240"/>
        <w:ind w:left="0" w:right="0" w:hanging="0"/>
        <w:jc w:val="center"/>
        <w:rPr/>
      </w:pPr>
      <w:r>
        <w:rPr/>
        <w:t>​</w:t>
      </w:r>
    </w:p>
    <w:p>
      <w:pPr>
        <w:pStyle w:val="TextBody"/>
        <w:bidi w:val="0"/>
        <w:spacing w:lineRule="auto" w:line="256"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TextBody"/>
        <w:bidi w:val="0"/>
        <w:spacing w:lineRule="auto" w:line="256" w:before="0" w:after="240"/>
        <w:ind w:left="0" w:right="0" w:hanging="0"/>
        <w:jc w:val="both"/>
        <w:rPr/>
      </w:pPr>
      <w:r>
        <w:rPr/>
        <w:t>​</w:t>
      </w:r>
    </w:p>
    <w:p>
      <w:pPr>
        <w:pStyle w:val="Normal"/>
        <w:bidi w:val="0"/>
        <w:spacing w:before="0" w:after="0"/>
        <w:jc w:val="left"/>
        <w:rPr>
          <w:sz w:val="4"/>
          <w:szCs w:val="4"/>
        </w:rPr>
      </w:pPr>
      <w:r>
        <w:rPr>
          <w:sz w:val="4"/>
          <w:szCs w:val="4"/>
        </w:rPr>
      </w:r>
      <w:bookmarkStart w:id="23" w:name="Tc_HR1Siz-eRUOj1oKc3h-YlQ_2_4"/>
      <w:bookmarkStart w:id="24" w:name="Tc_1ezGkrzC0ECaY9aDIydLzA_2_2"/>
      <w:bookmarkStart w:id="25" w:name="Tc_hk-i8CwYZUuP8lRkfthnfg_2_0"/>
      <w:bookmarkStart w:id="26" w:name="Tc_CPs-JXPk80yH90SbMARKhA_1_4"/>
      <w:bookmarkStart w:id="27" w:name="_95a3012e_9d60_4f8f_8a67_a69feed569bd"/>
      <w:bookmarkStart w:id="28" w:name="Tc_HR1Siz-eRUOj1oKc3h-YlQ_2_4"/>
      <w:bookmarkStart w:id="29" w:name="Tc_1ezGkrzC0ECaY9aDIydLzA_2_2"/>
      <w:bookmarkStart w:id="30" w:name="Tc_hk-i8CwYZUuP8lRkfthnfg_2_0"/>
      <w:bookmarkStart w:id="31" w:name="Tc_CPs-JXPk80yH90SbMARKhA_1_4"/>
      <w:bookmarkStart w:id="32" w:name="_95a3012e_9d60_4f8f_8a67_a69feed569bd"/>
      <w:bookmarkEnd w:id="28"/>
      <w:bookmarkEnd w:id="29"/>
      <w:bookmarkEnd w:id="30"/>
      <w:bookmarkEnd w:id="31"/>
      <w:bookmarkEnd w:id="32"/>
    </w:p>
    <w:tbl>
      <w:tblPr>
        <w:tblW w:w="7585" w:type="dxa"/>
        <w:jc w:val="left"/>
        <w:tblInd w:w="0" w:type="dxa"/>
        <w:tblLayout w:type="fixed"/>
        <w:tblCellMar>
          <w:top w:w="0" w:type="dxa"/>
          <w:left w:w="0" w:type="dxa"/>
          <w:bottom w:w="0" w:type="dxa"/>
          <w:right w:w="0" w:type="dxa"/>
        </w:tblCellMar>
      </w:tblPr>
      <w:tblGrid>
        <w:gridCol w:w="3061"/>
        <w:gridCol w:w="326"/>
        <w:gridCol w:w="1276"/>
        <w:gridCol w:w="326"/>
        <w:gridCol w:w="2596"/>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lineRule="auto" w:line="256" w:before="0" w:after="0"/>
              <w:ind w:left="0" w:right="0" w:hanging="0"/>
              <w:jc w:val="left"/>
              <w:rPr/>
            </w:pPr>
            <w:r>
              <w:rPr/>
              <w:t>​</w:t>
            </w:r>
          </w:p>
        </w:tc>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lineRule="auto" w:line="256" w:before="0" w:after="0"/>
              <w:ind w:left="0" w:right="0" w:hanging="0"/>
              <w:jc w:val="left"/>
              <w:rPr/>
            </w:pPr>
            <w:r>
              <w:rPr/>
              <w:t>​</w:t>
            </w:r>
          </w:p>
        </w:tc>
        <w:tc>
          <w:tcPr>
            <w:tcW w:w="2596" w:type="dxa"/>
            <w:tcBorders/>
            <w:vAlign w:val="center"/>
          </w:tcPr>
          <w:p>
            <w:pPr>
              <w:pStyle w:val="TableContents"/>
              <w:bidi w:val="0"/>
              <w:spacing w:before="0" w:after="283"/>
              <w:ind w:left="0" w:right="0" w:hanging="0"/>
              <w:jc w:val="left"/>
              <w:rPr>
                <w:sz w:val="4"/>
                <w:szCs w:val="4"/>
              </w:rPr>
            </w:pPr>
            <w:r>
              <w:rPr>
                <w:sz w:val="4"/>
                <w:szCs w:val="4"/>
              </w:rPr>
            </w:r>
          </w:p>
        </w:tc>
      </w:tr>
      <w:tr>
        <w:trPr/>
        <w:tc>
          <w:tcPr>
            <w:tcW w:w="30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lineRule="auto" w:line="256" w:before="0" w:after="0"/>
              <w:ind w:left="0" w:right="0" w:hanging="0"/>
              <w:jc w:val="center"/>
              <w:rPr/>
            </w:pPr>
            <w:r>
              <w:rPr/>
              <w:t>    </w:t>
            </w:r>
          </w:p>
        </w:tc>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lineRule="auto" w:line="256" w:before="0" w:after="0"/>
              <w:ind w:left="0" w:right="0" w:hanging="0"/>
              <w:jc w:val="center"/>
              <w:rPr/>
            </w:pPr>
            <w:r>
              <w:rPr/>
              <w:t>    </w:t>
            </w:r>
          </w:p>
        </w:tc>
        <w:tc>
          <w:tcPr>
            <w:tcW w:w="2596" w:type="dxa"/>
            <w:tcBorders/>
            <w:vAlign w:val="center"/>
          </w:tcPr>
          <w:p>
            <w:pPr>
              <w:pStyle w:val="TableContents"/>
              <w:bidi w:val="0"/>
              <w:spacing w:lineRule="auto" w:line="256"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Name of each exchange on which </w:t>
            </w:r>
          </w:p>
        </w:tc>
      </w:tr>
      <w:tr>
        <w:trPr/>
        <w:tc>
          <w:tcPr>
            <w:tcW w:w="30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24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26" w:type="dxa"/>
            <w:tcBorders/>
            <w:vAlign w:val="center"/>
          </w:tcPr>
          <w:p>
            <w:pPr>
              <w:pStyle w:val="TableContents"/>
              <w:bidi w:val="0"/>
              <w:spacing w:before="0" w:after="240"/>
              <w:ind w:left="0" w:right="0" w:hanging="0"/>
              <w:jc w:val="center"/>
              <w:rPr/>
            </w:pPr>
            <w:r>
              <w:rPr/>
              <w:t>​</w:t>
            </w:r>
          </w:p>
        </w:tc>
        <w:tc>
          <w:tcPr>
            <w:tcW w:w="25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registered</w:t>
            </w:r>
          </w:p>
        </w:tc>
      </w:tr>
      <w:tr>
        <w:trPr/>
        <w:tc>
          <w:tcPr>
            <w:tcW w:w="30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COMMON STOCK, $0.01</w:t>
            </w:r>
            <w:r>
              <w:rPr>
                <w:rFonts w:ascii="Times New Roman;Times;serif" w:hAnsi="Times New Roman;Times;serif"/>
                <w:sz w:val="20"/>
              </w:rPr>
              <w:t xml:space="preserve"> </w:t>
            </w:r>
            <w:r>
              <w:rPr>
                <w:rFonts w:ascii="Times New Roman;Times;serif" w:hAnsi="Times New Roman;Times;serif"/>
                <w:b/>
                <w:sz w:val="16"/>
              </w:rPr>
              <w:t>PAR VALUE</w:t>
            </w:r>
          </w:p>
        </w:tc>
        <w:tc>
          <w:tcPr>
            <w:tcW w:w="326" w:type="dxa"/>
            <w:tcBorders/>
            <w:vAlign w:val="center"/>
          </w:tcPr>
          <w:p>
            <w:pPr>
              <w:pStyle w:val="TableContents"/>
              <w:bidi w:val="0"/>
              <w:spacing w:before="0" w:after="240"/>
              <w:ind w:left="0" w:right="0" w:hanging="0"/>
              <w:jc w:val="center"/>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PINE</w:t>
            </w:r>
          </w:p>
        </w:tc>
        <w:tc>
          <w:tcPr>
            <w:tcW w:w="326" w:type="dxa"/>
            <w:tcBorders/>
            <w:vAlign w:val="center"/>
          </w:tcPr>
          <w:p>
            <w:pPr>
              <w:pStyle w:val="TableContents"/>
              <w:bidi w:val="0"/>
              <w:spacing w:before="0" w:after="240"/>
              <w:ind w:left="0" w:right="0" w:hanging="0"/>
              <w:jc w:val="center"/>
              <w:rPr/>
            </w:pPr>
            <w:r>
              <w:rPr/>
              <w:t>​</w:t>
            </w:r>
          </w:p>
        </w:tc>
        <w:tc>
          <w:tcPr>
            <w:tcW w:w="25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NYSE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12(g) OF THE ACT: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NONE</w:t>
      </w:r>
    </w:p>
    <w:p>
      <w:pPr>
        <w:pStyle w:val="TextBody"/>
        <w:bidi w:val="0"/>
        <w:spacing w:before="0" w:after="240"/>
        <w:ind w:left="0" w:right="0" w:hanging="0"/>
        <w:jc w:val="center"/>
        <w:rPr/>
      </w:pPr>
      <w:r>
        <w:rPr/>
        <w:t>​</w:t>
      </w:r>
    </w:p>
    <w:p>
      <w:pPr>
        <w:pStyle w:val="TextBody"/>
        <w:bidi w:val="0"/>
        <w:spacing w:lineRule="auto" w:line="256"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lineRule="auto" w:line="256" w:before="0" w:after="240"/>
        <w:ind w:left="0" w:right="0" w:hanging="0"/>
        <w:jc w:val="both"/>
        <w:rPr/>
      </w:pPr>
      <w:r>
        <w:rPr/>
        <w:t>​</w:t>
      </w:r>
    </w:p>
    <w:p>
      <w:pPr>
        <w:pStyle w:val="TextBody"/>
        <w:bidi w:val="0"/>
        <w:spacing w:lineRule="auto" w:line="256"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lineRule="auto" w:line="256" w:before="0" w:after="240"/>
        <w:ind w:left="0" w:right="0" w:hanging="0"/>
        <w:jc w:val="both"/>
        <w:rPr/>
      </w:pPr>
      <w:r>
        <w:rPr/>
        <w:t>​</w:t>
      </w:r>
    </w:p>
    <w:p>
      <w:pPr>
        <w:pStyle w:val="TextBody"/>
        <w:bidi w:val="0"/>
        <w:spacing w:lineRule="auto" w:line="256"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uto" w:line="256" w:before="0" w:after="240"/>
        <w:ind w:left="0" w:right="0" w:hanging="0"/>
        <w:jc w:val="both"/>
        <w:rPr/>
      </w:pPr>
      <w:r>
        <w:rPr/>
        <w:t>​</w:t>
      </w:r>
    </w:p>
    <w:p>
      <w:pPr>
        <w:pStyle w:val="TextBody"/>
        <w:bidi w:val="0"/>
        <w:spacing w:lineRule="auto" w:line="256"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56" w:before="0" w:after="240"/>
        <w:ind w:left="0" w:right="0" w:hanging="0"/>
        <w:jc w:val="both"/>
        <w:rPr/>
      </w:pPr>
      <w:r>
        <w:rPr/>
        <w:t>​</w:t>
      </w:r>
    </w:p>
    <w:p>
      <w:pPr>
        <w:pStyle w:val="TextBody"/>
        <w:bidi w:val="0"/>
        <w:spacing w:lineRule="auto" w:line="256"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56" w:before="0" w:after="240"/>
        <w:ind w:left="0" w:right="0" w:hanging="0"/>
        <w:jc w:val="both"/>
        <w:rPr/>
      </w:pPr>
      <w:r>
        <w:rPr/>
        <w:t>​</w:t>
      </w:r>
    </w:p>
    <w:tbl>
      <w:tblPr>
        <w:tblW w:w="7384" w:type="dxa"/>
        <w:jc w:val="left"/>
        <w:tblInd w:w="0" w:type="dxa"/>
        <w:tblLayout w:type="fixed"/>
        <w:tblCellMar>
          <w:top w:w="0" w:type="dxa"/>
          <w:left w:w="0" w:type="dxa"/>
          <w:bottom w:w="0" w:type="dxa"/>
          <w:right w:w="0" w:type="dxa"/>
        </w:tblCellMar>
      </w:tblPr>
      <w:tblGrid>
        <w:gridCol w:w="1861"/>
        <w:gridCol w:w="1441"/>
        <w:gridCol w:w="1786"/>
        <w:gridCol w:w="229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181735" cy="29210"/>
                      <wp:effectExtent l="0" t="0" r="0" b="0"/>
                      <wp:wrapNone/>
                      <wp:docPr id="5" name="Frame5"/>
                      <a:graphic xmlns:a="http://schemas.openxmlformats.org/drawingml/2006/main">
                        <a:graphicData uri="http://schemas.microsoft.com/office/word/2010/wordprocessingShape">
                          <wps:wsp>
                            <wps:cNvSpPr txBox="1"/>
                            <wps:spPr>
                              <a:xfrm>
                                <a:off x="0" y="0"/>
                                <a:ext cx="1181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15035" cy="29210"/>
                      <wp:effectExtent l="0" t="0" r="0" b="0"/>
                      <wp:wrapNone/>
                      <wp:docPr id="6" name="Frame6"/>
                      <a:graphic xmlns:a="http://schemas.openxmlformats.org/drawingml/2006/main">
                        <a:graphicData uri="http://schemas.microsoft.com/office/word/2010/wordprocessingShape">
                          <wps:wsp>
                            <wps:cNvSpPr txBox="1"/>
                            <wps:spPr>
                              <a:xfrm>
                                <a:off x="0" y="0"/>
                                <a:ext cx="915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134110" cy="29210"/>
                      <wp:effectExtent l="0" t="0" r="0" b="0"/>
                      <wp:wrapNone/>
                      <wp:docPr id="7" name="Frame7"/>
                      <a:graphic xmlns:a="http://schemas.openxmlformats.org/drawingml/2006/main">
                        <a:graphicData uri="http://schemas.microsoft.com/office/word/2010/wordprocessingShape">
                          <wps:wsp>
                            <wps:cNvSpPr txBox="1"/>
                            <wps:spPr>
                              <a:xfrm>
                                <a:off x="0" y="0"/>
                                <a:ext cx="1134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457960" cy="29210"/>
                      <wp:effectExtent l="0" t="0" r="0" b="0"/>
                      <wp:wrapNone/>
                      <wp:docPr id="8" name="Frame8"/>
                      <a:graphic xmlns:a="http://schemas.openxmlformats.org/drawingml/2006/main">
                        <a:graphicData uri="http://schemas.microsoft.com/office/word/2010/wordprocessingShape">
                          <wps:wsp>
                            <wps:cNvSpPr txBox="1"/>
                            <wps:spPr>
                              <a:xfrm>
                                <a:off x="0" y="0"/>
                                <a:ext cx="1457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61" w:type="dxa"/>
            <w:tcBorders/>
            <w:vAlign w:val="center"/>
          </w:tcPr>
          <w:p>
            <w:pPr>
              <w:pStyle w:val="TableContents"/>
              <w:bidi w:val="0"/>
              <w:spacing w:lineRule="auto" w:line="256"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 ☐</w:t>
            </w:r>
          </w:p>
        </w:tc>
        <w:tc>
          <w:tcPr>
            <w:tcW w:w="1441" w:type="dxa"/>
            <w:tcBorders/>
            <w:vAlign w:val="center"/>
          </w:tcPr>
          <w:p>
            <w:pPr>
              <w:pStyle w:val="TableContents"/>
              <w:bidi w:val="0"/>
              <w:spacing w:lineRule="auto" w:line="256"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c>
          <w:tcPr>
            <w:tcW w:w="1786" w:type="dxa"/>
            <w:tcBorders/>
            <w:vAlign w:val="center"/>
          </w:tcPr>
          <w:p>
            <w:pPr>
              <w:pStyle w:val="TableContents"/>
              <w:bidi w:val="0"/>
              <w:spacing w:lineRule="auto" w:line="256" w:before="0" w:after="0"/>
              <w:ind w:left="0" w:right="0" w:hanging="0"/>
              <w:jc w:val="center"/>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w:t>
            </w:r>
          </w:p>
        </w:tc>
        <w:tc>
          <w:tcPr>
            <w:tcW w:w="2296" w:type="dxa"/>
            <w:tcBorders/>
            <w:vAlign w:val="center"/>
          </w:tcPr>
          <w:p>
            <w:pPr>
              <w:pStyle w:val="TableContents"/>
              <w:bidi w:val="0"/>
              <w:spacing w:lineRule="auto" w:line="256" w:before="0" w:after="0"/>
              <w:ind w:left="0" w:right="0" w:hanging="0"/>
              <w:jc w:val="right"/>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tc>
      </w:tr>
      <w:tr>
        <w:trPr/>
        <w:tc>
          <w:tcPr>
            <w:tcW w:w="1861" w:type="dxa"/>
            <w:tcBorders/>
            <w:vAlign w:val="center"/>
          </w:tcPr>
          <w:p>
            <w:pPr>
              <w:pStyle w:val="TableContents"/>
              <w:bidi w:val="0"/>
              <w:spacing w:lineRule="auto" w:line="256" w:before="0" w:after="0"/>
              <w:ind w:left="0" w:right="0" w:hanging="0"/>
              <w:jc w:val="center"/>
              <w:rPr/>
            </w:pPr>
            <w:r>
              <w:rPr/>
              <w:t> </w:t>
            </w:r>
          </w:p>
        </w:tc>
        <w:tc>
          <w:tcPr>
            <w:tcW w:w="1441" w:type="dxa"/>
            <w:tcBorders/>
            <w:vAlign w:val="center"/>
          </w:tcPr>
          <w:p>
            <w:pPr>
              <w:pStyle w:val="TableContents"/>
              <w:bidi w:val="0"/>
              <w:spacing w:lineRule="auto" w:line="256" w:before="0" w:after="0"/>
              <w:ind w:left="0" w:right="0" w:hanging="0"/>
              <w:jc w:val="center"/>
              <w:rPr/>
            </w:pPr>
            <w:r>
              <w:rPr/>
              <w:t> </w:t>
            </w:r>
          </w:p>
        </w:tc>
        <w:tc>
          <w:tcPr>
            <w:tcW w:w="1786" w:type="dxa"/>
            <w:tcBorders/>
            <w:vAlign w:val="center"/>
          </w:tcPr>
          <w:p>
            <w:pPr>
              <w:pStyle w:val="TableContents"/>
              <w:bidi w:val="0"/>
              <w:spacing w:lineRule="auto" w:line="256" w:before="0" w:after="0"/>
              <w:ind w:left="0" w:right="0" w:hanging="0"/>
              <w:jc w:val="left"/>
              <w:rPr/>
            </w:pPr>
            <w:r>
              <w:rPr/>
              <w:t> </w:t>
            </w:r>
          </w:p>
        </w:tc>
        <w:tc>
          <w:tcPr>
            <w:tcW w:w="2296" w:type="dxa"/>
            <w:tcBorders/>
            <w:vAlign w:val="center"/>
          </w:tcPr>
          <w:p>
            <w:pPr>
              <w:pStyle w:val="TableContents"/>
              <w:bidi w:val="0"/>
              <w:spacing w:lineRule="auto" w:line="256" w:before="0" w:after="0"/>
              <w:ind w:left="0" w:right="0" w:hanging="0"/>
              <w:jc w:val="right"/>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lineRule="auto" w:line="256" w:before="0" w:after="0"/>
        <w:ind w:left="0" w:right="0" w:hanging="0"/>
        <w:jc w:val="left"/>
        <w:rPr/>
      </w:pPr>
      <w:r>
        <w:rPr/>
        <w:t>​</w:t>
      </w:r>
    </w:p>
    <w:p>
      <w:pPr>
        <w:pStyle w:val="TextBody"/>
        <w:bidi w:val="0"/>
        <w:spacing w:lineRule="auto" w:line="256" w:before="0" w:after="0"/>
        <w:ind w:left="0" w:right="0" w:hanging="0"/>
        <w:jc w:val="left"/>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lineRule="auto" w:line="256" w:before="0" w:after="240"/>
        <w:ind w:left="0" w:right="0" w:hanging="0"/>
        <w:jc w:val="left"/>
        <w:rPr/>
      </w:pPr>
      <w:r>
        <w:rPr/>
        <w:t>​</w:t>
      </w:r>
    </w:p>
    <w:p>
      <w:pPr>
        <w:pStyle w:val="TextBody"/>
        <w:bidi w:val="0"/>
        <w:spacing w:lineRule="auto" w:line="256"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Times;serif" w:hAnsi="Times New Roman;Times;serif"/>
          <w:sz w:val="20"/>
        </w:rPr>
        <w:t xml:space="preserve"> ☐    </w:t>
      </w:r>
    </w:p>
    <w:p>
      <w:pPr>
        <w:pStyle w:val="TextBody"/>
        <w:bidi w:val="0"/>
        <w:spacing w:lineRule="auto" w:line="256" w:before="0" w:after="0"/>
        <w:ind w:left="0" w:right="0" w:hanging="0"/>
        <w:jc w:val="both"/>
        <w:rPr>
          <w:rFonts w:ascii="Times New Roman;Times;serif" w:hAnsi="Times New Roman;Times;serif"/>
          <w:sz w:val="20"/>
        </w:rPr>
      </w:pPr>
      <w:r>
        <w:rPr>
          <w:rFonts w:ascii="Times New Roman;Times;serif" w:hAnsi="Times New Roman;Times;serif"/>
          <w:sz w:val="16"/>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Times;serif" w:hAnsi="Times New Roman;Times;serif"/>
          <w:sz w:val="20"/>
        </w:rPr>
        <w:t xml:space="preserve"> ☐    </w:t>
      </w:r>
    </w:p>
    <w:p>
      <w:pPr>
        <w:pStyle w:val="TextBody"/>
        <w:bidi w:val="0"/>
        <w:spacing w:lineRule="auto" w:line="256"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 240.10D-1(b). ☐    </w:t>
      </w:r>
    </w:p>
    <w:p>
      <w:pPr>
        <w:pStyle w:val="TextBody"/>
        <w:bidi w:val="0"/>
        <w:spacing w:lineRule="auto" w:line="256" w:before="0" w:after="240"/>
        <w:ind w:left="0" w:right="0" w:hanging="0"/>
        <w:jc w:val="both"/>
        <w:rPr/>
      </w:pPr>
      <w:r>
        <w:rPr/>
        <w:t>​</w:t>
      </w:r>
    </w:p>
    <w:p>
      <w:pPr>
        <w:pStyle w:val="TextBody"/>
        <w:bidi w:val="0"/>
        <w:spacing w:lineRule="auto" w:line="256"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uto" w:line="256" w:before="0" w:after="0"/>
        <w:ind w:left="0" w:right="0" w:hanging="0"/>
        <w:jc w:val="both"/>
        <w:rPr>
          <w:rFonts w:ascii="Times New Roman;Times;serif" w:hAnsi="Times New Roman;Times;serif"/>
          <w:sz w:val="16"/>
        </w:rPr>
      </w:pPr>
      <w:r>
        <w:rPr>
          <w:rFonts w:ascii="Times New Roman;Times;serif" w:hAnsi="Times New Roman;Times;serif"/>
          <w:sz w:val="16"/>
        </w:rPr>
        <w:t>On June 30, 2023, the last business day of the Registrant’s most recently completed second fiscal quarter, the aggregate market value of the Registrant’s common stock held by non-affiliates of the Registrant was $208,761,768 based on the closing sales price of the Registrant’s common stock on such date as reported on the New York Stock Exchange. For purposes of this computation, all officers, directors and 10% beneficial owners of the Registrant’s common stock of which the Registrant is aware are deemed to be affiliates. Such determination should not be deemed to be an admission that such officers, directors or 10% beneficial owners are, in fact, affiliates of the Registrant.</w:t>
      </w:r>
    </w:p>
    <w:p>
      <w:pPr>
        <w:pStyle w:val="TextBody"/>
        <w:bidi w:val="0"/>
        <w:spacing w:lineRule="auto" w:line="256" w:before="0" w:after="240"/>
        <w:ind w:left="0" w:right="0" w:hanging="0"/>
        <w:jc w:val="both"/>
        <w:rPr/>
      </w:pPr>
      <w:r>
        <w:rPr/>
        <w:t>​</w:t>
      </w:r>
    </w:p>
    <w:p>
      <w:pPr>
        <w:pStyle w:val="TextBody"/>
        <w:bidi w:val="0"/>
        <w:spacing w:lineRule="auto" w:line="256" w:before="0" w:after="0"/>
        <w:ind w:left="0" w:right="0" w:hanging="0"/>
        <w:jc w:val="both"/>
        <w:rPr>
          <w:rFonts w:ascii="Times New Roman;Times;serif" w:hAnsi="Times New Roman;Times;serif"/>
          <w:sz w:val="16"/>
        </w:rPr>
      </w:pPr>
      <w:r>
        <w:rPr>
          <w:rFonts w:ascii="Times New Roman;Times;serif" w:hAnsi="Times New Roman;Times;serif"/>
          <w:sz w:val="16"/>
        </w:rPr>
        <w:t>The number of shares of the registrant’s common stock outstanding on February 1, 2024 was 13,618,108.</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w:t>
      </w:r>
    </w:p>
    <w:p>
      <w:pPr>
        <w:pStyle w:val="TextBody"/>
        <w:bidi w:val="0"/>
        <w:spacing w:before="0" w:after="240"/>
        <w:ind w:left="0" w:right="0" w:hanging="0"/>
        <w:jc w:val="center"/>
        <w:rPr/>
      </w:pPr>
      <w:r>
        <w:rPr/>
        <w:t>​</w:t>
      </w:r>
    </w:p>
    <w:p>
      <w:pPr>
        <w:pStyle w:val="TextBody"/>
        <w:bidi w:val="0"/>
        <w:spacing w:before="0" w:after="0"/>
        <w:ind w:left="0" w:right="0" w:firstLine="360"/>
        <w:jc w:val="both"/>
        <w:rPr>
          <w:rFonts w:ascii="Times New Roman;Times;serif" w:hAnsi="Times New Roman;Times;serif"/>
          <w:sz w:val="16"/>
        </w:rPr>
      </w:pPr>
      <w:r>
        <w:rPr>
          <w:rFonts w:ascii="Times New Roman;Times;serif" w:hAnsi="Times New Roman;Times;serif"/>
          <w:sz w:val="16"/>
        </w:rPr>
        <w:t>Portions of the registrant’s Proxy Statement for the 2024 Annual Meeting of Stockholders, which will be filed with the Securities and Exchange Commission within 120 days after the end of the registrant’s fiscal year ended December 31, 2023, are incorporated by reference in Part III of this report.</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3" w:name="_46034cde_b618_4bb8_80ea_50167729c1cc"/>
      <w:bookmarkStart w:id="34" w:name="TOC"/>
      <w:bookmarkEnd w:id="33"/>
      <w:bookmarkEnd w:id="34"/>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326"/>
        <w:gridCol w:w="8021"/>
        <w:gridCol w:w="326"/>
        <w:gridCol w:w="72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8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093335" cy="29210"/>
                      <wp:effectExtent l="0" t="0" r="0" b="0"/>
                      <wp:wrapNone/>
                      <wp:docPr id="9" name="Frame9"/>
                      <a:graphic xmlns:a="http://schemas.openxmlformats.org/drawingml/2006/main">
                        <a:graphicData uri="http://schemas.microsoft.com/office/word/2010/wordprocessingShape">
                          <wps:wsp>
                            <wps:cNvSpPr txBox="1"/>
                            <wps:spPr>
                              <a:xfrm>
                                <a:off x="0" y="0"/>
                                <a:ext cx="5093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57835" cy="29210"/>
                      <wp:effectExtent l="0" t="0" r="0" b="0"/>
                      <wp:wrapNone/>
                      <wp:docPr id="10" name="Frame10"/>
                      <a:graphic xmlns:a="http://schemas.openxmlformats.org/drawingml/2006/main">
                        <a:graphicData uri="http://schemas.microsoft.com/office/word/2010/wordprocessingShape">
                          <wps:wsp>
                            <wps:cNvSpPr txBox="1"/>
                            <wps:spPr>
                              <a:xfrm>
                                <a:off x="0" y="0"/>
                                <a:ext cx="457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02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w:t>
            </w:r>
          </w:p>
        </w:tc>
      </w:tr>
      <w:tr>
        <w:trPr/>
        <w:tc>
          <w:tcPr>
            <w:tcW w:w="8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center"/>
              <w:rPr/>
            </w:pPr>
            <w:hyperlink w:anchor="PARTI_973964">
              <w:r>
                <w:rPr>
                  <w:rStyle w:val="InternetLink"/>
                  <w:rFonts w:ascii="Times New Roman;Times;serif" w:hAnsi="Times New Roman;Times;serif"/>
                  <w:b/>
                  <w:i w:val="false"/>
                  <w:caps w:val="false"/>
                  <w:smallCaps w:val="false"/>
                  <w:sz w:val="20"/>
                </w:rPr>
                <w:t>PART I</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hyperlink w:anchor="ITEM1BUSINESS_896461">
              <w:r>
                <w:rPr>
                  <w:rStyle w:val="InternetLink"/>
                  <w:rFonts w:ascii="Times New Roman;Times;serif" w:hAnsi="Times New Roman;Times;serif"/>
                  <w:b w:val="false"/>
                  <w:i w:val="false"/>
                  <w:caps w:val="false"/>
                  <w:smallCaps w:val="false"/>
                  <w:sz w:val="20"/>
                </w:rPr>
                <w:t>Item 1.</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BUSINESS_896461">
              <w:r>
                <w:rPr>
                  <w:rStyle w:val="InternetLink"/>
                  <w:rFonts w:ascii="Times New Roman;Times;serif" w:hAnsi="Times New Roman;Times;serif"/>
                  <w:b w:val="false"/>
                  <w:i w:val="false"/>
                  <w:caps w:val="false"/>
                  <w:smallCaps w:val="false"/>
                  <w:sz w:val="20"/>
                </w:rPr>
                <w:t>BUSINESS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hyperlink w:anchor="ITEM1ARISKFACTORS_920857">
              <w:r>
                <w:rPr>
                  <w:rStyle w:val="InternetLink"/>
                  <w:rFonts w:ascii="Times New Roman;Times;serif" w:hAnsi="Times New Roman;Times;serif"/>
                  <w:b w:val="false"/>
                  <w:i w:val="false"/>
                  <w:caps w:val="false"/>
                  <w:smallCaps w:val="false"/>
                  <w:sz w:val="20"/>
                </w:rPr>
                <w:t>Item 1A.</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ARISKFACTORS_920857">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811" w:type="dxa"/>
            <w:tcBorders/>
            <w:vAlign w:val="center"/>
          </w:tcPr>
          <w:p>
            <w:pPr>
              <w:pStyle w:val="TableContents"/>
              <w:bidi w:val="0"/>
              <w:spacing w:before="0" w:after="0"/>
              <w:ind w:left="0" w:right="0" w:hanging="0"/>
              <w:jc w:val="left"/>
              <w:rPr/>
            </w:pPr>
            <w:hyperlink w:anchor="ITEM1BUNRESOLVEDSTAFFCOMMENTS_212658">
              <w:r>
                <w:rPr>
                  <w:rStyle w:val="InternetLink"/>
                  <w:rFonts w:ascii="Times New Roman;Times;serif" w:hAnsi="Times New Roman;Times;serif"/>
                  <w:b w:val="false"/>
                  <w:i w:val="false"/>
                  <w:caps w:val="false"/>
                  <w:smallCaps w:val="false"/>
                  <w:sz w:val="20"/>
                </w:rPr>
                <w:t>Item 1B.</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BUNRESOLVEDSTAFFCOMMENTS_212658">
              <w:r>
                <w:rPr>
                  <w:rStyle w:val="InternetLink"/>
                  <w:rFonts w:ascii="Times New Roman;Times;serif" w:hAnsi="Times New Roman;Times;serif"/>
                  <w:b w:val="false"/>
                  <w:i w:val="false"/>
                  <w:caps w:val="false"/>
                  <w:smallCaps w:val="false"/>
                  <w:sz w:val="20"/>
                </w:rPr>
                <w:t>UNRESOLVED STAFF COMMENTS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811" w:type="dxa"/>
            <w:tcBorders/>
            <w:vAlign w:val="center"/>
          </w:tcPr>
          <w:p>
            <w:pPr>
              <w:pStyle w:val="TableContents"/>
              <w:bidi w:val="0"/>
              <w:spacing w:before="0" w:after="0"/>
              <w:ind w:left="0" w:right="0" w:hanging="0"/>
              <w:jc w:val="left"/>
              <w:rPr/>
            </w:pPr>
            <w:hyperlink w:anchor="Item_1C_Cybersecurity">
              <w:r>
                <w:rPr>
                  <w:rStyle w:val="InternetLink"/>
                  <w:rFonts w:ascii="Times New Roman;Times;serif" w:hAnsi="Times New Roman;Times;serif"/>
                  <w:b w:val="false"/>
                  <w:i w:val="false"/>
                  <w:caps w:val="false"/>
                  <w:smallCaps w:val="false"/>
                  <w:sz w:val="20"/>
                </w:rPr>
                <w:t>Item 1C.</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_1C_Cybersecurity">
              <w:r>
                <w:rPr>
                  <w:rStyle w:val="InternetLink"/>
                  <w:rFonts w:ascii="Times New Roman;Times;serif" w:hAnsi="Times New Roman;Times;serif"/>
                  <w:b w:val="false"/>
                  <w:i w:val="false"/>
                  <w:caps w:val="false"/>
                  <w:smallCaps w:val="false"/>
                  <w:sz w:val="20"/>
                </w:rPr>
                <w:t>CYBERSECURITY</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811" w:type="dxa"/>
            <w:tcBorders/>
            <w:vAlign w:val="center"/>
          </w:tcPr>
          <w:p>
            <w:pPr>
              <w:pStyle w:val="TableContents"/>
              <w:bidi w:val="0"/>
              <w:spacing w:before="0" w:after="0"/>
              <w:ind w:left="0" w:right="0" w:hanging="0"/>
              <w:jc w:val="left"/>
              <w:rPr/>
            </w:pPr>
            <w:hyperlink w:anchor="ITEM2PROPERTIES_519156">
              <w:r>
                <w:rPr>
                  <w:rStyle w:val="InternetLink"/>
                  <w:rFonts w:ascii="Times New Roman;Times;serif" w:hAnsi="Times New Roman;Times;serif"/>
                  <w:b w:val="false"/>
                  <w:i w:val="false"/>
                  <w:caps w:val="false"/>
                  <w:smallCaps w:val="false"/>
                  <w:sz w:val="20"/>
                </w:rPr>
                <w:t>Item 2.</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2PROPERTIES_519156">
              <w:r>
                <w:rPr>
                  <w:rStyle w:val="InternetLink"/>
                  <w:rFonts w:ascii="Times New Roman;Times;serif" w:hAnsi="Times New Roman;Times;serif"/>
                  <w:b w:val="false"/>
                  <w:i w:val="false"/>
                  <w:caps w:val="false"/>
                  <w:smallCaps w:val="false"/>
                  <w:sz w:val="20"/>
                </w:rPr>
                <w:t>PROPERTIES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left"/>
              <w:rPr/>
            </w:pPr>
            <w:hyperlink w:anchor="ITEM3LEGALPROCEEDINGS_42989">
              <w:r>
                <w:rPr>
                  <w:rStyle w:val="InternetLink"/>
                  <w:rFonts w:ascii="Times New Roman;Times;serif" w:hAnsi="Times New Roman;Times;serif"/>
                  <w:b w:val="false"/>
                  <w:i w:val="false"/>
                  <w:caps w:val="false"/>
                  <w:smallCaps w:val="false"/>
                  <w:sz w:val="20"/>
                </w:rPr>
                <w:t>Item 3.</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3LEGALPROCEEDINGS_42989">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left"/>
              <w:rPr/>
            </w:pPr>
            <w:hyperlink w:anchor="ITEM4MINESAFETYDISCLOSURES_844828">
              <w:r>
                <w:rPr>
                  <w:rStyle w:val="InternetLink"/>
                  <w:rFonts w:ascii="Times New Roman;Times;serif" w:hAnsi="Times New Roman;Times;serif"/>
                  <w:b w:val="false"/>
                  <w:i w:val="false"/>
                  <w:caps w:val="false"/>
                  <w:smallCaps w:val="false"/>
                  <w:sz w:val="20"/>
                </w:rPr>
                <w:t>Item 4.</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4MINESAFETYDISCLOSURES_844828">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center"/>
              <w:rPr/>
            </w:pPr>
            <w:hyperlink w:anchor="PARTII_948070">
              <w:r>
                <w:rPr>
                  <w:rStyle w:val="InternetLink"/>
                  <w:rFonts w:ascii="Times New Roman;Times;serif" w:hAnsi="Times New Roman;Times;serif"/>
                  <w:b/>
                  <w:i w:val="false"/>
                  <w:caps w:val="false"/>
                  <w:smallCaps w:val="false"/>
                  <w:sz w:val="20"/>
                </w:rPr>
                <w:t>PART II</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bidi w:val="0"/>
              <w:spacing w:before="0" w:after="0"/>
              <w:ind w:left="0" w:right="0" w:hanging="0"/>
              <w:jc w:val="left"/>
              <w:rPr/>
            </w:pPr>
            <w:hyperlink w:anchor="ITEM6SELECTEDFINANCIALDATA_762869">
              <w:r>
                <w:rPr>
                  <w:rStyle w:val="InternetLink"/>
                  <w:rFonts w:ascii="Times New Roman;Times;serif" w:hAnsi="Times New Roman;Times;serif"/>
                  <w:b w:val="false"/>
                  <w:i w:val="false"/>
                  <w:caps w:val="false"/>
                  <w:smallCaps w:val="false"/>
                  <w:sz w:val="20"/>
                </w:rPr>
                <w:t>Item 6.</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Reserved_762107">
              <w:r>
                <w:rPr>
                  <w:rStyle w:val="InternetLink"/>
                  <w:rFonts w:ascii="Times New Roman;Times;serif" w:hAnsi="Times New Roman;Times;serif"/>
                  <w:b w:val="false"/>
                  <w:i w:val="false"/>
                  <w:caps w:val="false"/>
                  <w:smallCaps w:val="false"/>
                  <w:sz w:val="20"/>
                </w:rPr>
                <w:t>RESERVED</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81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811"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811"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811" w:type="dxa"/>
            <w:tcBorders/>
            <w:vAlign w:val="center"/>
          </w:tcPr>
          <w:p>
            <w:pPr>
              <w:pStyle w:val="TableContents"/>
              <w:bidi w:val="0"/>
              <w:spacing w:before="0" w:after="0"/>
              <w:ind w:left="0" w:right="0" w:hanging="0"/>
              <w:jc w:val="left"/>
              <w:rPr/>
            </w:pPr>
            <w:hyperlink w:anchor="ITEM9ACONTROLSANDPROCEDURES_752806">
              <w:r>
                <w:rPr>
                  <w:rStyle w:val="InternetLink"/>
                  <w:rFonts w:ascii="Times New Roman;Times;serif" w:hAnsi="Times New Roman;Times;serif"/>
                  <w:b w:val="false"/>
                  <w:i w:val="false"/>
                  <w:caps w:val="false"/>
                  <w:smallCaps w:val="false"/>
                  <w:sz w:val="20"/>
                </w:rPr>
                <w:t>Item 9A.</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9ACONTROLSANDPROCEDURES_752806">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811" w:type="dxa"/>
            <w:tcBorders/>
            <w:vAlign w:val="center"/>
          </w:tcPr>
          <w:p>
            <w:pPr>
              <w:pStyle w:val="TableContents"/>
              <w:bidi w:val="0"/>
              <w:spacing w:before="0" w:after="0"/>
              <w:ind w:left="0" w:right="0" w:hanging="0"/>
              <w:jc w:val="left"/>
              <w:rPr/>
            </w:pPr>
            <w:hyperlink w:anchor="ITEM9BOTHERINFORMATION_64042">
              <w:r>
                <w:rPr>
                  <w:rStyle w:val="InternetLink"/>
                  <w:rFonts w:ascii="Times New Roman;Times;serif" w:hAnsi="Times New Roman;Times;serif"/>
                  <w:b w:val="false"/>
                  <w:i w:val="false"/>
                  <w:caps w:val="false"/>
                  <w:smallCaps w:val="false"/>
                  <w:sz w:val="20"/>
                </w:rPr>
                <w:t>Item 9B.</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9BOTHERINFORMATION_64042">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811" w:type="dxa"/>
            <w:tcBorders/>
            <w:vAlign w:val="center"/>
          </w:tcPr>
          <w:p>
            <w:pPr>
              <w:pStyle w:val="TableContents"/>
              <w:bidi w:val="0"/>
              <w:spacing w:before="0" w:after="0"/>
              <w:ind w:left="0" w:right="0" w:hanging="0"/>
              <w:jc w:val="left"/>
              <w:rPr/>
            </w:pPr>
            <w:hyperlink w:anchor="DISCLOSUREREGARDINGFOREIGNJURISDICTIONST">
              <w:r>
                <w:rPr>
                  <w:rStyle w:val="InternetLink"/>
                  <w:rFonts w:ascii="Times New Roman;Times;serif" w:hAnsi="Times New Roman;Times;serif"/>
                  <w:b w:val="false"/>
                  <w:i w:val="false"/>
                  <w:caps w:val="false"/>
                  <w:smallCaps w:val="false"/>
                  <w:sz w:val="20"/>
                </w:rPr>
                <w:t>Item 9C.</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DISCLOSUREREGARDINGFOREIGNJURISDICTIONST">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8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center"/>
              <w:rPr/>
            </w:pPr>
            <w:hyperlink w:anchor="PARTIII_476155">
              <w:r>
                <w:rPr>
                  <w:rStyle w:val="InternetLink"/>
                  <w:rFonts w:ascii="Times New Roman;Times;serif" w:hAnsi="Times New Roman;Times;serif"/>
                  <w:b/>
                  <w:i w:val="false"/>
                  <w:caps w:val="false"/>
                  <w:smallCaps w:val="false"/>
                  <w:sz w:val="20"/>
                </w:rPr>
                <w:t>PART III</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811" w:type="dxa"/>
            <w:tcBorders/>
            <w:vAlign w:val="center"/>
          </w:tcPr>
          <w:p>
            <w:pPr>
              <w:pStyle w:val="TableContents"/>
              <w:bidi w:val="0"/>
              <w:spacing w:before="0" w:after="0"/>
              <w:ind w:left="0" w:right="0" w:hanging="0"/>
              <w:jc w:val="left"/>
              <w:rPr/>
            </w:pPr>
            <w:hyperlink w:anchor="ITEM11EXECUTIVECOMPENSATION_918030">
              <w:r>
                <w:rPr>
                  <w:rStyle w:val="InternetLink"/>
                  <w:rFonts w:ascii="Times New Roman;Times;serif" w:hAnsi="Times New Roman;Times;serif"/>
                  <w:b w:val="false"/>
                  <w:i w:val="false"/>
                  <w:caps w:val="false"/>
                  <w:smallCaps w:val="false"/>
                  <w:sz w:val="20"/>
                </w:rPr>
                <w:t>Item 11.</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1EXECUTIVECOMPENSATION_918030">
              <w:r>
                <w:rPr>
                  <w:rStyle w:val="InternetLink"/>
                  <w:rFonts w:ascii="Times New Roman;Times;serif" w:hAnsi="Times New Roman;Times;serif"/>
                  <w:b w:val="false"/>
                  <w:i w:val="false"/>
                  <w:caps w:val="false"/>
                  <w:smallCaps w:val="false"/>
                  <w:sz w:val="20"/>
                </w:rPr>
                <w:t>EXECUTIVE COMPENSATION</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811"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811"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811"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PRINCIPAL ACCOUNTANT FEES AND SERVICES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8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center"/>
              <w:rPr/>
            </w:pPr>
            <w:hyperlink w:anchor="PARTIV_258754">
              <w:r>
                <w:rPr>
                  <w:rStyle w:val="InternetLink"/>
                  <w:rFonts w:ascii="Times New Roman;Times;serif" w:hAnsi="Times New Roman;Times;serif"/>
                  <w:b/>
                  <w:i w:val="false"/>
                  <w:caps w:val="false"/>
                  <w:smallCaps w:val="false"/>
                  <w:sz w:val="20"/>
                </w:rPr>
                <w:t>PART IV</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9158" w:type="dxa"/>
            <w:gridSpan w:val="3"/>
            <w:tcBorders/>
            <w:vAlign w:val="center"/>
          </w:tcPr>
          <w:p>
            <w:pPr>
              <w:pStyle w:val="TableContents"/>
              <w:bidi w:val="0"/>
              <w:spacing w:before="0" w:after="0"/>
              <w:ind w:left="0" w:right="0" w:hanging="0"/>
              <w:jc w:val="left"/>
              <w:rPr/>
            </w:pPr>
            <w:hyperlink w:anchor="SIGNATURES_747870">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9158" w:type="dxa"/>
            <w:gridSpan w:val="3"/>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shd w:fill="FFFF00" w:val="clear"/>
              </w:rPr>
            </w:pPr>
            <w:r>
              <w:rPr>
                <w:shd w:fill="FFFF00" w:val="clea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PARTI_973964"/>
      <w:bookmarkStart w:id="36" w:name="_5f026ea7_eb34_4a2d_8f1c_edb1e6eb998e"/>
      <w:bookmarkEnd w:id="35"/>
      <w:bookmarkEnd w:id="36"/>
      <w:r>
        <w:rPr>
          <w:rFonts w:ascii="Times New Roman;Times;serif" w:hAnsi="Times New Roman;Times;serif"/>
          <w:b/>
          <w:sz w:val="20"/>
        </w:rPr>
        <w:t>PART I</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When we refer to “we,” “us,” “our,” “PINE,” or “the Company,” we mean Alpine Income Property Trust, Inc. and its consolidated subsidiaries. References to “Notes to the Financial Statements” refer to the Notes to the Consolidated Financial Statements of Alpine Income Property Trust, Inc. included in Item 8 of this Annual Report on Form 10-K. Also, when the Company uses any of the words “anticipate,” “assume,” “believe,” “estimate,” “expect,” “intend,” or similar expressions, the Company is making forward-looking statements. Although management believes that the expectations reflected in such forward-looking statements are based upon present expectations and reasonable assumptions, the Company’s actual results could differ materially from those set forth in the forward-looking statements. Certain factors that could cause actual results or events to differ materially from those the Company anticipates or projects are described in “Item 1A. Risk Factors” of this Annual Report on Form 10-K. Given these uncertainties, readers are cautioned not to place undue reliance on such statements, which speak only as of the date of this Annual Report on Form 10-K, or any document incorporated herein by reference. The Company undertakes no obligation to publicly release any revisions to these forward-looking statements that may be made to reflect events or circumstances after the date of this Annual Report on Form 10-K.</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This Report contains “forward-looking statements” within the meaning of the Private Securities Litigation Reform Act of 1995 (set forth in Section 27A of the Securities Act of 1933, as amended, and Section 21E of the Securities Exchange Act of 1934, as amended (the “Exchange Act”)).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prolonged recession or downturn in economic conditions; our ability to successfully execute acquisition or development strategies; credit risk associated with us investing in commercial loans and investments; any loss of key management personnel; changes in local, regional, national and global economic conditions affecting the real estate development business and properties, including unstable macroeconomic conditions due to, among other things, geopolitical conflicts, inflation and rising interest rates; the impact of competitive real estate activity; the loss of any major property tenants; the ultimate geographic spread, severity and duration of pandemics,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See “Item 1A. Risk Factors” within this Annual Report on Form 10-K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Annual Report on Form 10-K. The Company undertakes no obligation to publicly release any revisions to these forward-looking statements that may be made to reflect events or circumstances after the date of this Annual Report on Form 10-K.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37" w:name="ITEM1BUSINESS_896461"/>
      <w:bookmarkEnd w:id="37"/>
      <w:r>
        <w:rPr>
          <w:rFonts w:ascii="Times New Roman;Times;serif" w:hAnsi="Times New Roman;Times;serif"/>
          <w:b/>
          <w:sz w:val="20"/>
        </w:rPr>
        <w:t>ITEM 1.            BUSINESS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are a real estate investment trust (“REIT”) that owns and operates a high-quality portfolio of commercial net lease properties all located in the United States. Our properties are primarily leased to industry leading, creditworthy tenants, many of which operate in industries we believe are resistant to the impact of e-commerce. Our portfolio consists of 138 net leased properties located in 104 markets in 35 states. The properties in our portfolio are primarily subject to long-term  leases, which generally require the tenant to pay directly or reimburse us for property operating expenses such as real estate taxes, insurance, assessments and other governmental fees, utilities, repairs and maintenance and certain capital expenditures. We may also acquire or originate commercial loans and investments. Our investments in commercial loans are generally secured by real estate or the borrower’s pledge of its ownership interest in an entity that owns real estate.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operates in two primary business segments: income properties and commercial loans and investments.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no employees and is externally managed by Alpine Income Property Manager, LLC (our “Manager”), a Delaware limited liability company and a wholly owned subsidiary of CTO Realty Growth, Inc. (NYSE: CTO) (“CTO”). CTO is a Maryland corporation that is a publicly traded diversified REIT and the sole member of our Manager.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elected to be taxed as a REIT for U.S. federal income tax purposes commencing with its initial taxable year ended December 31, 2019. We believe we have been organized and have operated in such a manner as to qualify and maintain our qualification for taxation as a REIT under the U.S. federal income tax laws. We intend to continue to operate in such a manner, but no assurances can be given that we will continue to operate in such a manner as to qualify and maintain our qualification for taxation as a REIT under the U.S. federal income tax laws.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primary objective is to maximize cash flow and value per share by generating stable and growing cash flows and attractive risk-adjusted returns through the ownership, operation and growth through acquisition of a diversified portfolio of high-quality, net leased commercial properties with attractive long-term real estate fundamentals and through the investment of commercial loans secured by commercial real estate. The 138 properties in our portfolio are 99% occupied and represent 3.8 million of gross rentable square feet with leases that have a weighted average lease term of 7.0 years (weighting based on annualized base rent as of December 31, 2023). Our portfolio is representative of our investment strategy, which consists of one or more of the following core investment criteria:</w:t>
      </w:r>
    </w:p>
    <w:p>
      <w:pPr>
        <w:pStyle w:val="TextBody"/>
        <w:bidi w:val="0"/>
        <w:spacing w:before="0" w:after="24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Attractive Locations</w:t>
            </w:r>
            <w:r>
              <w:rPr>
                <w:rFonts w:ascii="Times New Roman;Times;serif" w:hAnsi="Times New Roman;Times;serif"/>
                <w:b w:val="false"/>
                <w:i w:val="false"/>
                <w:caps w:val="false"/>
                <w:smallCaps w:val="false"/>
                <w:sz w:val="20"/>
              </w:rPr>
              <w:t>. The 138 properties in our portfolio represent 3.8 million gross rentable square feet, are 99% occupied, and are primarily located in, or in close proximity to major metropolitan statistical areas, or MSAs, and in markets in the United States with favorable economic and demographic conditions supporting the underlying businesses of our tenants. As of December 31, 2023, approximately 50% of our portfolio’s annualized base rent was derived from properties located in MSAs with populations greater than one million people.</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Creditworthy Tenants</w:t>
            </w:r>
            <w:r>
              <w:rPr>
                <w:rFonts w:ascii="Times New Roman;Times;serif" w:hAnsi="Times New Roman;Times;serif"/>
                <w:b w:val="false"/>
                <w:i w:val="false"/>
                <w:caps w:val="false"/>
                <w:smallCaps w:val="false"/>
                <w:sz w:val="20"/>
              </w:rPr>
              <w:t>. 65% of our portfolio’s annualized base rent as of December 31, 2023 was derived from tenants that have (or whose parent company has) an investment grade credit rating from a recognized credit rating agency. The Company defines an investment grade credit rating as a rating from S&amp;P Global Ratings, Moody’s Investors Service, Fitch Ratings or the National Association of Insurance Commissioners of Baa3, BBB-, or NAIC-2 or higher. If applicable, in the event of a split rating between S&amp;P Global Ratings and Moody’s Investors Services, the Company utilizes the higher of the two ratings as its reference point as to whether a tenant has an investment grade credit rating. Our largest tenant, Walgreens, has a ‘BBB-’ credit rating from S&amp;P Global Ratings and a ‘Ba2’ credit rating from Moody’s Investors Services and contributed 11% of lease income from the Company’s income properties for the year ended December 31, 2023.</w:t>
            </w:r>
          </w:p>
        </w:tc>
      </w:tr>
    </w:tbl>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Geographic Diversity</w:t>
            </w:r>
            <w:r>
              <w:rPr>
                <w:rFonts w:ascii="Times New Roman;Times;serif" w:hAnsi="Times New Roman;Times;serif"/>
                <w:b w:val="false"/>
                <w:i w:val="false"/>
                <w:caps w:val="false"/>
                <w:smallCaps w:val="false"/>
                <w:sz w:val="20"/>
              </w:rPr>
              <w:t>. Our portfolio is spread across 104 markets in 35 states. Our largest property, as measured by annualized base rent, is located in the Rochester, New York MSA.</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99% Occupied with Primarily Long Duration Leases</w:t>
            </w:r>
            <w:r>
              <w:rPr>
                <w:rFonts w:ascii="Times New Roman;Times;serif" w:hAnsi="Times New Roman;Times;serif"/>
                <w:b w:val="false"/>
                <w:i w:val="false"/>
                <w:caps w:val="false"/>
                <w:smallCaps w:val="false"/>
                <w:sz w:val="20"/>
              </w:rPr>
              <w:t>. Our portfolio is 99% occupied. The leases in our portfolio have a weighted average remaining lease term of 7.0 years (weighted based on annualized base rent as of December 31, 2023).</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to our income property portfolio, as of December 31, 2023, our business included a portfolio of three commercial loan investments secured by real estate. </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Organization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a Maryland corporation formed on August 19, 2019. On November 26, 2019, the Company closed its initial public offering (“IPO”). Our common stock is listed on the New York Stock Exchange (“NYSE”) under the symbol “PINE.” We sold 7,500,000 shares of our common stock at $19.00 per share in the IPO. CTO purchased 421,053 of the shares of our common stock that we sold in the IPO. We refer to the IPO, the CTO Private Placement (defined below), and the other transactions executed at the time of our listing on the NYSE collectively as the “Formation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conduct the substantial majority of our operations through, and substantially all of our assets are held by, Alpine Income Property OP, LP (the “Operating Partnership”). Our wholly owned subsidiary, Alpine Income Property GP, LLC (“PINE GP”), is the sole general partner of the Operating Partnership. As of December 31, 2023, we have a total ownership interest in the Operating Partnership of 91.8%, with CTO holding, directly and indirectly, an 8.2% ownership interest in the Operating Partnership.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manages our business and affairs.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Each limited partner of the Operating Partnership has the right to require the Operating Partnership to redeem part or all of its units of the Operating Partnership (“OP Units”) for cash, based upon the value of an equivalent number of shares of our common stock at the time of the redemption, or, at our election, shares of our common stock on a one-for-one basis, beginning on and after the date that is 12 months after issuance of such OP Units, subject to certain adjustments and the restrictions on ownership and transfer of our stock set forth in our charter. Each redemption of OP Units will increase our percentage ownership interest in the Operating Partnership and our share of its cash distributions and profits and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externally managed by our Manager. Concurrently with the closing of the IPO, CTO invested $15.5 million in exchange for 815,790 shares of our common stock. See Note 18, “Related Party Management Company” in the Notes to the Financial Statements for the Company’s disclosure related to CTO’s purchase of PINE common stock subsequent to the IPO.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Capital Markets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Equity. </w:t>
      </w:r>
      <w:r>
        <w:rPr>
          <w:rFonts w:ascii="Times New Roman;Times;serif" w:hAnsi="Times New Roman;Times;serif"/>
          <w:sz w:val="20"/>
        </w:rPr>
        <w:t>On December 1, 2020, the Company filed a shelf registration statement on Form S-3, relating to the registration and potential issuance of its common stock, preferred stock, warrants, rights, and units with a maximum aggregate offering price of up to $350.0 million (the “2020 Registration Statement”). The Securities and Exchange Commission (the “SEC”) declared the 2020 Registration Statement effective on December 11, 2020.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27, 2023, the Company filed a shelf registration statement on Form S-3, relating to the registration and potential issuance of its common stock, preferred stock, debt securities, warrants, rights, and units with a maximum aggregate offering price of up to $350.0 million (the “2023 Registration Statement”). The 2020 Registration Statement was terminated concurrently with the filing of the 2023 Registration Statement. The SEC declared the 2023 Registration Statement effective on September 29, 2023.</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In June 2021, the Company completed a follow-on public offering of </w:t>
      </w:r>
      <w:r>
        <w:rPr>
          <w:rFonts w:ascii="Times New Roman;Times;serif" w:hAnsi="Times New Roman;Times;serif"/>
          <w:sz w:val="20"/>
        </w:rPr>
        <w:t xml:space="preserve">3,220,000 </w:t>
      </w:r>
      <w:r>
        <w:rPr>
          <w:rFonts w:ascii="Times New Roman;Times;serif" w:hAnsi="Times New Roman;Times;serif"/>
          <w:sz w:val="20"/>
          <w:shd w:fill="FFFFFF" w:val="clear"/>
        </w:rPr>
        <w:t xml:space="preserve">shares of common stock, which included the full exercise of the underwriters’ option to purchase an additional 420,000 shares of common stock. Upon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closing, the Company issued 3,220,000 shares and received net proceeds of $54.3 million, after deducting the underwriting discount and expenses.</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14, 2020, the Company implemented a $100.0 million “at-the-market” equity offering program (the “2020 ATM Program”) pursuant to which the Company may sell, from time to time, shares of the Company’s common stock.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Company was not active under the 2020 ATM Program during the year ended December 31, 2020. The 2020 ATM Program was terminated in advance of implementing the 2022 ATM Program, hereinafter defined.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On October 21, 2022, the Company implemented a $150.0 million “at-the-market” equity offering program (the “2022 ATM Program”) pursuant to which the Company may sell, from time to time, shares of the Company’s common stock. During the year ended December 31, 2023, the Company sold 665,929 shares under the 2022 ATM Program for gross proceeds of $12.6 million at a weighted average price of $18.96 per share, generating net proceeds of $12.4 million after deducting transaction fees totaling $0.2 million. </w:t>
      </w:r>
      <w:r>
        <w:rPr>
          <w:rFonts w:ascii="Times New Roman;Times;serif" w:hAnsi="Times New Roman;Times;serif"/>
          <w:sz w:val="20"/>
        </w:rPr>
        <w:t>During the year ended December 31, 2022, the Company sold 1,479,241 shares under the 2022 ATM Program for gross proceeds of $27.8 million at a weighted average price of $18.81 per share, generating net proceeds of $27.4 million after deducting transaction fees totaling $0.4 million.</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aggregate, under the 2020 ATM Program and 2022 ATM Program, during the year ended December 31, 2022, the Company sold 1,925,408 shares for gross proceeds of $36.5 million at a weighted average price of $18.96 per share, generating net proceeds of $36.0 million after deducting transaction fees totaling $0.5 million.</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Debt</w:t>
      </w:r>
      <w:r>
        <w:rPr>
          <w:rFonts w:ascii="Times New Roman;Times;serif" w:hAnsi="Times New Roman;Times;serif"/>
          <w:sz w:val="20"/>
        </w:rPr>
        <w:t>. Credit Facility. On September 30, 2022, the Company and the Operating Partnership entered into a credit agreement (the “2022 Amended and Restated Credit Agreement”) with KeyBank National Association, as administrative agent, and certain other lenders named therein, which amended and restated the 2027 Term Loan Credit Agreement (hereinafter defined) to include, among other things:</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origination of a new senior unsecured revolving credit facility in the amount of $250 million (the “Credit Facility”) which matures on January 31, 2027, with the option to extend for one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an accordion option that allows the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sz w:val="20"/>
                <w:shd w:fill="FFFFFF" w:val="clear"/>
              </w:rPr>
              <w:t>to request additional revolving loan commitments and additional term loan commitments, provided the aggregate amount of revolving loan commitments and term loan commitments shall not exceed $750 million;</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amendment of certain financial covenants;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the addition of a sustainability-linked pricing component pursuant to which the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sz w:val="20"/>
                <w:shd w:fill="FFFFFF" w:val="clear"/>
              </w:rPr>
              <w:t>will receive interest rate reductions up to 0.025% based on performance against sustainability performance targets.</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2022 Amended and Restated Credit Agreement, the indebtedness outstanding under the Credit Facility accrues at a rate ranging from SOFR plus 0.10% plus a range of 125 basis points to 220 basis points, based on the total balance outstanding under the Credit Facility as a percentage of the total asset value of the Company, as defined in the 2022 Amended and Restated Credit Agreement. The Company may utilize daily simple SOFR or term SOFR, at its election. The Credit Facility also accrues a fee of 15 or 25 basis points for any unused portion of the borrowing capacity based on whether the unused portion is greater or less than 50% of the total borrowing capacity.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2026 Term Loan. On May 21, 2021, the Operating Partnership, the Company and certain subsidiaries of the Company entered into a credit agreement (the “2026 Term Loan Credit Agreement”) with Truist Bank, N.A. as administrative agent, and certain other lenders named therein, for a term loan (the “2026 Term Loan”) in an aggregate principal amount of $60.0 million with a maturity of five years. On April 14, 2022, the Company entered into the Amendment, Increase and Joinder to the 2026 Term Loan Credit Agreement (the “2026 Term Loan Amendment”), which increased the term loan commitment under the 2026 Term Loan by $40 million to an aggregate of $100 million. The 2026 Term Loan Amendment also effectuated the transition of the underlying variable interest rate from LIBOR to SOFR.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5, 2022, the Company entered into an amendment which, among other things, amends certain financial covenants and adds a sustainability-linked pricing component consistent with what is contained in the 2022 Amended and Restated Credit Agreement (the “2026 Term Loan Second Amendment”), effective September 30, 2022.</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2027 Term Loan. On September 30, 2021, the Operating Partnership, the Company and certain subsidiaries of the Company entered into a credit agreement (the “2027 Term Loan Credit Agreement”) with KeyBank National Association as administrative agent, and certain other lenders named therein, for a term loan (the “2027 Term Loan”) in an aggregate principal amount of $80.0 million (the “Term Commitment”) maturing in January 2027. On April 14, 2022, the Company entered into the Amendment, Increase and Joinder to the 2027 Term Loan Credit Agreement (the “2027 Term Loan Amendment”), which increased the Term Commitment by $20 million to an aggregate of $100 million. The 2027 Term Loan Amendment also effectuated the transition of the underlying variable interest rate from LIBOR to SOFR.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September 30, 2022, the Company entered into the 2022 Amended and Restated Credit Agreement which amended and restated the 2027 Term Loan Credit Agreement to include the origination of a new revolving credit facility in the amount of $250.0 million as previously described. The 2022 Amended and Restated Credit Agreement includes an accordion option that allows the Company to request additional revolving loan commitments and additional term loan commitments not to exceed $750.0 million in the aggregate.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Mortgage Notes Payable. On June 30, 2021, in connection with the acquisition of six net lease properties from CTO (the “CMBS Portfolio”), the Company assumed an existing $30.0 million secured mortgage, which bears interest at a fixed rate of 4.33% (the “CMBS Loan”). On December 1, 2022, the Company completed the defeasance of the CMBS Loan, unencumbering the CMBS Portfolio. The Company sold four of the six properties subsequent to the defeasance, during the year ended December 31, 2022.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Market Opportunity</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the net lease property market has expanded steadily over the last several years, and investor demand for net leased properties has generally remained steady. Unlike a gross lease, which places the financial responsibility for most expenses with the property owner, the net lease structure shifts the majority or entirety of costs for property taxes, insurance, maintenance and often utilities and capital expenditures, to the lessee, in addition to rent payments. Net leases are generally executed for an initial term of 10 to 15 years, but 20- and 25-year leases are not uncommon. Lease agreements often include multiple options for the tenant to extend and may include terms for periodic rent increases. Comparatively, multi-tenant commercial real estate properties under gross leases often have average initial lease terms between five and ten years with shorter or fewer options to extend. Rent escalation is also commonly embedded in the net lease terms as a specified percentage increase of existing rent per year or determined by reference to an inflation measure such as the Consumer Price Index. With cash flows that are intended to be passive, stable and paid at regular intervals, net leased real estate is similar, in many ways, to interest-bearing corporate bonds, but with the additional potential for appreciation in the value of the underlying property.</w:t>
      </w:r>
    </w:p>
    <w:p>
      <w:pPr>
        <w:pStyle w:val="TextBody"/>
        <w:bidi w:val="0"/>
        <w:spacing w:before="0" w:after="240"/>
        <w:ind w:left="0" w:right="0" w:firstLine="36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Investment Strategy</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seek to acquire, own and operate primarily freestanding, commercial real estate properties located in the United States leased primarily pursuant to triple-net, long-term leases. We focus on investments primarily in retail properties. We target tenants in industries that we believe are favorably impacted by current macroeconomic trends that support consumer spending, such as strong and growing employment and positive consumer sentiment, as well as tenants in industries that have demonstrated resistance to the impact of the growing e-commerce retail sector or who use a physical presence as a component of their omnichannel strategy. We also seek to invest in properties that are net leased to tenants that we determine have attractive credit characteristics, stable operating histories and healthy rent coverage levels, are well-located within their respective markets and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believe that the net leased properties we own and intend to acquire will provide our stockholders with investment diversification and can deliver strong risk-adjusted returns. We expect the majority of our net leased properties will be retail properties. We believe the risk-adjusted returns for retail properties within our portfolio are compelling and offer attractive investment yields, rental rates at or below prevailing market rental rates and an investment basis below replacement cost.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may also acquire or originate commercial loans and investments associated with commercial real estate located in the United States. Our investments in commercial loans are generally secured by real estate or the borrower’s pledge of its ownership interest in an entity that owns real estate. The Company seeks to invest in commercial loans and investments secured by real estate with the same general fundamentals as our net lease property investments.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Property Portfolio</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2023, the Company owned 138 properties in 35 states. The following is a summary of the relevant leases attributable to these properties:</w:t>
      </w:r>
    </w:p>
    <w:p>
      <w:pPr>
        <w:pStyle w:val="TextBody"/>
        <w:bidi w:val="0"/>
        <w:spacing w:before="0" w:after="240"/>
        <w:ind w:left="0" w:right="0" w:firstLine="360"/>
        <w:jc w:val="both"/>
        <w:rPr/>
      </w:pPr>
      <w:r>
        <w:rPr/>
        <w:t>​</w:t>
      </w:r>
    </w:p>
    <w:tbl>
      <w:tblPr>
        <w:tblW w:w="7437" w:type="dxa"/>
        <w:jc w:val="left"/>
        <w:tblInd w:w="0" w:type="dxa"/>
        <w:tblLayout w:type="fixed"/>
        <w:tblCellMar>
          <w:top w:w="0" w:type="dxa"/>
          <w:left w:w="0" w:type="dxa"/>
          <w:bottom w:w="0" w:type="dxa"/>
          <w:right w:w="0" w:type="dxa"/>
        </w:tblCellMar>
      </w:tblPr>
      <w:tblGrid>
        <w:gridCol w:w="1546"/>
        <w:gridCol w:w="109"/>
        <w:gridCol w:w="1666"/>
        <w:gridCol w:w="109"/>
        <w:gridCol w:w="1486"/>
        <w:gridCol w:w="226"/>
        <w:gridCol w:w="412"/>
        <w:gridCol w:w="1883"/>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81710" cy="175260"/>
                      <wp:effectExtent l="0" t="0" r="0" b="0"/>
                      <wp:wrapNone/>
                      <wp:docPr id="11" name="Frame1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175260"/>
                      <wp:effectExtent l="0" t="0" r="0" b="0"/>
                      <wp:wrapNone/>
                      <wp:docPr id="12"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057910" cy="175260"/>
                      <wp:effectExtent l="0" t="0" r="0" b="0"/>
                      <wp:wrapNone/>
                      <wp:docPr id="13" name="Frame13"/>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175260"/>
                      <wp:effectExtent l="0" t="0" r="0" b="0"/>
                      <wp:wrapNone/>
                      <wp:docPr id="14"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43610" cy="175260"/>
                      <wp:effectExtent l="0" t="0" r="0" b="0"/>
                      <wp:wrapNone/>
                      <wp:docPr id="15" name="Frame15"/>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3510" cy="175260"/>
                      <wp:effectExtent l="0" t="0" r="0" b="0"/>
                      <wp:wrapNone/>
                      <wp:docPr id="16" name="Frame1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61620" cy="175260"/>
                      <wp:effectExtent l="0" t="0" r="0" b="0"/>
                      <wp:wrapNone/>
                      <wp:docPr id="17" name="Frame17"/>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195705" cy="175260"/>
                      <wp:effectExtent l="0" t="0" r="0" b="0"/>
                      <wp:wrapNone/>
                      <wp:docPr id="18" name="Frame18"/>
                      <a:graphic xmlns:a="http://schemas.openxmlformats.org/drawingml/2006/main">
                        <a:graphicData uri="http://schemas.microsoft.com/office/word/2010/wordprocessingShape">
                          <wps:wsp>
                            <wps:cNvSpPr txBox="1"/>
                            <wps:spPr>
                              <a:xfrm>
                                <a:off x="0" y="0"/>
                                <a:ext cx="1195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Description</w:t>
            </w:r>
          </w:p>
        </w:tc>
        <w:tc>
          <w:tcPr>
            <w:tcW w:w="109" w:type="dxa"/>
            <w:tcBorders/>
            <w:vAlign w:val="center"/>
          </w:tcPr>
          <w:p>
            <w:pPr>
              <w:pStyle w:val="TableContents"/>
              <w:bidi w:val="0"/>
              <w:spacing w:before="0" w:after="0"/>
              <w:ind w:left="0" w:right="0" w:hanging="0"/>
              <w:jc w:val="left"/>
              <w:rPr/>
            </w:pPr>
            <w:r>
              <w:rPr/>
              <w:t>​</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Location</w:t>
            </w:r>
          </w:p>
        </w:tc>
        <w:tc>
          <w:tcPr>
            <w:tcW w:w="109" w:type="dxa"/>
            <w:tcBorders/>
            <w:vAlign w:val="center"/>
          </w:tcPr>
          <w:p>
            <w:pPr>
              <w:pStyle w:val="TableContents"/>
              <w:bidi w:val="0"/>
              <w:spacing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Rentable Square Feet</w:t>
            </w:r>
          </w:p>
        </w:tc>
        <w:tc>
          <w:tcPr>
            <w:tcW w:w="226" w:type="dxa"/>
            <w:tcBorders/>
            <w:vAlign w:val="center"/>
          </w:tcPr>
          <w:p>
            <w:pPr>
              <w:pStyle w:val="TableContents"/>
              <w:bidi w:val="0"/>
              <w:spacing w:before="0" w:after="0"/>
              <w:ind w:left="0" w:right="0" w:hanging="0"/>
              <w:jc w:val="left"/>
              <w:rPr/>
            </w:pPr>
            <w:r>
              <w:rPr/>
              <w:t>​</w:t>
            </w:r>
          </w:p>
        </w:tc>
        <w:tc>
          <w:tcPr>
            <w:tcW w:w="229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 xml:space="preserve">Annualized Base Rent ($000's) </w:t>
            </w:r>
            <w:r>
              <w:rPr>
                <w:rFonts w:ascii="Times New Roman;Times;serif" w:hAnsi="Times New Roman;Times;serif"/>
                <w:b/>
                <w:sz w:val="11"/>
              </w:rPr>
              <w:t>(1)</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Dicks Sporting Goods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Victor, NY</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120,908</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1,870</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Walmart</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Howell, MI</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214,172</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1,369</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LA Fitness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Riverview, FL</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45,000</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958</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Lowe's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Houston, TX</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131,644</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917</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Kohl's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Chandler, AZ</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86,584</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894</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Lowe's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Logan, WV</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114,731</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870</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Burlington</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North Richland Hills, TX</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70,891</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859</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Hobby Lobby</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Tulsa, OK</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84,180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842</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At Home</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North Canton, OH</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89,902</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801</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Camping World</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Hermantown, MN</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66,033</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776</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Lowe's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Adrian, MI</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101,287</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703</w:t>
            </w:r>
          </w:p>
        </w:tc>
      </w:tr>
      <w:tr>
        <w:trPr/>
        <w:tc>
          <w:tcPr>
            <w:tcW w:w="154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Home Depot</w:t>
            </w:r>
            <w:r>
              <w:rPr>
                <w:rFonts w:ascii="Times New Roman;Times;serif" w:hAnsi="Times New Roman;Times;serif"/>
                <w:sz w:val="14"/>
              </w:rPr>
              <w:t xml:space="preserve"> </w:t>
            </w:r>
            <w:r>
              <w:rPr>
                <w:rFonts w:ascii="Times New Roman;Times;serif" w:hAnsi="Times New Roman;Times;serif"/>
                <w:sz w:val="11"/>
              </w:rPr>
              <w:t>(3)</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Woodridge, IL</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110,626</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693</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Century Theater</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Reno, NV</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52,474</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661</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At Home</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Turnersville, NJ</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89,460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641</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Live Nation</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East Troy, WI</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2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1"/>
              </w:rPr>
              <w:t>(2)</w:t>
            </w:r>
            <w:r>
              <w:rPr>
                <w:rFonts w:ascii="Times New Roman;Times;serif" w:hAnsi="Times New Roman;Times;serif"/>
                <w:sz w:val="14"/>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634</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Academy Sports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Florence, SC</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58,410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625</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Lowe's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Fremont, OH</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125,357</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603</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Dicks Sporting Goods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Chesterfield, MI</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49,979</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603</w:t>
            </w:r>
          </w:p>
        </w:tc>
      </w:tr>
      <w:tr>
        <w:trPr/>
        <w:tc>
          <w:tcPr>
            <w:tcW w:w="15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Lowe's </w:t>
            </w:r>
            <w:r>
              <w:rPr>
                <w:rFonts w:ascii="Times New Roman;Times;serif" w:hAnsi="Times New Roman;Times;serif"/>
                <w:sz w:val="11"/>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Webster, TX</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163,300</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571</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Crunch Fitness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Buford, GA</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24,800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514</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Feasterville-Trevose, PA</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14,820</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509</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Best Buy</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Lafayette, LA</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45,611</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507</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AMC</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Tyngsborough, MA</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39,474</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507</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Sportsman's Warehouse</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Morgantown, WV</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30,547</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498</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Dicks Sporting Goods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50,000</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496</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Party City</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Oceanside, NY</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15,500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490</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Dicks Sporting Goods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McDonough, GA</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46,315</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473</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Blackwood, NJ</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14,820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464</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Brick, NJ</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14,550</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450</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Old Time Pottery</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Orange Park, FL</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84,180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439</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West Hartford, CT</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12,805</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430</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Best Buy</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Dayton, OH</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45,535</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409</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Marshalls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30,006</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375</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CVS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Baton Rouge, LA</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13,813</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369</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Birmingham, AL</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14,516</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364</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Alpharetta, GA</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15,120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363</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Verizon</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6,034</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359</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670" w:type="dxa"/>
        <w:jc w:val="left"/>
        <w:tblInd w:w="0" w:type="dxa"/>
        <w:tblLayout w:type="fixed"/>
        <w:tblCellMar>
          <w:top w:w="0" w:type="dxa"/>
          <w:left w:w="0" w:type="dxa"/>
          <w:bottom w:w="0" w:type="dxa"/>
          <w:right w:w="0" w:type="dxa"/>
        </w:tblCellMar>
      </w:tblPr>
      <w:tblGrid>
        <w:gridCol w:w="1696"/>
        <w:gridCol w:w="109"/>
        <w:gridCol w:w="1516"/>
        <w:gridCol w:w="109"/>
        <w:gridCol w:w="601"/>
        <w:gridCol w:w="109"/>
        <w:gridCol w:w="109"/>
        <w:gridCol w:w="421"/>
      </w:tblGrid>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Decatur, IL</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14,820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353</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Best Buy</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McDonough, GA</w:t>
            </w:r>
          </w:p>
        </w:tc>
        <w:tc>
          <w:tcPr>
            <w:tcW w:w="109"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30,038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338</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Edgewater, MD</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14,820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328</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Clermont, FL</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13,650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328</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Verizon</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Turnersville, NJ</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6,027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326</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Home Depot</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125,218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321</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Michaels</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24,000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318</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Old Time Pottery</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West Chicago, IL</w:t>
            </w:r>
          </w:p>
        </w:tc>
        <w:tc>
          <w:tcPr>
            <w:tcW w:w="109"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78,721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313</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Office Depot</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Albuquerque, NM</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30,346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300</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Best Buy</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20,460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297</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Ashley HomeStore</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Dayton, OH</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33,310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Taylorville, IL</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14,550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282</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Tacoma, WA</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14,125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259</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Albany, GA</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14,770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258</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Walmart</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Hempstead, TX</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52,190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253</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Festival Foods</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Portage, WI</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54,720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252</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TJ Maxx</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22,910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Walmart</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Malden, MO</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48,081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Glen Burnie, MD</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14,490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228</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Hobby Lobby</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Aberdeen, SD</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49,034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221</w:t>
            </w:r>
          </w:p>
        </w:tc>
      </w:tr>
      <w:tr>
        <w:trPr/>
        <w:tc>
          <w:tcPr>
            <w:tcW w:w="169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7-Eleven </w:t>
            </w:r>
            <w:r>
              <w:rPr>
                <w:rFonts w:ascii="Times New Roman;Times;serif" w:hAnsi="Times New Roman;Times;serif"/>
                <w:sz w:val="11"/>
              </w:rPr>
              <w:t>(3)</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Olathe, KS</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4,165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219</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Office Depot</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Gadsden, AL</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23,638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217</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Circle K</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Indianapolis, IN</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4,283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210</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Mattress Firm</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Richmond, IN</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5,108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Mattress Firm</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Lake City, FL</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4,577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170</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Lynn, MA</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9,228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Tractor Supply Company</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Washington Court, OH</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39,984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159</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Advance Auto Parts</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 Paul, MN</w:t>
            </w:r>
          </w:p>
        </w:tc>
        <w:tc>
          <w:tcPr>
            <w:tcW w:w="109"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7,201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Harbor Freight</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Washington, MO</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23,466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Advance Auto Parts</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Severn, MD</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6,876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148</w:t>
            </w:r>
          </w:p>
        </w:tc>
      </w:tr>
      <w:tr>
        <w:trPr/>
        <w:tc>
          <w:tcPr>
            <w:tcW w:w="169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Red Robin </w:t>
            </w:r>
            <w:r>
              <w:rPr>
                <w:rFonts w:ascii="Times New Roman;Times;serif" w:hAnsi="Times New Roman;Times;serif"/>
                <w:sz w:val="11"/>
              </w:rPr>
              <w:t>(3)</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4,575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141</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O'Reilly Auto Parts</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Angels Camp, CA</w:t>
            </w:r>
          </w:p>
        </w:tc>
        <w:tc>
          <w:tcPr>
            <w:tcW w:w="109"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7,066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128</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Kermit, TX</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10,920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126</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Burger King</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Plymouth, NC</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3,142</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Harbor Freight</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Midland, MI</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14,624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Tractor Supply Company</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California, MO</w:t>
            </w:r>
          </w:p>
        </w:tc>
        <w:tc>
          <w:tcPr>
            <w:tcW w:w="109"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23,042</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123</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Mattress Firm</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Gadsden, AL</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7,237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122</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Tractor Supply Company</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Owensville, MO</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38,452</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121</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Chazy, NY</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9,277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119</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Auburn, NE</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10,577</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118</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Odessa, TX</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9,127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117</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McKenney, VA</w:t>
            </w:r>
          </w:p>
        </w:tc>
        <w:tc>
          <w:tcPr>
            <w:tcW w:w="109"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10,531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116</w:t>
            </w:r>
          </w:p>
        </w:tc>
      </w:tr>
      <w:tr>
        <w:trPr/>
        <w:tc>
          <w:tcPr>
            <w:tcW w:w="169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Chick-Fil-A </w:t>
            </w:r>
            <w:r>
              <w:rPr>
                <w:rFonts w:ascii="Times New Roman;Times;serif" w:hAnsi="Times New Roman;Times;serif"/>
                <w:sz w:val="11"/>
              </w:rPr>
              <w:t>(3)</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4,570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Willis, TX</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9,138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Medicine Lodge, KS</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10,566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Lake City, AR</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10,424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Amsterdam, OH</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Winthrop, NY</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9,167</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Burlington, KS</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Burlington, NC</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11,394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Caneyville, KY</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10,604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Caney, KS</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10,555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Cut and Shoot, TX</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9,096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Sulphur, OK</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10,000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Advance Auto Parts</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Ware, MA</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6,889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Tipton, MO</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10,557</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111</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Pet Supplies Plus</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North Canton, OH</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8,400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Milford, ME</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9,128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Demopolis, AL</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10,159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Madill, OK</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9,682</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Superior, NE</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Sabetha, KS</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108</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Phillipsburg, KS</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Van Buren, MO</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Salem, NY</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9,199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Plainville, KS</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McGehee, AR</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10,993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Gladewater, TX</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10,111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Stilwell, OK</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9,828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Town Creek, AL</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10,545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Tecumseh, NE</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10,644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Anthony, KS</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Bingham, ME</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9,345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104</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877" w:type="dxa"/>
        <w:jc w:val="left"/>
        <w:tblInd w:w="0" w:type="dxa"/>
        <w:tblLayout w:type="fixed"/>
        <w:tblCellMar>
          <w:top w:w="0" w:type="dxa"/>
          <w:left w:w="0" w:type="dxa"/>
          <w:bottom w:w="0" w:type="dxa"/>
          <w:right w:w="0" w:type="dxa"/>
        </w:tblCellMar>
      </w:tblPr>
      <w:tblGrid>
        <w:gridCol w:w="1696"/>
        <w:gridCol w:w="109"/>
        <w:gridCol w:w="1336"/>
        <w:gridCol w:w="109"/>
        <w:gridCol w:w="721"/>
        <w:gridCol w:w="109"/>
        <w:gridCol w:w="181"/>
        <w:gridCol w:w="616"/>
      </w:tblGrid>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Harrisville, NY</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9,309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Murfreesboro, AR</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Heuvelton, NY</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9,342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Firestone</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Pittsburgh, PA</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10,629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103</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Barker, NY</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9,275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Limestone, ME</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9,167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Anderson, AL</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10,607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99</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Hammond, NY</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9,219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Des Arc, AR</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10,555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Somerville, TX</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9,252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Dearing, GA</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9,288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w:t>
            </w:r>
          </w:p>
        </w:tc>
      </w:tr>
      <w:tr>
        <w:trPr/>
        <w:tc>
          <w:tcPr>
            <w:tcW w:w="169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Boston Market </w:t>
            </w:r>
            <w:r>
              <w:rPr>
                <w:rFonts w:ascii="Times New Roman;Times;serif" w:hAnsi="Times New Roman;Times;serif"/>
                <w:sz w:val="11"/>
              </w:rPr>
              <w:t>(3)</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Turnersville, NJ</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2,627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Seguin, TX</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9,155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Albuquerque, NM</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10,023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Lake Village, AR</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14,592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Newtonsville, OH</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9,290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83</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Del Rio, TX</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83</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Advance Auto Parts</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Athens, GA</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6,871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Warsaw, NY</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14,495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O'Reilly Auto Parts</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Duluth, MN</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11,182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Salon Lofts</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North Canton, OH</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4,000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Advance Auto Parts</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Ludington, MI</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6,604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Advance Auto Parts</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New Baltimore, MI</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6,784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Perry, NY</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9,181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59</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Starbucks</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Dansville, NY</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9,174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Ellicottville, NY</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9,144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w:t>
            </w:r>
          </w:p>
        </w:tc>
      </w:tr>
      <w:tr>
        <w:trPr/>
        <w:tc>
          <w:tcPr>
            <w:tcW w:w="169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Long John Silvers </w:t>
            </w:r>
            <w:r>
              <w:rPr>
                <w:rFonts w:ascii="Times New Roman;Times;serif" w:hAnsi="Times New Roman;Times;serif"/>
                <w:sz w:val="11"/>
              </w:rPr>
              <w:t>(3)</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Tulsa, OK</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2,701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Sushi Lovers</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1,999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AutoZone</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Winston-Salem, NC</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8,008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Philly Pretzel</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T-Mobile</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3,002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Vacant</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Jackson, MS</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1,920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Vacant</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Leland, MS</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3,343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Vacant</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Massillon, OH</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1,363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Vacant</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Parma, OH</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1,884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Vacant</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Cadiz, OH</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1,292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Vacant</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Lorain, OH</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Vacant</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Cleveland, OH</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2,554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Vacant</w:t>
            </w:r>
          </w:p>
        </w:tc>
        <w:tc>
          <w:tcPr>
            <w:tcW w:w="109"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Victor, NY</w:t>
            </w:r>
          </w:p>
        </w:tc>
        <w:tc>
          <w:tcPr>
            <w:tcW w:w="109"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20,055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6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3,843,264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38,767</w:t>
            </w:r>
          </w:p>
        </w:tc>
      </w:tr>
    </w:tbl>
    <w:tbl>
      <w:tblPr>
        <w:tblW w:w="5897" w:type="dxa"/>
        <w:jc w:val="left"/>
        <w:tblInd w:w="0" w:type="dxa"/>
        <w:tblLayout w:type="fixed"/>
        <w:tblCellMar>
          <w:top w:w="0" w:type="dxa"/>
          <w:left w:w="0" w:type="dxa"/>
          <w:bottom w:w="0" w:type="dxa"/>
          <w:right w:w="0" w:type="dxa"/>
        </w:tblCellMar>
      </w:tblPr>
      <w:tblGrid>
        <w:gridCol w:w="271"/>
        <w:gridCol w:w="562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56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Annualized straight-line base rental income in place as of December 31, 2023.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The Alpine Valley Music Theatre, leased to Live Nation Entertainment, Inc., is an entertainment venue consisting of a two-sided, open-air, 7,500-seat pavilion; an outdoor amphitheater with a capacity for 37,000; and over 150 acres of green space.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We are the lessor in a ground lease with the tenant. Rentable square feet represents improvements on the property that revert to us at the expiration of the lease.</w:t>
            </w:r>
          </w:p>
        </w:tc>
      </w:tr>
    </w:tbl>
    <w:p>
      <w:pPr>
        <w:pStyle w:val="TextBody"/>
        <w:bidi w:val="0"/>
        <w:spacing w:before="0" w:after="0"/>
        <w:ind w:left="36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individual tenants in the Company’s portfolio of income properties accounted for more than 10% of lease income from the Company’s income properties during the years ended December 31, 2023 and 2021. No individual tenant accounted for more than 10% of lease income from the Company’s income properties during the year ended December 31, 2022. For the year ended December 31, 2023, Walgreens represented 11% of lease income from the Company’s income properties.</w:t>
      </w:r>
      <w:r>
        <w:rPr>
          <w:rFonts w:ascii="Times New Roman;Times;serif" w:hAnsi="Times New Roman;Times;serif"/>
          <w:color w:val="FF0000"/>
          <w:sz w:val="20"/>
        </w:rPr>
        <w:t xml:space="preserve"> </w:t>
      </w:r>
      <w:r>
        <w:rPr>
          <w:rFonts w:ascii="Times New Roman;Times;serif" w:hAnsi="Times New Roman;Times;serif"/>
          <w:sz w:val="20"/>
        </w:rPr>
        <w:t>Wells Fargo represented 12% of lease income from the Company’s income properties for the year ended December 31, 2021. As of December 31, 2023, 13%, 11%, and 11% of the Company’s income property portfolio, based on square footage, was located in the states of Texas, New Jersey, and Michigan, respectively. As of December 31, 2022, 19% of the Company’s income property portfolio, based on square footage, was located in the state of Texas.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Commercial Loans and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investments in commercial loans are generally secured by real estate or the borrower’s pledge of its ownership interest in the entity that owns the real estate. As of December 31, 2023, our</w:t>
      </w:r>
      <w:r>
        <w:rPr>
          <w:rFonts w:ascii="Times New Roman;Times;serif" w:hAnsi="Times New Roman;Times;serif"/>
          <w:sz w:val="20"/>
          <w:shd w:fill="FFFFFF" w:val="clear"/>
        </w:rPr>
        <w:t xml:space="preserve"> investments in commercial loans are all associated with commercial real estate located in the United States, are current and performing, and bear interest at a fixed rate.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shd w:fill="FFFFFF" w:val="clear"/>
        </w:rPr>
        <w:t>2023 Commercial Loans and Investments Portfolio</w:t>
      </w:r>
      <w:r>
        <w:rPr>
          <w:rFonts w:ascii="Times New Roman;Times;serif" w:hAnsi="Times New Roman;Times;serif"/>
          <w:sz w:val="20"/>
          <w:shd w:fill="FFFFFF" w:val="clear"/>
        </w:rPr>
        <w:t xml:space="preserve">. During the year ended December 31, 2023, the Company invested in three commercial loans with a total funding commitment of $38.6 million. As of December 31, 2023, the Company’s commercial loan investments portfolio included two construction loans and one mortgage note with a total carrying value of $35.1 million. </w:t>
      </w:r>
      <w:r>
        <w:rPr>
          <w:rFonts w:ascii="Times New Roman;Times;serif" w:hAnsi="Times New Roman;Times;serif"/>
          <w:sz w:val="20"/>
        </w:rPr>
        <w:t xml:space="preserve">See Note 4, “Commercial Loans and Investments” </w:t>
      </w:r>
      <w:r>
        <w:rPr>
          <w:rFonts w:ascii="Times New Roman;Times;serif" w:hAnsi="Times New Roman;Times;serif"/>
          <w:sz w:val="20"/>
          <w:shd w:fill="FFFFFF" w:val="clear"/>
        </w:rPr>
        <w:t xml:space="preserve">in the Notes to the Financial Statements </w:t>
      </w:r>
      <w:r>
        <w:rPr>
          <w:rFonts w:ascii="Times New Roman;Times;serif" w:hAnsi="Times New Roman;Times;serif"/>
          <w:sz w:val="20"/>
        </w:rPr>
        <w:t xml:space="preserve">for additional disclosures related to the Company’s commercial loans and investments as of December 31, 2023.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Management Agreement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years ended December 31, 2023, 2022, or 2021.</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initial term of the Management Agreement will expire on November 26, 2024 and will automatically renew for an unlimited number of successive one-year periods thereafter, unless the agreement is not renewed or is terminated in accordance with its terms.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independent directors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ROFO Agreement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terms of the ROFO Agreement do not restrict CTO or any of its affiliates from providing financing for a third party’s acquisition of single-tenant, net leased properties or from developing and owning any single-tenant, net leased property.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the ROFO Agreement, neither CTO nor any of its affiliates (which for purposes of the ROFO Agreement does not include our company and our subsidiaries) may sell to any third party any single-tenant, net leased property that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was owned by CTO or any of its affiliates as of the closing date of the IPO; or that is developed and owned by CTO or any of its affiliates after the closing date of the IPO, without first offering us the right to purchase such property.</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term of the ROFO Agreement will continue for so long as the Management Agreement with our Manager is in effect.</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Conflicts of Interest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may acquire or sell net leased properties that would potentially fit the investment criteria for our Manager or its affiliates. Similarly, our Manager or its affiliates may acquire or sell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asset.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pStyle w:val="TextBody"/>
        <w:bidi w:val="0"/>
        <w:spacing w:before="4" w:after="4"/>
        <w:ind w:left="0" w:right="0" w:firstLine="36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pStyle w:val="TextBody"/>
        <w:bidi w:val="0"/>
        <w:spacing w:before="4" w:after="4"/>
        <w:ind w:left="0" w:right="0" w:firstLine="360"/>
        <w:jc w:val="both"/>
        <w:rPr/>
      </w:pPr>
      <w:r>
        <w:rPr/>
        <w:t>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real estate business, generally, is highly competitive. We intend to focus on investing in commercial real estate that produces income primarily through the leasing of assets to tenants and on acquiring or originating commercial loans and investments associated with commercial real estate located in the United States. To identify investment opportunities in income-producing real estate assets and commercial loans and investments and to achieve our investment objectives, we compete with numerous companies and organizations, both public as well as private, of varying sizes, ranging from organizations with local operations to organizations with national scale and reach, and in some cases, we compete with individual real estate investors. In all the markets in which we compete to acquire net leased properties, price is the principal method of competition, with transaction structure and certainty of execution also being significant considerations for potential sellers. We face competition for acquisitions of real property and acquisitions and originations of commercial loans and investments from investors, including traded and non-traded public REITs, private equity investors, institutional investment funds, debt funds, specialty finance companies, savings and loan associations, banks, mortgage bankers, insurance companies, mutual funds, investment banking firms, financial institutions, hedge funds, governmental bodies and other entities, many of which have greater financial resources than we do, a greater ability to borrow funds to acquire or originate properties or other investments and the ability to accept more risk. This competition may increase the demand for the types of properties or commercial loans and investments in which we typically invest and, therefore, reduce the number of suitable investment opportunities available to us and increase the prices paid for such acquisition properties or commercial loans and investments. This competition will increase if investments in real estate become more attractive relative to other forms of investment.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landlord, we compete in the multi-billion-dollar commercial real estate market with numerous developers and owners of properties, many of which own properties similar to ours in the same markets in which our properties are located. Some of our competitors have greater economies of scale, lower costs of capital, access to more resources and greater name recognition than we do. If our competitors offer space at rental rates below current market rates or below the rental rates we currently charge our tenants, we may lose our tenants or prospective tenants and we may be pressured to reduce our rental rates or to offer substantial rent abatements, tenant improvement allowances, early termination rights or below-market renewal options in order to retain tenants when our leases expire.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EMERGING GROWTH COMPANY STATUS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are an “emerging growth company” as defined in the Jumpstart Our Business Startups Act of 2012, or the JOBS Act, and we are eligible to receive certain specified reduced disclosure and other requirements that are otherwise generally applicable to public companies that are not “emerging growth companies,” including, but not limited to, exclusion from the requirement to comply with the auditor attestation requirements of Section 404 of the Sarbanes-Oxley Act. We have irrevocably opted-out of the extended transition period afforded to emerging growth companies in Section 7(a)(2)(B) of the Securities Act for complying with new or revised financial accounting standards. As a result, we will comply with new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revised accounting standards on the same time frames as other public companies that are not emerging growth companies.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will remain an “emerging growth company” until the earliest to occur of (i) the last day of the fiscal year during which our total annual gross revenue equals or exceeds $1.235 billion (subject to adjustment for inflation), (ii) December 31, 2024 (the last day of the fiscal year following the fifth anniversary of the IPO), (iii) the date on which we have, during the previous three-year period, issued more than $1.0 billion in non-convertible debt securities, and (iv) the date on which we are deemed to be a “large accelerated filer” under the Securities Exchange Act of 1934, as amended, or the Exchange 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also a “smaller reporting company” as defined in Regulation S-K under the Securities Act and may take advantage of certain of the scaled disclosures available to smaller reporting companies. We may be a smaller reporting company even after we are no longer an “emerging growth company.”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General.</w:t>
      </w:r>
      <w:r>
        <w:rPr>
          <w:rFonts w:ascii="Times New Roman;Times;serif" w:hAnsi="Times New Roman;Times;serif"/>
          <w:sz w:val="20"/>
        </w:rPr>
        <w:t xml:space="preserve"> Our properties are subject to various laws, ordinances and regulations, including those relating to fire and safety requirements, and affirmative and negative covenants and, in some instances, common area obligations. Our tenants have primary responsibility for compliance with these requirements pursuant to our leases. We believe that each of our properties has the necessary permits and approvals.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Americans With Disabilities Act. </w:t>
      </w:r>
      <w:r>
        <w:rPr>
          <w:rFonts w:ascii="Times New Roman;Times;serif" w:hAnsi="Times New Roman;Times;serif"/>
          <w:sz w:val="20"/>
        </w:rPr>
        <w:t>Under Title III of the Americans with Disabilities Act (“ADA”), and rules promulgated thereunder, in order to protect individuals with disabilities, public accommodations must remove architectural and communication barriers that are structural in nature from existing places of public accommodation to the extent “readily achievable.” In addition, under the ADA, alterations to a place of public accommodation or a commercial facility are to be made so that, to the maximum extent feasible, such altered portions are readily accessible to and usable by disabled individuals. The “readily achievable” standard considers, among other factors, the financial resources of the affected site and the owner, lessor or other applicable person.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Compliance with the ADA, as well as other federal, state and local laws, may require modifications to properties we currently own or may purchase or may restrict renovations of those properties. Failure to comply with these laws or regulations could result in the imposition of fines or an award of damages to private litigants, as well as the incurrence of the costs of making modifications to attain compliance, and future legislation could impose additional obligations or restrictions on our properties. Although our tenants are generally responsible for all maintenance and repairs of the property pursuant to our lease, including compliance with the ADA and other similar laws or regulations, we could be held liable as the owner of the property for a failure of one of our tenants to comply with these laws or regulations.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ENVIRONMENTAL MATTERS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Federal, state and local environmental laws and regulations regulate, and impose liability for, releases of hazardous or toxic substances into the environment. Under various of these laws and regulations, a current or previous owner, operator or tenant of real estate may be required to investigate and clean up hazardous or toxic substances, hazardous wastes or petroleum product releases or threats of releases at the property, and may be held liable to a government entity or to third parties for property damage and for investigation, clean-up and monitoring costs incurred by those parties in connection with the actual or threatened contamination. These laws may impose clean-up responsibility and liability without regard to fault, or whether the owner, operator or tenant knew of or caused the presence of the contamination. The liability under these laws may be joint and several for the full amount of the investigation, clean-up and monitoring costs incurred or to be incurred or actions to be undertaken, although a party held jointly and severally liable may seek to obtain contributions from other identified, solvent, responsible parties of their fair share toward these costs. These costs may be substantial and can exceed the value of the property. In addition, some environmental laws may create a lien on the contaminated site in favor of the government for damages and costs it incurs in connection with the contamination. As the owner or operator of real estate, we may also be liable under common law to third parties for damages and injuries resulting from environmental contamination emanating from the real estate. The presence of contamination, or the failure to properly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remediate contamination, on a property may adversely affect the ability of the owner, operator or tenant to sell or rent that property or to borrow using the property as collateral and may adversely impact our investment in that property.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Some of our properties contain, have contained or are adjacent to or near other properties that have contained or currently contain storage tanks for the storage of petroleum products or other hazardous or toxic substances. Similarly, some of our properties were used in the past for commercial or industrial purposes, or are currently used for commercial purposes, that involve or involved the use of petroleum products or other hazardous or toxic substances or are adjacent to or near properties that have been or are used for similar commercial or industrial purposes. These operations create a potential for the release of petroleum products or other hazardous or toxic substances, and we could potentially be required to pay to clean up any contamination. In addition, environmental laws regulate a variety of activities that can occur on a property, including the storage of petroleum products or other hazardous or toxic substances, air emissions, water discharges and exposure to lead-based paint. Such laws may impose fines or penalties for violations and may require permits or other governmental approvals to be obtained for the operation of a business involving such activities. As a result of the foregoing, we could be materially and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Environmental laws also govern the presence, maintenance, and removal of asbestos-containing materials (“ACM”). Federal regulations require building owners and those exercising control over a building’s management to identify and warn, through signs and labels, of potential hazards posed by workplace exposure to installed ACM in their building. The regulations also have employee training, record keeping and due diligence requirements pertaining to ACM. Significant fines can be assessed for violation of these regulations. As a result of these regulations, building owners and those exercising control over a building’s management may be subject to an increased risk of personal injury lawsuits by workers and others exposed to ACM. The regulations may affect the value of a building containing ACM in which we have invested. Federal, state and local laws and regulations also govern the removal, encapsulation, disturbance, handling and/or disposal of ACM when those materials are in poor condition or in the event of construction, remodeling, renovation or demolition of a building. These laws may impose liability for improper handling or a release into the environment of ACM and may provide for fines to, and for third parties to seek recovery from, owners or operators of real properties for personal injury or improper work exposure associated with ACM.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excessive moisture accumulates in buildings or on building materials, mold growth may occur, particularly if the moisture problem remains undiscovered or is not addressed over a period of time. Some molds may produce airborne toxins or irritants. Indoor air quality issues can also stem from inadequate ventilation, chemical contamination from indoor or outdoor sources and other biological contaminants such as pollen, viruses and bacteria. Indoor exposure to airborne toxins or irritants above certain levels can be alleged to cause a variety of adverse health effects and symptoms, including allergic or other reactions. As a result, the presence of significant mold or other airborne contaminants at any of our properties could require us to undertake a costly remediation program to contain or remove the mold or other airborne contaminants from the affected property or increase indoor ventilation. In addition, the presence of significant mold or other airborne contaminants could expose us to liability from our tenants, employees of our tenants or others if property damage or personal injury occurs.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obtain Phase I environmental assessments for properties acquired. Phase I environmental site assessments are limited in scope and therefore may not reveal all environmental conditions affecting a property. However, if recommended in the initial assessments, we may undertake additional assessments such as soil and/or groundwater samplings or other limited subsurface investigations and ACM or mold surveys to test for substances of concern. A prior owner or operator of a property or historic operations at our properties may have created a material environmental condition that is not known to us or the independent consultants preparing the site assessments. Material environmental conditions may have arisen after the review was completed or may arise in the future, and future laws, ordinances or regulations may impose material additional environmental liability. If environmental concerns are not satisfactorily resolved in any initial or additional assessments, we may obtain environmental insurance policies to insure against potential environmental risk or loss depending on the type of property, the availability and cost of the insurance and various other factors we deem relevant. Our ultimate liability for environmental conditions may exceed the policy limits on any environmental insurance policies we obtain, if any.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Generally, our leases require the lessee to comply with environmental law and provide that the lessee will indemnify us for any loss or expense we incur as a result of the lessee’s violation of environmental law or the presence, use or release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hazardous materials on our property attributable to the lessee. If our lessees do not comply with environmental law, or we are unable to enforce the indemnification obligations of our lessees, our results of operations would be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predict what other environmental legislation or regulations will be enacted in the future, how existing or future laws or regulations will be administered or interpreted or what environmental conditions may be found to exist on our properties in the future. Compliance with existing and new laws and regulations may require us or our tenants to spend funds to remedy environmental problems. If we or our tenants were to become subject to significant environmental liabilities, we could be materially and adversely affected.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EMPLOYEES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has no employees and is externally managed and advised by our Manager pursuant to the Management Agreement. Our Manager is a wholly owned subsidiary of CTO. All of our executive officers also serve as executive officers of CTO, and one of our executive officers and directors, John P. Albright, also serves as an executive officer and director of CTO.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maintains a website at </w:t>
      </w:r>
      <w:r>
        <w:rPr>
          <w:rFonts w:ascii="Times New Roman;Times;serif" w:hAnsi="Times New Roman;Times;serif"/>
          <w:i/>
          <w:sz w:val="20"/>
        </w:rPr>
        <w:t>www.alpinereit.com</w:t>
      </w:r>
      <w:r>
        <w:rPr>
          <w:rFonts w:ascii="Times New Roman;Times;serif" w:hAnsi="Times New Roman;Times;serif"/>
          <w:sz w:val="20"/>
        </w:rPr>
        <w:t>. The Company is providing the address to its website solely for the information of investors. The information on the Company’s website is not a part of, nor is it incorporated by reference into this Annual Report on Form 10-K. Through its website, the Company makes available, free of charge, its annual proxy statement, Annual Reports on Form 10-K, Quarterly Reports on Form 10-Q, Current Reports on Form 8-K and amendments to those reports filed or furnished pursuant to Section 13(a) or 15(d) of the Securities Exchange Act of 1934, as amended, as soon as reasonably practicable after the Company electronically files such material with, or furnishes them to, the SEC. The public may read and obtain a copy of any materials the Company files electronically with the SEC at www.sec.gov.</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38" w:name="ITEM1ARISKFACTORS_920857"/>
      <w:bookmarkStart w:id="39" w:name="_82c164c1_a09d_49c9_b1d0_d36f739d40da"/>
      <w:bookmarkEnd w:id="38"/>
      <w:bookmarkEnd w:id="39"/>
      <w:r>
        <w:rPr>
          <w:rFonts w:ascii="Times New Roman;Times;serif" w:hAnsi="Times New Roman;Times;serif"/>
          <w:b/>
          <w:sz w:val="20"/>
        </w:rPr>
        <w:t>ITEM 1A.             RISK FACTORS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An investment in our securities involves a high degree of risk. You should carefully consider the risks summarized below in this Item 1A, “Risk Factors” included in this Annual Report on Form 10-K. These risks include, but are not limited to, the following: </w:t>
      </w:r>
    </w:p>
    <w:p>
      <w:pPr>
        <w:pStyle w:val="TextBody"/>
        <w:bidi w:val="0"/>
        <w:spacing w:before="0" w:after="24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related to the ownership of commercial real estate that could affect the performance and value of our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U.S., global and local regions or markets that impact our tenants’ businesses may materially and adversely affect us generally and the ability of our tenants to make rental payments to us pursuant to our leases.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dependent upon our tenants successfully operating their businesses, and their failure to do so could materially and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assessment that certain of our tenants’ businesses are insulated from e-commerce pressure may prove to be incorrect, and changes in macroeconomic trends may adversely affect our tenants, either of which could impair our tenants’ ability to make rental payments to us and thereby materially and adversely affect us.</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Properties occupied by a single tenant pursuant to a single lease subject us to significant risk of tenant default.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portfolio has geographic market concentrations that make us susceptible to adverse developments in those geographic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related to tenant concentration, and an adverse development with respect to a large tenant could materially and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tenants are not rated by a recognized credit rating agency or do not have an investment grade rating from such an agency. Leases with unrated or non-investment grade rated tenants may be subject to a greater risk of default.</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demand for retail space may materially and adversely affect us.</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771" w:type="dxa"/>
        <w:jc w:val="left"/>
        <w:tblInd w:w="0" w:type="dxa"/>
        <w:tblLayout w:type="fixed"/>
        <w:tblCellMar>
          <w:top w:w="28" w:type="dxa"/>
          <w:left w:w="28" w:type="dxa"/>
          <w:bottom w:w="28" w:type="dxa"/>
          <w:right w:w="28" w:type="dxa"/>
        </w:tblCellMar>
      </w:tblPr>
      <w:tblGrid>
        <w:gridCol w:w="124"/>
        <w:gridCol w:w="256"/>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renew leases, lease vacant space or re-lease space as leases expire on favorable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tenants that occupy our properties compete in industries that depend upon discretionary spending by consumers. A reduction in the willingness or ability of consumers to use their discretionary income in the businesses of our tenants and potential tenants could adversely impact our tenants’ business and thereby adversely impact our ability to collect rents and reduce the demand for leasing our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vacancy of one or more of our properties could result in us having to incur significant capital expenditures to re-tenant the space.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identify suitable property acquisitions or developments, which may impede our growth, and our future acquisitions and developments may not yield the returns we expect.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for tenants, which may adversely impact the occupancy levels of our portfolio or prevent increases of the rental rates of our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 of our investment strategy is focused on investing in commercial loans and investments which may involve credit risk or repayment risk.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in fixed-rate loan investments, and an increase in market interest rates may adversely affect the value of these investments, which could adversely impact our financial condition,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loans or similar financings we may acquire that are secured by commercial real estate typically depend on the ability of the property owner to generate income from operating the property. Failure to do so may result in delinquency and/or foreclosure.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suffer losses when a borrower defaults on a loan and the value of the underlying collateral is less than the amount due.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a decline in the fair value of our real estate assets or investments which could result in impairments and would impact our financial condition and results of operations.</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compliance with or liabilities related to environmental laws may materially and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properties may contain or develop harmful mold, which could lead to liability for adverse health effects and costs of remediation.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senior management team is required to operate two publicly traded companies, CTO and our company, which could place a significant strain on our senior management team and the management systems, infrastructure and other resources of CTO on which we rely.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employees and are entirely dependent upon our Manager for all the services we require, and we cannot assure you that our Manager will allocate the resources necessary to meet our business objectives.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CTO may be unable to obtain or retain the executive officers and other personnel that it provides to us through our Manager.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management fee payable to our Manager pursuant to the Management Agreement is payable regardless of the performance of our portfolio, which may reduce our Manager’s incentive to devote the time and effort to seeking profitable investment opportunities for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fee payable to our Manager pursuant to the Management Agreement may cause our Manager to select investments in more risky assets to increase its incentive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conflicts of interest in our relationships with our Manager, which could result in outcomes that are not in our best interests.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the Management Agreement could be difficult and costly, including as a result of payment of termination fees to our Manager, and may cause us to be unable to execute our business plan, which could materially and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Agreement with our Manager and the ROFO Agreement with CTO were not negotiated on an arm’s-length basis and may not be as favorable to us as if they had been negotiated with unaffiliated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remain qualified as a REIT would cause us to be taxed as a regular corporation, which would substantially reduce funds available for distributions to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remain qualified as a REIT, we may face other tax liabilities that could reduce our cash flows and negatively impact our results of operations and financial condition.</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make required distributions would subject us to U.S. federal corporate income tax.</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REIT requirements may limit our ability to hedge our liabilities effectively and may cause us to incur tax liabilities.</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prohibited transactions tax may limit our ability to dispose of our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revoke our REIT qualification without stockholder approval may cause adverse consequences to our stockholders.</w:t>
            </w:r>
          </w:p>
        </w:tc>
      </w:tr>
    </w:tbl>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payable by REITs do not qualify for the reduced tax rates available for some dividends.</w:t>
            </w:r>
          </w:p>
        </w:tc>
      </w:tr>
    </w:tbl>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Income Properties Segment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are subject to risks related to the ownership of commercial real estate that could affect the performance and value of our properties.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Factors beyond our control can affect the performance and value of our properties. Our core business is the ownership of commercial net leased properties. Accordingly, our performance is subject to risks incident to the ownership of commercial real estate, including:</w:t>
      </w:r>
    </w:p>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collect rents from tenants due to financial hardship, including bankruptcy;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local real estate conditions in the markets where our properties are located, including the availability and demand for the properties we own;</w:t>
            </w:r>
          </w:p>
        </w:tc>
      </w:tr>
    </w:tbl>
    <w:tbl>
      <w:tblPr>
        <w:tblW w:w="9846" w:type="dxa"/>
        <w:jc w:val="left"/>
        <w:tblInd w:w="0" w:type="dxa"/>
        <w:tblLayout w:type="fixed"/>
        <w:tblCellMar>
          <w:top w:w="28" w:type="dxa"/>
          <w:left w:w="28" w:type="dxa"/>
          <w:bottom w:w="28" w:type="dxa"/>
          <w:right w:w="28" w:type="dxa"/>
        </w:tblCellMar>
      </w:tblPr>
      <w:tblGrid>
        <w:gridCol w:w="124"/>
        <w:gridCol w:w="25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trends and preferences that affect the demand for products and services offered by our tenants;</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national, regional and local economic conditions;</w:t>
            </w:r>
          </w:p>
        </w:tc>
      </w:tr>
    </w:tbl>
    <w:tbl>
      <w:tblPr>
        <w:tblW w:w="7341" w:type="dxa"/>
        <w:jc w:val="left"/>
        <w:tblInd w:w="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lease or sell properties upon expiration or termination of existing leases;</w:t>
            </w:r>
          </w:p>
        </w:tc>
      </w:tr>
    </w:tbl>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risks, including the presence of hazardous or toxic substances on our properties;</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subjectivity of real estate valuations and changes in such valuations over time;</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illiquidity of real estate investments, which may limit our ability to modify our portfolio promptly in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response to changes in economic or other conditions;</w:t>
      </w:r>
    </w:p>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zoning or other local regulatory restrictions, or other factors pertaining to the local government institutions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which inhibit interest in the markets in which our properties are located;</w:t>
      </w:r>
    </w:p>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 and the availability of financing;</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competition from other real estate companies similar to ours and competition for tenants, including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competition based on rental rates, age and location of properties and the quality of maintenance, insurance </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and management services;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of God, including natural disasters and global pandemics, such as the COVID-19 Pandemic, which impact the United States, which may result in uninsured losses;</w:t>
            </w:r>
          </w:p>
        </w:tc>
      </w:tr>
    </w:tbl>
    <w:tbl>
      <w:tblPr>
        <w:tblW w:w="5976" w:type="dxa"/>
        <w:jc w:val="left"/>
        <w:tblInd w:w="0" w:type="dxa"/>
        <w:tblLayout w:type="fixed"/>
        <w:tblCellMar>
          <w:top w:w="28" w:type="dxa"/>
          <w:left w:w="28" w:type="dxa"/>
          <w:bottom w:w="28" w:type="dxa"/>
          <w:right w:w="28" w:type="dxa"/>
        </w:tblCellMar>
      </w:tblPr>
      <w:tblGrid>
        <w:gridCol w:w="124"/>
        <w:gridCol w:w="25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of war or terrorism, including consequences of terrorist attacks;</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tenant preferences that reduce the attractiveness and marketability of our properties to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tenants or cause decreases in market rental rates;</w:t>
      </w:r>
    </w:p>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the need to periodically repair, renovate or re-lease our properties;</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increases in the cost of our operations, particularly maintenance, insurance or real estate taxes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which may occur even when circumstances such as market factors and competition cause a reduction in our revenues;</w:t>
      </w:r>
    </w:p>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governmental laws and regulations, fiscal policies and zoning ordinances and the related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costs of compliance with laws and regulations, fiscal policies and ordinances including in response to global pandemics whereby our tenants’ businesses are forced to close or remain open on a limited basis only; and</w:t>
      </w:r>
    </w:p>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commodities prices.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occurrence of any of the risks described above may cause the performance and value of our properties to decline, which could materially and adversely affect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Adverse changes in U.S., global and local regions or markets that impact our tenants’ businesses may materially and adversely affect us generally and the ability of our tenants to make rental payments to us pursuant to our leases.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results of operations, as well as the results of operations of our tenants, are sensitive to changes in U.S., global and local regions or markets that impact our tenants’ businesses. Adverse changes or developments in U.S., global or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regional economic conditions may impact our tenants’ financial condition, which may adversely impact their ability to make rental payments to us pursuant to the leases they have with us and may also impact their current or future leasing practices. Adverse economic conditions such as high unemployment levels, rising interest rates, increased tax rates and increasing fuel and energy costs may have an impact on the results of operations and financial conditions of our tenants, which would likely adversely impact us. During periods of economic slowdown and declining demand for real estate, we may experience a general decline in rents or increased rates of default under our leases. A lack of demand for rental space could adversely affect our ability to maintain our current tenants and gain new tenants, which may affect our growth, profitability and ability to pay dividends.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business is dependent upon our tenants successfully operating their businesses, and their failure to do so could materially and adversely affect us.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Most of our properties are occupied by a single tenant. Therefore, the success of our investments in these properties is materially dependent upon the performance of each property’s respective tenants. The financial performance of any one of our tenants is dependent on the tenant’s individual business, its industry and, in many instances, the performance of a larger business network that the tenant may be affiliated with or operate under. The financial performance of any one of our tenants could be adversely affected by poor management, unfavorable economic conditions in general, changes in consumer trends and preferences that decrease demand for a tenant’s products or services or other factors, including the impact of a global pandemic which affects the United States, over which neither they nor we have control. Our portfolio includes properties leased to single tenants that operate in multiple locations, which means we own multiple properties operated by the same tenant. To the extent we own multiple properties operated by one tenant, the general failure of that single tenant or a loss or significant decline in its business could materially and adversely affect us.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At any given time, any tenant may experience a decline in its business that may weaken its operating results or the overall financial condition of individual properties or its business as a whole. Any such decline may result in our tenant failing to make rental payments when due, declining to extend a lease upon its expiration, delaying occupancy of our property or the commencement of the lease or becoming insolvent or declaring bankruptcy. We depend on our tenants to operate their businesses at the properties we own in a manner which generates revenues sufficient to allow them to meet their obligations to us, including their obligations to pay rent, maintain certain insurance coverage, pay real estate taxes, make repairs and otherwise maintain our properties. The ability of our tenants to fulfill their obligations under our leases may depend, in part, upon the overall profitability of their operations. Cash flow generated by certain tenant businesses may not be sufficient for a tenant to meet its obligations to us pursuant to the applicable lease. We could be materially and adversely affected if a tenant representing a significant portion of our operating results or a number of our tenants were unable to meet their obligations to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assessment that certain of our tenants’ businesses are insulated from e-commerce pressure may prove to be incorrect, and changes in macroeconomic trends may adversely affect our tenants, either of which could impair our tenants’ ability to make rental payments to us and thereby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invest in properties leased, in many instances, to tenants engaged in businesses that we believe are generally insulated from the impact of e-commerce. While we believe our assessment to be accurate, businesses previously thought to be resistant to the pressure of the increasing level of e-commerce have ultimately been proven to be susceptible to competition from e-commerce. Overall business conditions and the impact of technology, particularly in the retail industry, are rapidly changing, and our tenants may be adversely affected by technological innovation, changing consumer preferences and competition from non-traditional sources. To the extent our tenants face increased competition from non-traditional competitors, such as internet vendors, their businesses could suffer. There can be no assurance that our tenants will be successful in meeting any new competition, and a deterioration in our tenants’ businesses could impair their ability to meet their lease obligations to us and thereby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we believe that many of the businesses operated by our tenants are benefiting from macroeconomic trends that support consumer spending, such as low unemployment and positive consumer sentiment. Economic conditions are generally cyclical, and developments that discourage consumer spending, such as increasing unemployment, wage stagnation, decreases in the value of real estate, inflation or increasing interest rates, could adversely affect our tenants, impair their ability to meet their lease obligations to us and materially and adversely affect us.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Properties occupied by a single tenant pursuant to a single lease subject us to significant risk of tenant default.</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Most of our properties are occupied by a single tenant. Therefore, the financial failure of, or default in payment by, a tenant under its lease is likely to cause a significant or complete reduction in our rental revenue from that property and possibly a reduction in the value of the property. We may also experience difficulty or a significant delay in re-leasing or selling such property. This risk is magnified in situations where we lease multiple properties to a single tenant and the financial failure of the tenant’s business affects more than a single property. A failure or default by such a tenant could reduce or eliminate rental revenue from multiple properties and reduce the value of such properties, which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experience a decline in the fair value of our real estate assets which could result in impairments and would impact our financial condition and results of operations.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decline in the fair market value of our long-lived assets may require us to recognize an impairment against such assets (as defined by Financial Accounting Standards Board, or the FASB, authoritative accounting guidance) if certain conditions or circumstances related to an asset were to change and we were to determine that, with respect to any such asset, that the cash flows no longer support the carrying value of the asset. The fair value of our long-lived assets depends on market conditions, including estimates of future demand for these assets, and the revenues that can be generated from such assets. If such a determination were to be made, we would recognize the estimated unrealized losses through earnings and write down the depreciated cost of such assets to a new cost basis, based on the fair value of such assets on the date they are considered to be impaired. Such impairment charges reflect non-cash losses at the time of recognition, and subsequent dispositions or sales of such assets could further affect our future losses or gains, as they are based on the difference between the sales price received and the adjusted depreciated cost of such assets at the time of sale.</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portfolio has geographic market concentrations that make us susceptible to adverse developments in those geographic markets.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to general, regional, national, and global economic conditions, our operating performance is impacted by the economic conditions of the specific geographic markets in which we have concentrations of properties. Our portfolio includes substantial holdings in Texas, New Jersey, and Michigan as of December 31, 2023 (based on square footage). Our geographic concentrations could adversely affect our operating performance if conditions become less favorable in any of the states or markets within such states in which we have a concentration of properties. Such geographic concentrations could be heightened by the fact that our investments may be concentrated in certain areas that are affected by epidemics or pandemics such as COVID-19 more than other areas. We cannot assure you that any of our markets will grow, not experience adverse developments or that underlying real estate fundamentals will be favorable to owners and operators of commercial properties. Our operations may also be affected if competing properties are built in our markets. A downturn in the economy in the states or regions in which we have a concentration of properties, or markets within such states or regions, could adversely affect our tenants operating businesses in those states or regions, impair their ability to pay rent to us and thereby, materially and adversely affect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are subject to risks related to tenant concentration, and an adverse development with respect to a large tenant could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in the past and may in the future have significant tenant and property concentrations. In the event that a tenant that occupies a significant number of our properties or whose lease payments represent a significant portion of our rental revenue, were to experience financial difficulty or file for bankruptcy, it could have a material adverse effect on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Certain of our tenants are not rated by a recognized credit rating agency or do not have an investment grade rating from such an agency. Leases with unrated or non-investment grade rated tenants may be subject to a greater risk of default.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2023, 35% of our tenants or parent entities thereof (based on annualized straight-line base rent) were not rated or did not have an investment grade credit rating from a recognized rating agency. Leases with non-investment grade or unrated tenants may be subject to a greater risk of default. Unrated tenants or non-investment grade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tenants may also be more likely to experience financial weakness or file for bankruptcy than tenants with investment grade credit ratings. When we consider the acquisition of a property with an in-place lease with an unrated or non-investment grade rated tenant or leasing a property to a tenant that does not have a credit rating or does not have an investment grade rating, we evaluate the strength of the proposed tenant’s business at the property level and at a corporate level, if applicable, and may consider the risk of tenant/company insolvency using internally developed methodologies or assessments provided by third parties. If our evaluation of an unrated or non-investment grade tenant’s creditworthiness is inaccurate, the default or bankruptcy risk related to the tenant may be greater than anticipated. In the event that any of our unrated tenants were to experience financial weakness or file for bankruptcy, it could have a material adverse effect on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decrease in demand for retail space may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2023, 100% of leases based on annualized straight-line base rent were with tenants operating retail businesses. In the future, we intend to acquire additional properties leased to a single tenant operating a retail business at the property. Accordingly, decreases in the demand for leasing retail space may have a greater adverse effect on us than if we had fewer investments in retail properties. The market for leasing of retail space has historically been adversely affected by weakness in the national, regional and local economies, the adverse financial condition of some large retail companies, consolidation in the retail industry, the excess amount of retail space in a number of markets and increasing e-commerce pressure. To the extent that adverse conditions arise or continue, they are likely to negatively affect market rents for retail space and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be unable to renew leases, lease vacant space or re-lease space as leases expire on favorable terms or at all.</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results of operations depend on our ability to lease our properties, including renewing expiring leases, leasing vacant space and re-leasing space in properties where leases are expiring, and leasing space related to new project development. In leasing or re-leasing our properties, we may be unable to optimize our tenant mix or execute leases on more economically favorable terms than the prior in-place lease. Our tenants may decline, or may not have the financial resources available, to renew their leases, and there can be no assurance that leases that are renewed will have terms that are as economically favorable to us as the expiring lease terms. If tenants do not renew their leases as they expire, we will have to source new tenants to lease our properties, and there can be no assurance that we will be able to find new tenants or that our properties will be re-leased at rental rates equal to or above the previous in-place lease or current average rental rates or that substantial rent abatements, tenant improvement allowances, early termination rights or below-market renewal options will not be offered to attract new tenants. We may experience increased costs in connection with re-leasing our properties, which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Certain provisions of our leases may be unenforceable.</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rights and obligations with respect to our leases are governed by written agreements. A court could determine that one or more provisions of such an agreement are unenforceable. We could be adversely impacted if this were to happen with respect to a property or group of properties.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bankruptcy or insolvency of any of our tenants could result in the termination of such tenant’s lease and material losses to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occurrence of a tenant bankruptcy or insolvency in most cases diminishes the income we receive from that tenant’s lease or leases, or forces us to re-tenant the affected property as a result of a default of the in-place tenant or a rejection of a tenant lease by a bankruptcy court. When a tenant files for bankruptcy or becomes insolvent, federal law may prohibit us from evicting such tenant based solely upon such bankruptcy or insolvency. In addition, a bankrupt or insolvent tenant may be authorized to reject and terminate its lease or leases with us. Any claims against such bankrupt tenant for unpaid rent or future rent would be subject to statutory limitations that would likely result in our receipt of rental revenues that are substantially less than the contractually specified rent we are owed under the lease or leases. In addition, any claim we have for unpaid past rent, if any, may not be paid in full. We may also be unable to re-lease a property in which the in-place lease was not terminated or rejected or to re-lease it on comparable or more favorable terms. As a result, tenant bankruptcies or insolvencies may materially and adversely affect us.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March 31, 2023, one of our tenants under three separate master leases filed for bankruptcy protection and ultimately liquidation, resulting in the termination of such master leases, which covered seven convenience store properties. During the year ended December 31, 2023, the Company recorded a $2.9 million impairment charge representing the provision for losses related to these seven convenience store properties within our income properties segment. The seven leases underlying these seven convenience store properties were rejected as a part of the bankruptcy proceedings during August of 2023. The impairment charge of $2.9 million is equal to the estimated sales prices for these seven convenience store properties (as set forth in executed letters of intent at the time the impairment was estimated), less the book value of the assets as of December 31, 2023, less estimated costs to sell. As of December 31, 2023, the Company is continuing to evaluate potential sales of all seven of the convenience store properties, as well as leasing opportunities for the convenience store properties not currently leased.</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not acquire the properties that we evaluate in our pipeline.</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generally seek to maintain a robust pipeline of investment opportunities. Transactions may fail to close for a variety of reasons, including the discovery of previously unknown liabilities or other items uncovered during our diligence process. Similarly, we may never execute binding purchase agreements with respect to properties that are currently subject to non-binding letters of intent, and properties with respect to which we are negotiating may never lead to the execution of any letter of intent. For many other reasons, we may not ultimately acquire the properties in our pipeline.</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As we continue to acquire properties, we may decrease or fail to increase the diversity of our portfolio.</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While we generally seek to maintain or increase our portfolio’s tenant, geographic and industry diversification with future acquisitions, it is possible that we may determine to consummate one or more acquisitions that actually decrease our portfolio’s diversity. If our portfolio becomes less diverse, our business will be more sensitive to tenant or market factors, including the bankruptcy or insolvency of tenants, to changes in consumer trends of a particular industry and to a general economic downturn or downturns in a market or particular geographic area.</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obtain only limited warranties when we acquire a property and may only have limited recourse if our due diligence did not identify any issues that may subject us to unknown liabilities or lower the value of our property, which could adversely affect our financial condition and ability to make distributions to you.</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seller of a property often sells the property in its “as is” condition on a “where is” basis and “with all faults,” without any warranties of merchantability or fitness for a particular use or purpose. In addition, purchase agreements may contain only limited warranties, representations and indemnifications that will survive for only a limited period after the closing. The acquisition of, or purchase of, properties with limited warranties increases the risk that we may lose some or all of our invested capital in the property, lose rental income from that property or may be subject to unknown liabilities with respect to such properties.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Many of the tenants that occupy our properties compete in industries that depend upon discretionary spending by consumers. A reduction in the willingness or ability of consumers to use their discretionary income in the businesses of our tenants and potential tenants could adversely impact our tenants’ business and thereby adversely impact our ability to collect rents and reduce the demand for leasing our properties.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Certain properties in our portfolio are leased to tenants operating retail, service-oriented or experience-based businesses. General merchandise, financial services, hospitality, home furnishings and entertainment represent a significant portion of the industries in our portfolio. The success of most of the tenants operating businesses in these industries depends on consumer demand and, more specifically, the willingness of consumers to use their discretionary income to purchase products or services from our tenants. The ability of consumers to use their discretionary income may be impacted by issues including a global pandemic that impacts the United States. A prolonged period of economic weakness, another downturn in the U.S. economy or accelerated dislocation of these industries due to the impact of e-commerce, could cause consumers to reduce their discretionary spending in general or spending at these locations in particular, which could have a material and adverse effect on us.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vacancy of one or more of our properties could result in us having to incur significant capital expenditures to re-tenant the space.</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loss of a tenant, either through lease expiration or tenant bankruptcy or insolvency, may require us to spend significant amounts of capital to renovate the property before it is suitable for a new tenant and cause us to incur significant costs to source new tenants. In many instances, the leases we enter into or assume through acquisition are for properties that are specifically suited to the particular business of our tenants. Because these properties have been designed or physically modified for a particular tenant, if the current lease is terminated or not renewed, we may be required to renovate the property at substantial costs, decrease the rent we charge or provide other concessions in order to lease the property to another tenant. In addition, in the event we decide to sell the property, we may have difficulty selling it to a party other than the tenant due to the special purpose for which the property may have been designed or modified. This potential limitation on our ability to sell a property may limit our ability to quickly modify our portfolio in response to changes in our tenants’ business prospects, economic or other conditions, including tenant demand. These limitations may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be unable to identify and complete suitable property acquisitions or developments, which may impede our growth, and our future acquisitions and developments may not yield the returns we expect.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ability to expand through acquisitions and developments requires us to identify and complete acquisitions and new property developments that are consistent with our investment and growth strategy and our investment criteria and to successfully integrate newly acquired properties into our portfolio. Our Manager continually evaluates investment opportunities for us, but our ability to acquire or develop new properties on favorable terms and successfully operate them may be constrained by the following significant risks:</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from commercial developers and other real estate investors with significant capital, including REITs and institutional investment funds, which may be able to accept more risk than we can prudently manage, including risks associated with paying higher acquisition prices;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from other potential acquirers which may significantly increase the purchase price for a property we acquire, which could reduce our growth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incur significant costs and divert management attention in connection with evaluating and negotiating potential acquisitions and developments, including ones that we are unable to complete;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properties that are not accretive to our results of operations upon acquisition, and we may be unsuccessful in managing and leasing such properties in accordance with our expectations;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flow from an acquired or developed property may be insufficient to meet our required principal and interest payments with respect to debt used to finance the acquisition or development of such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discover unexpected issues, such as unknown liabilities, during our due diligence investigation of a potential acquisition or other customary closing conditions may not be satisfied, causing us to abandon an investment opportunity after incurring expenses related thereto;</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fail to obtain financing for an acquisition or new property development on favorable terms or at all;</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spend more than budgeted amounts to make necessary improvements or renovations to acquired properties;</w:t>
            </w:r>
          </w:p>
        </w:tc>
      </w:tr>
    </w:tbl>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may result in higher than expected vacancy rates and lower than expected rental rates;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properties subject to (i) liabilities without any recourse, or with only limited recourse, with respect to unknown liabilities such as liabilities for clean-up of undisclosed environmental contamination not revealed in Phase I environmental site assessments or otherwise through due diligence, (ii) claims by tenants, vendors or other persons dealing with the former owners of the properties, (iii) liabilities incurred in the ordinary course of business, and (iv) claims for indemnification by general partners, directors, officers and others indemnified by the former owners of the properties.</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any of these risks are realized, we may be materially and adversely affected.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be unable to complete acquisitions of properties owned by CTO that are covered by the ROFO Agreement, and any completed acquisitions of such properties may not yield the returns we expect.</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the ROFO Agreement provides us with a right of first offer with respect to certain single-tenant, net leased properties owned by CTO, there can be no assurance that CTO will elect to sell these properties in the future. Even if CTO elects to sell these properties in the future, we may be unable to reach an agreement with CTO on the terms of the purchase of such properties or may not have the funds or ability to finance the purchase of such properties. Accordingly, there can be no assurance that we will be able to acquire any properties covered by the ROFO Agreement in the future. Further, even if we are able to acquire properties covered by the ROFO Agreement, there is no guarantee that such properties will be able to maintain their historical performance, or that we will be able to realize the same returns from those properties as CTO.</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face significant competition for tenants, which may adversely impact the occupancy levels of our portfolio or prevent increases of the rental rates of our properties.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compete with numerous developers, owners and operators of net leased properties, many of which are much larger and own properties similar to ours in the same markets in which our properties are located. The size and financial wherewithal of our competitors may allow them to offer space at rental rates below current market rates or below the rental rates we charge our tenants. As a result, we may lose existing tenants or fail to obtain future tenants, and the downward pressure caused by these other owners, operators and developers may cause us to reduce our rental rates or to offer more substantial rent abatements, tenant improvements, early termination rights or below-market renewal options in order to retain tenants when our leases expire. Competition for tenants could adversely impact the occupancy levels of our portfolio or prevent increases of the rental rates of our properties, which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Inflation may materially and adversely affect us and our tenants.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Increased inflation has in the past and could again in the future have an adverse impact on interest rates, which has negatively impacted the cost of our or our tenants’ variable rate debt and would likely negatively impact the cost of any variable rate debt that we obtain in the future. During times when inflation is increasing at a greater rate than the increases in rent provided by our leases, our rent levels will not keep up with the costs associated with rising inflation. Increased costs may have an adverse impact on our tenants if increases in their operating expenses exceed increases they might achieve in revenues, which may adversely affect the tenants’ ability to pay rent owed to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redevelopment or renovation of our properties may cause us to experience unexpected costs and have other risks that could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in the future redevelop, significantly renovate or otherwise invest additional capital in our properties to improve them and enhance the opportunity for achieving attractive risk-adjusted returns. These activities are subject to a number of risks, including risks associated with construction work and risks of cost overruns due to construction delays or other factors that may increase the expected costs of a project. In addition, we may incur costs in connection with projects that are ultimately not pursued to completion. Any of our redevelopment or renovation projects may be financed. If such financing is not available on acceptable terms, our redevelopment and renovation activities may not be pursued or may be curtailed. In addition, such activities would likely reduce the available borrowing capacity on the Credit Facility or any other credit facilities that we may have in place in the future, which would limit our ability to use those sources of capital for the acquisition of properties and other operating needs. The risks associated with redevelopment and renovation activities, including but not necessarily limited to those noted above,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real estate investments are generally illiquid, which could significantly affect our ability to respond to market changes or adverse changes relating to our tenants or in the performance of our properties.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real estate investments made, and expected to be made, by us are relatively difficult for us to sell quickly. As a result, our ability to make rapid adjustments in the size and content of our portfolio in response to economic or other conditions is limited. Illiquid assets typically experience greater price volatility, as a ready market does not exist, and can be more difficult to value. In addition, validating third party pricing for illiquid assets may be more subjective than more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liquid assets. As a result, if we are required to quickly liquidate all or a portion of our portfolio, we may realize significantly less than the value at which we have previously recorded our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Internal Revenue Code of 1986, as amended (the “Code”), imposes restrictions on a REIT’s ability to dispose of properties that are not applicable to other types of real estate companies. In particular, the tax laws applicable to REITs effectively require that we hold our properties for investment, rather than primarily for sale in the ordinary course of business, which may cause us to forgo or defer sales of properties that otherwise would be in our best interest. Therefore, we may not be able to vary our portfolio in response to economic or other conditions promptly or on favorable terms, which may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not be able to dispose of properties we target for sale to recycle our capital.</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we may seek to selectively sell properties to recycle our capital, we may be unable to sell properties targeted for disposition due to adverse market or other conditions, or not achieve the pricing or timing that is consistent with our expectations. This may adversely affect, among other things, our ability to deploy capital into the acquisition of other properties and the execution of our overall operating strategy, which could, consequently,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development of new projects and/or properties may cause us to experience unexpected costs and have other risks that could materially and adversely affect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may develop new projects to enhance the opportunity for achieving attractive risk-adjusted returns. New project development is subject to a number of risks, including risks associated with the availability and timely receipt of zoning and other regulatory approvals, the timely completion of construction (including risks from factors beyond our control, such as weather, labor conditions or material shortages) and risks of cost overruns due to construction delays or other factors that may increase the expected costs of a project. These risks could result in substantial unanticipated delays and, under certain circumstances, provide a tenant the opportunity to delay rent commencement, reduce rent or terminate a lease. In addition, we may incur costs in connection with projects that are ultimately not pursued to completion. Any new development projects may be financed. If such financing is not available on acceptable terms, our development activities may not be pursued or may be curtailed. In addition, such activities would likely reduce the available borrowing capacity on the revolving credit facility or any other credit facilities that we may have in place in the future, which would limit our ability to use those sources of capital for the acquisition of properties and other operating needs. The risks associated with new project development activities, including but not necessarily limited to those noted above, could materially and adversely affect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success of our activities related to new project development in which we will retain an ownership interest is partly dependent on the availability of suitable undeveloped land at acceptable prices.</w:t>
      </w:r>
    </w:p>
    <w:p>
      <w:pPr>
        <w:pStyle w:val="TextBody"/>
        <w:bidi w:val="0"/>
        <w:spacing w:before="0" w:after="0"/>
        <w:ind w:left="0" w:right="0" w:firstLine="360"/>
        <w:jc w:val="both"/>
        <w:rPr/>
      </w:pPr>
      <w:r>
        <w:rPr/>
        <w:t> </w:t>
      </w:r>
    </w:p>
    <w:p>
      <w:pPr>
        <w:pStyle w:val="TextBody"/>
        <w:bidi w:val="0"/>
        <w:spacing w:before="0" w:after="0"/>
        <w:ind w:left="0" w:right="0" w:firstLine="360"/>
        <w:jc w:val="both"/>
        <w:rPr/>
      </w:pPr>
      <w:r>
        <w:rPr/>
        <w:t> </w:t>
      </w:r>
      <w:r>
        <w:rPr>
          <w:rFonts w:ascii="Times New Roman;Times;serif" w:hAnsi="Times New Roman;Times;serif"/>
          <w:sz w:val="20"/>
        </w:rPr>
        <w:t>Our success in developing projects that we will retain an ownership interest in is partly dependent upon the availability of undeveloped land suitable for the intended development. The availability of undeveloped land for purchase at acceptable prices depends on a number of factors outside of our control, including the risk of competitive over-bidding on land and governmental regulations that restrict the potential uses of land. If the availability of suitable land opportunities decreases, the number of development projects we may be able to undertake could be reduced. Thus, the lack of availability of suitable land opportunities could have a material adverse effect on our results of operations and growth prospects.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Commercial Loans and Investments Segment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 part of our investment strategy is focused on investing in commercial loans and investments which may involve credit risk.</w:t>
      </w:r>
    </w:p>
    <w:p>
      <w:pPr>
        <w:pStyle w:val="TextBody"/>
        <w:bidi w:val="0"/>
        <w:spacing w:before="0" w:after="0"/>
        <w:ind w:left="0" w:right="0" w:firstLine="360"/>
        <w:jc w:val="both"/>
        <w:rPr>
          <w:rFonts w:ascii="Times New Roman;Times;serif" w:hAnsi="Times New Roman;Times;serif"/>
          <w:b w:val="false"/>
          <w:sz w:val="20"/>
        </w:rPr>
      </w:pPr>
      <w:r>
        <w:rPr>
          <w:rFonts w:ascii="Times New Roman;Times;serif" w:hAnsi="Times New Roman;Times;serif"/>
          <w:b w:val="false"/>
          <w:sz w:val="20"/>
        </w:rPr>
        <w:t xml:space="preserve">We have invested in commercial loans secured by commercial real estate and may from time to time in the future opportunistically invest in additional commercial loans secured by commercial real estate or similar financings secured by real estate. Investments in commercial loans or similar financings of real estate involve credit risk with regard to the borrower, the borrower’s operations and the real estate that secures the financing. The credit risks include, but are not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limited to, the ability of the borrower to execute their business plan and strategy, the ability of the borrower to sustain and/or improve the operating results generated by the collateral property, the ability of the borrower to continue as a going concern, and the risk associated with the market or industry in which the collateral property is utilized. Our evaluation of the investment opportunity in a mortgage loan or similar financing includes these elements of credit risk as well as other underwriting criteria and factors. Further, we may rely on third party resources to assist us in our investment evaluation process and otherwise in conducting customary due diligence. Our underwriting of the investment or our estimates of credit risk may not prove to be accurate, as actual results may vary from our estimates. In the event we underestimate the performance of the borrower and/or the underlying real estate which secures our commercial loan or financing, we may experience losses or unanticipated costs regarding our investment and our financial condition, results of operations, and cash flows may be adversely impacted.</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commercial loans and investments segment is also generally exposed to risks associated with real estate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Any deterioration of real estate fundamentals generally, and in the United States in particular, could negatively impact the performance of our commercial loans and investments segment by making it more difficult for borrowers to satisfy their debt payment obligations, increasing the default risk applicable to borrowers and making it relatively more difficult for us to generate attractive risk-adjusted returns in our commercial loans and investments segment. Real estate investments are subject to various risks, including the risks described elsewhere in this Form 10-K with respect to the properties that we own directly. Our borrowers may be impacted by these same risks, which may make it more difficult for them to satisfy their debt payment obligations to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origination or acquisition of construction loans exposes us to an increased risk of loss.</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originated, and may in the future, originate or acquire additional construction loans. If we fail to fund our entire commitment on a construction loan or if a borrower otherwise fails to complete the construction of a project, there could be adverse consequences associated with the loan, including, but not limited to: a loss of the value of the property securing the loan, especially if the borrower is unable to raise funds to complete construction from other sources; a borrower claim against us for failure to perform under the loan documents; increased costs to the borrower that the borrower is unable to pay; a bankruptcy filing by the borrower; and abandonment by the borrower of the collateral for the loan. A borrower default on a construction loan where the property has not achieved completion poses a greater risk than a conventional loan, as completion would be required before the property is able to generate revenue. The process of foreclosing on a property is time-consuming, and we may incur significant expense if we foreclose on a property securing a loan under these or other circumstances.</w:t>
      </w:r>
    </w:p>
    <w:p>
      <w:pPr>
        <w:pStyle w:val="TextBody"/>
        <w:shd w:fill="FFFFFF" w:val="clear"/>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investments in construction loans require us to make estimates about the fair value of land improvements that may be challenged by the Internal Revenue Service (“IRS”).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originated and may in the future originate or acquire additional construction loans, the interest from which will be qualifying income for purposes of the REIT income tests, provided that the loan value of the real property securing the construction loan is equal to or greater than the highest outstanding principal amount of the construction loan during any taxable year. For purposes of construction loans, the loan value of the real property is the fair value of the land plus the reasonably estimated cost of the improvements or developments (other than personal property) that will secure the loan and that are to be constructed from the proceeds of the loan. There can be no assurance that the IRS would not challenge our estimate of the loan value of the real property.</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invest in fixed-rate loan investments, and an increase in interest rates may adversely affect the value of these investments, which could adversely impact our financial condition, results of operations and cash flows.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 xml:space="preserve">Increases in interest rates may negatively affect the market value of our investments, particularly any fixed-rate commercial loans or other financings we have invested in. Generally, any fixed-rate commercial loans or other financings will be more negatively affected by rising interest rates than adjustable-rate assets. Reductions in the fair value of our investments could decrease the amounts we may borrow to purchase additional commercial loans or similar financing investments, which could impact our ability to increase our operating results and cash flows. Furthermore, if our borrowing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costs are rising while our interest income is fixed for the fixed-rate investments, the spread between our borrowing costs and the fixed-rate we earn on the commercial loans or similar financing investments will contract or could become negative which would adversely impact our financial condition, results of operations, and cash flows.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commercial loans or similar financings we have acquired and may acquire in the future that are secured by commercial real estate typically depend on the ability of the property owner to generate income from operating the property. Failure to do so may result in delinquency and/or foreclosure.</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Commercial loans are secured by commercial property and are subject to risks of delinquency and foreclosure and therefore risk of loss.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In the event of any default under a commercial loan held directly by us, we will bear a risk of loss of principal to the extent of any deficiency between the value of the collateral and the principal and accrued interest of the commercial loan, which could have a material adverse effect on our financial condition, operating results and cash flows. In the event of the bankruptcy of a commercial loan borrower, the mortgage loan to such borrower will be deemed to be secured only to the extent of the value of the underlying collateral at the time of bankruptcy (as determined by the bankruptcy court), and the lien securing the loan will be subject to the avoidance powers of the bankruptcy trustee or debtor-in-possession to the extent the lien is unenforceable under state law. Foreclosure of a loan can be an expensive and lengthy process, which could have a substantial negative effect on our anticipated return on the foreclosed commercial loan. If the borrower is unable to repay a mortgage loan or similar financing, our inability to foreclose on the asset in a timely manner, and/or our inability to obtain value from reselling or otherwise disposing of the asset for an amount equal to our investment basis, would adversely impact our financial condition, results of operations, and cash flows.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may suffer losses when a borrower defaults on a loan and the value of the underlying collateral is less than the amount due.</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If a borrower defaults on a non-recourse loan, we will only have recourse to the real estate-related assets collateralizing the loan. If the underlying collateral value is less than the loan amount, we will suffer a loss. Conversely, commercial loans we invest in may be unsecured or be secured only by equity interests in the borrowing entities. These loans are subject to the risk that other lenders in the capital stack may be directly secured by the real estate assets of the borrower or may otherwise have a superior right to repayment. Upon a default, those collateralized lenders would have priority over us with respect to the proceeds of a sale of the underlying real estate. In such cases, we may lack control over the underlying asset collateralizing our loan or the underlying assets of the borrower before a default and, as a result, the value of the collateral may be reduced by acts or omissions by owners or managers of the assets.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Commercial loans we may invest in may be backed by individual or corporate guarantees from borrowers or their affiliates which guarantees are not secured. If the guarantees are not fully or partially secured, we typically rely on financial covenants from borrowers and guarantors which are designed to require the borrower or guarantor to maintain certain levels of creditworthiness. Should we not have recourse to specific collateral pledged to satisfy such guarantees or recourse loans, we will have recourse as an unsecured creditor only to the general assets of the borrower or guarantor, some or all of which may be pledged as collateral for other lenders. There can be no assurance that a borrower or guarantor will comply with its financial covenants, or that sufficient assets will be available to pay amounts owed to us under our loans and guarantees. Because of these factors, we may suffer additional losses which could have a material adverse effect on our financial condition, operating results and cash flows.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Upon a borrower bankruptcy, we may not have full recourse to the assets of the borrower to satisfy our loan. Additionally, in some instances, our loans may be subordinate to other debt of certain borrowers. If a borrower defaults on our loan or on debt senior to our loan, or a borrower files for bankruptcy, our loan will be satisfied only after the senior debt receives payment. Where debt senior to our loan exists, the presence of inter-creditor arrangements may limit our ability to amend our loan documents, assign our loans, accept prepayments, exercise our remedies (through “standstill” periods), and control decisions made in bankruptcy proceedings. Bankruptcy and borrower litigation can significantly increase collection costs and the time needed for us to acquire title to the underlying collateral (if applicable), during which time the collateral and/or a borrower’s financial condition may decline in value, causing us to suffer additional losses.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the value of collateral underlying a loan declines, or interest rates increase during the term of a loan, a borrower may not be able to obtain the necessary funds to repay our loan at maturity through refinancing because the underlying property revenue cannot satisfy the debt service coverage requirements necessary to obtain new financing. If a borrower is unable to repay our loan at maturity, we could suffer additional loss which may adversely impact our financial condition, operating results and cash flows.</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a result of any of the above factors or events, the losses we may suffer could adversely impact our financial condition, results of operations and cash flows.</w:t>
      </w:r>
    </w:p>
    <w:p>
      <w:pPr>
        <w:pStyle w:val="TextBody"/>
        <w:shd w:fill="FFFFFF" w:val="clear"/>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 xml:space="preserve">We could fail to continue to qualify as a REIT if the IRS successfully challenges our treatment of any mezzanine loans in which we invest.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in the future, originate or acquire mezzanine loans, which are loans secured by equity interests in an entity that directly or indirectly owns real property, rather than by a direct mortgage of the real property. In Revenue Procedure 2003-65, the IRS established a safe harbor under which loans secured by a first priority security interest in ownership interests in a partnership or limited liability company owning real property will be treated as real estate assets for purposes of the REIT asset tests, and interest derived from those loans will be treated as qualifying income for both the 75% and 95% gross income tests, provided several requirements are satisfied. Although Revenue Procedure 2003-65 provides a safe harbor on which taxpayers may rely, it does not prescribe rules of substantive tax law. Moreover, our mezzanine loans may not meet all of the requirements for reliance on the safe harbor. Consequently, there can be no assurance that the IRS will not challenge our treatment of such loans as qualifying real estate assets, which could adversely affect our ability to continue to qualify as a REIT.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Certain Events, Environmental Matters and Climate Change</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Natural disasters, terrorist attacks, other acts of violence or war or other unexpected events could materially and adversely affect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Natural disasters, terrorist attacks, other acts of violence or war or other unexpected events, including a global pandemic that impacts the economy in the United States, could materially interrupt our business operations (or those of our tenants), cause consumer confidence and spending to decrease or result in increased volatility in the U.S. and worldwide financial markets and economies. They also could result in or prolong an economic recession. Any of these occurrences could materially and adversely affect us.</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our corporate headquarters and certain of our properties are located in Florida, where major hurricanes have occurred. Depending on where any hurricane makes landfall, our properties in Florida could experience significant damage. In addition, the occurrence and frequency of hurricanes in Florida could also negatively impact demand for our properties located in that state because of consumer perceptions of hurricane risks. In addition to hurricanes, the occurrence of other natural disasters and climate conditions in Florida (and in other states where our properties are located), such as tornadoes, floods, fires, unusually heavy or prolonged rain, droughts and heat waves, could have an adverse effect on our tenants, which could adversely impact our ability to collect rental revenues. If a hurricane, earthquake, natural disaster or other similar significant disruption occurs, we may experience disruptions to our operations and damage to our properties, which could materially and adversely affect us.</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Terrorist attacks or other acts of violence may also negatively affect our operations. There can be no assurance that there will not be terrorist attacks against businesses within the U.S. These attacks may directly impact our physical assets or business operations or the financial condition of our tenants, lenders or other institutions with which we have a relationship. The U.S. may be engaged in armed conflict, which could also have an impact on the tenants, lenders or other institutions with which we have a relationship. The consequences of armed conflict are unpredictable, and we may not be able to foresee events that could have an adverse effect on our business. Any of these occurrences could materially and adversely affect us.</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Insurance on our properties may not adequately cover all losses and uninsured losses could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leases typically provide that either the landlord or the tenant will maintain property and liability insurance for the properties that are leased from us. If our tenants are required to carry liability and/or property insurance coverage, our tenants are required to name us (and any of our lenders that have a mortgage on the property leased by the tenant) as additional insureds on their liability policies and additional named insured and/or loss payee (or mortgagee, in the case of our lenders) on their property policies. Depending on the location of the property, losses of a catastrophic nature, such as those caused by hurricanes, earthquakes and floods, may be covered by insurance policies that are held by our tenant with limitations such as large deductibles or co-payments that a tenant may not be able to meet. In addition, losses of a catastrophic nature, such as those caused by wind, hail, hurricanes, terrorism or acts of war, may be uninsurable or not economically insurable. In the event there is damage to our properties that is not covered by insurance and such properties are subject to recourse indebtedness, we will continue to be liable for the indebtedness, even if these properties are irreparably damaged.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Inflation, changes in building codes and ordinances, environmental considerations and other factors, including terrorism or acts of war, may make any insurance proceeds we receive insufficient to repair or replace a property if it is damaged or destroyed. In those circumstances, the insurance proceeds received may not be adequate to restore our economic position with respect to the affected real property and its generation of rental revenue. Furthermore, in the event we experience a substantial or comprehensive loss of one of our properties, we may not be able to rebuild such property to its existing specifications without significant capital expenditures which may exceed any amounts received pursuant to insurance policies, as reconstruction or improvement of such a property would likely require significant upgrades to meet zoning and building code requirements. The loss of our capital investment in or anticipated future returns from our properties due to material uninsured losses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costs of compliance with or liabilities related to environmental laws may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ownership of our properties may subject us to known and unknown environmental liabilities. Under various federal, state and local laws and regulations relating to the environment, as a current or former owner or operator of real property, we may be liable for costs and damages resulting from environmental matters, including the presence or discharge of hazardous or toxic substances, waste or petroleum products at, on, in, under or migrating from such property, as well as costs to investigate or clean up such contamination and liability for personal injury, property damage or harm to natural resources. We may face liability regardless of:</w:t>
      </w:r>
    </w:p>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knowledge of the contamination;</w:t>
            </w:r>
          </w:p>
        </w:tc>
      </w:tr>
    </w:tbl>
    <w:tbl>
      <w:tblPr>
        <w:tblW w:w="3171" w:type="dxa"/>
        <w:jc w:val="left"/>
        <w:tblInd w:w="0" w:type="dxa"/>
        <w:tblLayout w:type="fixed"/>
        <w:tblCellMar>
          <w:top w:w="28" w:type="dxa"/>
          <w:left w:w="28" w:type="dxa"/>
          <w:bottom w:w="28" w:type="dxa"/>
          <w:right w:w="28" w:type="dxa"/>
        </w:tblCellMar>
      </w:tblPr>
      <w:tblGrid>
        <w:gridCol w:w="124"/>
        <w:gridCol w:w="256"/>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contamination;</w:t>
            </w:r>
          </w:p>
        </w:tc>
      </w:tr>
    </w:tbl>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cause of the contamination; or</w:t>
            </w:r>
          </w:p>
        </w:tc>
      </w:tr>
    </w:tbl>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party responsible for the contamination of the property.</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may be environmental liabilities associated with our properties of which we are unaware. We obtain Phase I environmental assessments for properties acquired. Phase I environmental site assessments are limited in scope and therefore may not reveal all environmental conditions affecting a property. Therefore, there could be undiscovered environmental liabilities on the properties we own. Some of our properties use, or may have used in the past, underground tanks for the storage of petroleum-based products or waste products that could create a potential for release of hazardous substances or penalties if tanks do not comply with legal standards. If environmental contamination exists on our properties, we could be subject to strict, joint and/or several liability for the contamination by virtue of our ownership interest. Some of our properties may contain asbestos-containing materials, or ACM. Environmental laws govern the presence, maintenance and removal of ACM and such laws may impose fines, penalties or other obligations for failure to comply with these requirements or expose us to third-party liability (for example, liability for personal injury associated with exposure to asbestos). Environmental laws also apply to other activities that can occur on a property, such as storage of petroleum products or other hazardous toxic substances, air emissions, water discharges and exposure to lead-based paint. Such laws may impose fines and penalties for violations and may require permits or other governmental approvals to be obtained for the operation of a business involving such activities.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known or potential presence of hazardous substances on a property may adversely affect our ability to sell, lease or improve the property or to borrow using the property as collateral. In addition, environmental laws may create liens on contaminated properties in favor of the government for damages and costs it incurs to address such contamination. Moreover, if contamination is discovered on our properties, environmental laws may impose restrictions on the manner in which they may be used or businesses may be operated, and these restrictions may require substantial expenditures.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although our leases generally require our tenants to operate in compliance with all applicable laws and to indemnify us against any environmental liabilities arising from a tenant’s activities on the property, we could be subject to strict liability by virtue of our ownership interest. We cannot be sure that our tenants will, or will be able to, satisfy their indemnification obligations, if any, under our leases. Furthermore, the discovery of environmental liabilities on any of our properties could lead to significant remediation costs or to other liabilities or obligations attributable to the tenant of that property or could result in material interference with the ability of our tenants to operate their businesses as currently operated. Noncompliance with environmental laws or discovery of environmental liabilities could each individually or collectively affect such tenant’s ability to make payments to us, including rental payments and, where applicable, indemnification payments.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environmental liabilities may include property and natural resources damage, personal injury, investigation and clean-up costs, among other potential environmental liabilities. These costs could be substantial. Although we may obtain insurance for environmental liability for certain properties that are deemed to warrant coverage, our insurance may be insufficient to address any particular environmental situation and we may be unable to continue to obtain insurance for environmental matters, at a reasonable cost or at all, in the future. If our environmental liability insurance is inadequate, we may become subject to material losses for environmental liabilities. Our ability to receive the benefits of any environmental liability insurance policy will depend on the financial stability of our insurance company and the position it takes with respect to our insurance policies. If we were to become subject to significant environmental liabilities, we could be materially and adversely affected.</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properties may contain or develop harmful mold, which could lead to liability for adverse health effects and costs of remediation.</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excessive moisture accumulates in buildings or on building materials, mold growth may occur, particularly if the moisture problem remains undiscovered or is not addressed over a period of time. Some molds may produce airborne toxins or irritants. Concern about indoor exposure to mold has been increasing, as exposure to mold may cause a variety of adverse health effects and symptoms, including allergic or other reactions. As a result, should our tenants or their employees or customers be exposed to mold at any of our properties, we could be required to undertake a costly remediation program to contain or remove the mold from the affected property. In addition, exposure to mold by our tenants or others could subject us to liability if property damage or health concerns arise. If we were to become subject to significant mold-related liabilities, we could be materially and adversely affected.</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operations and financial condition may be adversely affected by climate change, including possible changes in weather patterns, weather-related events, government policy, laws, regulations and economic conditions.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recent years, the assessment of the potential impact of climate change has begun to impact the activities of government authorities, the pattern of consumer behavior and other areas that impact the business environment in the U.S., including, but not limited to, energy-efficiency measures, water use measures and land-use practices. The promulgation of policies, laws or regulations relating to climate change by governmental authorities in the U.S. and the markets in which we own properties may require us to invest additional capital in our properties. In addition, the impact of climate change on businesses operated by our tenants is not reasonably determinable at this time. While not generally known at this time, climate change may impact weather patterns or the occurrence of significant weather events which could impact economic activity or the value of our properties in specific markets. The occurrence of any of these events or conditions may adversely impact our ability to lease our properties, which would materially and adversely affect us.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Other Aspects of our Operation and as a Public Company</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are highly dependent on information systems and certain third-party technology service providers, and systems failures not related to cyber-attacks or similar external attacks could significantly disrupt our business, which may, in turn, negatively affect the market price of our common stock and adversely impact our results of operations and cash flows.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is highly dependent on communications and information systems and networks. Any failure or interruption of these systems or networks could cause delays or other problems in our operations and communications. Through our relationship with CTO and our Manager, we rely heavily on CTO’s financial, accounting and other data processing systems. In addition, much of the information technology (“IT”) infrastructure on which we rely is managed by a third party and, as such, we also face the risk of operational failure, termination or capacity constraints by this third party. It is difficult to determine what, if any, negative impact may directly result from any specific interruption or disruption of the networks or systems on which our business relies or any failure to maintain performance, reliability and security of our technological infrastructure, but significant events impacting the systems or networks on which our business relies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senior management team is required to operate two publicly traded companies, CTO and our company, which could place a significant strain on our senior management team and the management systems, infrastructure and other resources of CTO on which we rely.</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senior management team operates two publicly traded companies, our company and CTO, and is required to comply with periodic and current reporting requirements under applicable SEC regulations and comply with applicable listing standards of the NYSE. This could place a significant strain on our senior management team and the management systems, infrastructure and other resources of CTO made available to us through our Manager and on which we rely. There can be no assurance that our senior management team will be able to successfully operate two publicly traded companies. Any failure by our senior management team to successfully operate our company or CTO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If there are deficiencies in our disclosure controls and procedures or internal control over financial reporting, we may be unable to accurately present our financial statements, which could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publicly traded company, we are required to report our financial statements on a consolidated basis. Effective internal controls are necessary for us to accurately report our financial results. Section 404 of the Sarbanes-Oxley Act requires us to evaluate and report on our internal control over financial reporting. However, for as long as we are an “emerging growth company” under the JOBS Act, our independent registered public accounting firm will not be required to attest to the effectiveness of our internal control over financial reporting pursuant to Section 404(b) of the Sarbanes-Oxley Act. We could be an “emerging growth company” through December 31, 2024 (the last day of the fiscal year following the fifth anniversary of the IPO). An independent assessment of the effectiveness of our internal controls could detect problems that our management’s assessment might not. There can be no guarantee that our internal control over financial reporting will be effective in accomplishing all control objectives all of the time. Furthermore, as we grow our business, our internal controls will become more complex, and we may require significantly more resources to ensure our internal controls remain effective. Future deficiencies, including any material weakness, in our internal control over financial reporting which may occur could result in misstatements of our results of operations that could require a restatement, failing to meet our public company reporting obligations and causing investors to lose confidence in our reported financial information, which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Compliance with the Americans with Disabilities Act and fire, safety and other regulations may require us to make unanticipated expenditures that materially and adversely affect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properties are and will be subject to the Americans with Disabilities Act, or the ADA. Under the ADA, all public accommodations must meet federal requirements related to access and use by disabled persons. Compliance with the ADA requirements could require removal of access barriers and non-compliance could result in imposition of fines by the U.S. government or an award of damages to private litigants, or both. While our tenants are and will be obligated by law to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comply with the ADA and typically obligated under our leases to cover costs associated with compliance, if required changes involve greater expenditures than anticipated or if the changes must be made on a more accelerated basis than anticipated, the ability of our tenants to cover costs could be adversely affected. We could be required to expend our own funds to comply with the provisions of the ADA, which could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are and will be required to operate our properties in compliance with fire and safety regulations, building codes and other land use regulations, as they may be adopted by governmental agencies and bodies and become applicable to our properties. We may be required to make substantial capital expenditures to comply with those requirements and may be required to obtain approvals from various authorities with respect to our properties, including prior to acquiring a property or when undertaking renovations of any of our existing properties. There can be no assurance that existing laws and regulatory policies will not adversely affect us or the timing or cost of any future acquisitions, developments or renovations, or that additional regulations will not be adopted that increase such delays or result in additional costs. Additionally, failure to comply with any of these requirements could result in the imposition of fines by governmental authorities or awards of damages to private litigants. While we intend to only acquire properties that we believe are currently in substantial compliance with all regulatory requirements, these requirements may change, and new requirements may be imposed which would require significant unanticipated expenditures by us and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have in the past and may in the future choose to acquire properties or portfolios of properties through tax deferred contribution transactions, which could result in stockholder dilution and limit our ability to sell such assets.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in the past acquired, and may in the future acquire, properties or portfolios of properties through tax deferred contribution transactions in exchange for common or preferred units of limited partnership interest in the Operating Partnership, which may result in stockholder dilution. This acquisition structure may have the effect of, among other things, reducing the amount of tax depreciation we could deduct over the tax life of the acquired properties, and may require that we agree to protect the contributors’ ability to defer recognition of taxable gain through restrictions on our ability to dispose of the acquired properties and/or the allocation of partnership debt to the contributors to maintain their tax bases. These restrictions could limit our ability to sell an asset at a time, or on terms, that would be favorable absent such restrictions.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Relationship with CTO and Our Manager and the Management Agreement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have no employees and are entirely dependent upon our Manager for all the services we require, and we cannot assure you that our Manager will allocate the resources necessary to meet our business objectives.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Because we are “externally managed,” we do not employ our own personnel, but instead depend upon CTO, our Manager and their affiliates for virtually all of the services we require. Our Manager selects and manages the acquisition of properties that meet our investment criteria; administers the collection of rents, monitors lease compliance by our tenants and deals with vacancies and re-letting of our properties; coordinates the sale of our properties; provides financial and regulatory reporting services; communicates with our stockholders, causes us to pay distributions to our stockholders and arranges for transfer agent services; and provides all of our other administrative services. Accordingly, our success is largely dependent upon the expertise and services of the executive officers and other personnel of CTO provided to us through our Manager.</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CTO may be unable to obtain or retain the executive officers and other personnel that it provides to us through our Manager.</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success depends to a significant degree upon the executive officers and other personnel of CTO that it provides to us through our Manager. In particular, we rely on the services of John P. Albright, President and Chief Executive Officer of our company and CTO and a member of the board of directors of our company and CTO; Matthew M. Partridge, Senior Vice President, Chief Financial Officer and Treasurer of our company and CTO; Steven R. Greathouse, Senior Vice President and Chief Investment Officer of our company and CTO; and Daniel E. Smith, Senior Vice President, General Counsel and Corporate Secretary of our company and CTO. In addition to these executive officers, we also rely on other personnel of CTO that are provided to us through our Manager. We cannot guarantee that all, or any particular one of these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executive officers and other personnel of CTO provided to us through our Manager, will remain affiliated with CTO, our Manager and us. We do not separately maintain key person life insurance on any person. Failure by CTO to retain any of its executive officers and other personnel provided to us through our Manager and to hire and retain additional highly skilled managerial, operational and marketing personnel could have a material adverse effect on our ability to achieve our investment growth objectives and could result in us incurring excess costs and suffering deficiencies in our disclosure controls and procedures or our internal control over financial reporting.</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pay substantial fees and expenses to our Manager. These payments increase the risk that you will not earn a profit on your investment.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Management Agreement, we pay significant fees to our Manager. Those fees include a base management fee and an incentive fee, if earned. We will also reimburse our Manager for certain expenses pursuant to the Management Agreement. These payments increase the risk that you will not earn a profit on your investment.</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base management fee payable to our Manager pursuant to the Management Agreement is payable regardless of the performance of our portfolio, which may reduce our Manager’s incentive to devote the time and effort to seeking profitable investment opportunities for us.</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pay our Manager a base management fee pursuant to the Management Agreement, which may be substantial, based on our “total equity” (as defined in the Management Agreement) regardless of the performance of our portfolio of properties. Our Manager’s entitlement to non-performance-based compensation might reduce its incentive to seek profitable investment opportunities for us, which could result in a lower performance of our portfolio and materially adversely affect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incentive fee payable to our Manager pursuant to the Management Agreement may cause our Manager to select investments in more risky assets to increase its incentive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Manager has the ability to earn incentive fees based on our total stockholder return exceeding an 8% cumulative annual hurdle rate, which may create an incentive for our Manager to invest in properties with a purchase price reflecting a higher potential yield, that may be riskier or more speculative, or sell an investment prematurely for a gain, in an effort to increase our short-term gains and thereby increase our stock price and the incentive fees to which it is entitled. If our interests and those of our Manager are not aligned, the execution of our business plan and our results of operations could be adversely affected, which could materially and adversely affect the market price of our common stock and our ability to make distributions to our stockholders.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There are conflicts of interest in our relationships with our Manager, which could result in outcomes that are not in our best interests.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subject to conflicts of interest arising out of our relationships with our Manager. Pursuant to the Management Agreement, our Manager is obligated to supply us with our management team. However, our Manager is not obligated to dedicate any specific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executive officers (John P. Albright) is also a member of the board of directors of our company and the board of directors of CTO. As a result, our Manager and the CTO personnel it provides to us, including our executive officers, may have conflicts between their duties to us and their duties to CTO.</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to our initial portfolio, we have in the past acquired and may in the future acquire or sell properties that would potentially fit the investment criteria for CTO or its affiliates. Similarly, CTO or its affiliates may acquire or sell properties that would potentially fit our investment criteria. Although such acquisitions or dispositions could present conflicts of interest, we nonetheless may pursue and consummate such transactions. Additionally, we may engage in transactions directly with CTO, our Manager or their affiliates. If we acquire a property from CTO or one of its affiliates or sell a property to CTO or one of its affiliates, the purchase price we pay to CTO or one of its affiliates or the purchase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price paid to us by CTO or one of its affiliates may be higher or lower, respectively, than the purchase price that would have been paid to or by us if the transaction were the result of arm’s length negotiations with an unaffiliated third party.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 If we issue additional equity securities at dilutive prices, the market price of our common stock may be adversely affected, and you could lose some or all of your investment in our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Manager’s failure to identify and acquire properties that meet our investment criteria or perform its responsibilities under the Management Agreement could materially and adversely affect our business and our ability to make distributions to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ability to achieve our objectives depends on, among other things, our Manager’s ability to identify, acquire and lease properties that meet our investment criteria. Accomplishing our objectives is largely a function of our Manager’s structuring of our investment process, our access to financing on acceptable terms and general market conditions. Our stockholders will not have input into our investment decisions. All of these factors increase the uncertainty, and thus the risk, of investing in our common stock. The CTO executive officers and other CTO personnel provided to us through our Manager have substantial responsibilities under the Management Agreement. In order to implement certain strategies, CTO, our Manager or their affiliates may need to hire, train, supervise and manage new employees successfully. Any failure by CTO or our Manager to manage our future growth effectively could have a material adverse effect on us, our ability to maintain our qualification as a REIT and our ability to make distributions to our stockholders.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Manager’s liability is limited under the Management Agreement, and we have agreed to indemnify our Manager against certain liabilities. As a result, we could experience unfavorable operating results or incur losses for which our Manager would not be liable.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Management Agreement, our Manager will not assume any responsibility other than to render the services called for thereunder and will not be responsible for any action of the Board in following or declining to follow its directives. Our Manager maintains a contractual, as opposed to a fiduciary relationship, with us. Under the terms of the Management Agreement, our Manager, its officers, members and personnel, any person controlling or controlled by our Manager and any person providing sub-advisory services to our Manager will not be liable to us, any subsidiary of ours, our directors, our stockholders or any subsidiary’s stockholders or partners for acts or omissions performed in accordance with and pursuant to the Management Agreement, except those resulting from acts constituting gross negligence, willful misconduct, bad faith or reckless disregard of our Manager’s duties under the Management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have agreed to indemnify our Manager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Management Agreement, except where attributable to gross negligence, willful misconduct, bad faith or reckless disregard of such person’s duties under the Management Agreement. As a result, we could experience unfavorable operating results or incur losses for which our Manager would not be liable.</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Termination of the Management Agreement could be difficult and costly, including as a result of payment of termination fees to our Manager, and may cause us to be unable to execute our business plan, which could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fail to renew the Management Agreement, or terminate the agreement, other than for a termination for cause, we are obligated to pay our Manager a termination fee equal to three times the sum of (i) the average annual base management fee earned by our Manager during the 24-month period immediately preceding the most recently completed calendar quarter prior to the termination date and (ii) the average annual incentive fee earned by our Manager during the two most recently completed measurement periods (as defined in the Management Agreement) prior to the termination date. Such a payment would likely be a substantial one-time charge that could render unattractive, or not economically feasible, the termination of our Manager, even if it performed poorly. In addition, any termination of the Management Agreement would end our Manager’s obligation to provide us with our executive officers and personnel upon whom we rely for the operation of our business and would also terminate our rights under the ROFO Agreement with CTO, as discussed further herein. As a result of termination of the ROFO Agreement, we would face increased competition from CTO and its affiliates, as well as others, for the acquisition of properties that meet our investment criteria, and our right to acquire certain properties from CTO and its affiliates would be terminated. As a result, the termination of the Management Agreement could materially and adversely affect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If our Manager ceases to be our manager pursuant to the Management Agreement, counterparties to our agreements may cease doing business with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our Manager ceases to be our manager, it could constitute an event of default or early termination event under financing and other agreements we may enter into in the future, upon which our counterparties may have the right to terminate their agreements with us. If our Manager ceases to be our manager for any reason, including upon the non-renewal of the Management Agreement, our business and our ability to make distributions to our stockholders may be materially adversely affected.</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Management Agreement with our Manager and the ROFO Agreement with CTO were not negotiated on an arm’s-length basis and may not be as favorable to us as if they had been negotiated with unaffiliated third parties.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Management Agreement with our Manager and the ROFO Agreement with CTO were negotiated between related parties and before our independent directors were elected, and their terms, including the fees payable to our Manager, may not be as favorable to us as if they had been negotiated with unaffiliated third parties. The terms of these agreements may not reflect our long-term best interests and may be overly favorable to CTO, our Manager and their affiliates (other than us and our subsidiaries). Further, we may choose not to enforce, or to enforce less vigorously, our rights under the Management Agreement and the ROFO Agreement because of our desire to maintain our ongoing relationships with our Manager and CTO.</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Financing Activities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growth depends on external sources of capital, including debt financings, that are outside of our control and may not be available to us on commercially reasonable terms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to maintain our qualification as a REIT under the Code, we are required, among other things, to distribute annually at least 90% of our REIT taxable income, determined without regard to the dividends paid deduction and excluding any net capital gain. In addition, we are subject to income tax at the U.S. federal corporate income tax rate to the extent that we distribute less than 100% of our net taxable income. Because of these distribution requirements, we may not have sufficient liquidity from our operating cash flows to fund future capital needs, including any acquisition financing. Consequently, we may rely on third-party sources, including lenders, to fund our capital needs. We may not be able to obtain debt financing on favorable terms or at all. Any additional debt we incur will increase our leverage and likelihood of default. Our access to third-party sources of capital depends, in part, on:</w:t>
      </w:r>
    </w:p>
    <w:tbl>
      <w:tblPr>
        <w:tblW w:w="2706" w:type="dxa"/>
        <w:jc w:val="left"/>
        <w:tblInd w:w="0" w:type="dxa"/>
        <w:tblLayout w:type="fixed"/>
        <w:tblCellMar>
          <w:top w:w="28" w:type="dxa"/>
          <w:left w:w="28" w:type="dxa"/>
          <w:bottom w:w="28" w:type="dxa"/>
          <w:right w:w="28" w:type="dxa"/>
        </w:tblCellMar>
      </w:tblPr>
      <w:tblGrid>
        <w:gridCol w:w="124"/>
        <w:gridCol w:w="256"/>
        <w:gridCol w:w="2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w:t>
            </w:r>
          </w:p>
        </w:tc>
      </w:tr>
    </w:tbl>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perception of our growth potential;</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406" w:type="dxa"/>
        <w:jc w:val="left"/>
        <w:tblInd w:w="0" w:type="dxa"/>
        <w:tblLayout w:type="fixed"/>
        <w:tblCellMar>
          <w:top w:w="28" w:type="dxa"/>
          <w:left w:w="28" w:type="dxa"/>
          <w:bottom w:w="28" w:type="dxa"/>
          <w:right w:w="28" w:type="dxa"/>
        </w:tblCellMar>
      </w:tblPr>
      <w:tblGrid>
        <w:gridCol w:w="124"/>
        <w:gridCol w:w="256"/>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debt levels;</w:t>
            </w:r>
          </w:p>
        </w:tc>
      </w:tr>
    </w:tbl>
    <w:tbl>
      <w:tblPr>
        <w:tblW w:w="3861" w:type="dxa"/>
        <w:jc w:val="left"/>
        <w:tblInd w:w="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expected future earnings;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flow and cash distributions; and</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per share of our common stock.</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we cannot obtain capital from third-party sources, we may not be able to acquire or develop properties when strategic opportunities exist, meet the capital and operating needs of our existing properties, satisfy our debt service obligations or make the cash distributions to our stockholders necessary to maintain our qualification as a REIT, which would materially and adversely affect us.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organizational documents have no limitation on the amount of additional indebtedness that we may incur in the future. As a result, we may become highly leveraged in the future, which could materially and adversely affect us.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entered into certain debt agreements and, in the future, we may incur additional indebtedness to finance future acquisitions and development, redevelopment and renovation projects and for general corporate purposes. There are no restrictions in our charter or bylaws that limit the amount or percentage of indebtedness that we may incur nor restrict the form in which our indebtedness will be incurred (including recourse or non-recourse debt or cross-collateralized debt).</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 substantial level of indebtedness in the future could have adverse consequences for our business and otherwise materially and adversely affect us because it could, among other things:</w:t>
      </w:r>
    </w:p>
    <w:p>
      <w:pPr>
        <w:pStyle w:val="TextBody"/>
        <w:bidi w:val="0"/>
        <w:spacing w:before="0" w:after="24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dedicate a substantial portion of our cash flow from operations to make principal and interest payments on our indebtedness, thereby reducing our cash flow available to fund working capital, capital expenditures and other general corporate purposes, including to pay dividends on our common stock as currently contemplated or necessary to satisfy the requirements for qualification as a REIT;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vulnerability to general adverse economic and industry conditions and limit our flexibility in planning for, or reacting to, changes in our business and our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ability to borrow additional funds or refinance indebtedness on favorable terms or at all to expand our business or ease liquidity constraints; and</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us at a competitive disadvantage relative to competitors that have less indebtedness.</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agreements governing our indebtedness place restrictions on us and our subsidiaries, reducing our operational flexibility and creating risks associated with default and noncompliance.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agreements governing the Credit Facility, the 2026 Term Loan, the 2027 Term Loan and any other indebtedness that we may incur in the future contain or may contain covenants that place restrictions on us and our subsidiaries. These covenants may restrict, among other activities, our and our subsidiaries’ ability to:</w:t>
      </w:r>
    </w:p>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 consolidate or transfer all or substantially all of our or our subsidiaries’ assets;</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transfer, pledge or encumber our stock or the ownership interests of our subsidiaries;</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debt or issue preferred stock;</w:t>
            </w:r>
          </w:p>
        </w:tc>
      </w:tr>
    </w:tbl>
    <w:tbl>
      <w:tblPr>
        <w:tblW w:w="2646" w:type="dxa"/>
        <w:jc w:val="left"/>
        <w:tblInd w:w="0" w:type="dxa"/>
        <w:tblLayout w:type="fixed"/>
        <w:tblCellMar>
          <w:top w:w="28" w:type="dxa"/>
          <w:left w:w="28" w:type="dxa"/>
          <w:bottom w:w="28" w:type="dxa"/>
          <w:right w:w="28" w:type="dxa"/>
        </w:tblCellMar>
      </w:tblPr>
      <w:tblGrid>
        <w:gridCol w:w="124"/>
        <w:gridCol w:w="256"/>
        <w:gridCol w:w="2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certain investments;</w:t>
            </w:r>
          </w:p>
        </w:tc>
      </w:tr>
    </w:tbl>
    <w:tbl>
      <w:tblPr>
        <w:tblW w:w="5391" w:type="dxa"/>
        <w:jc w:val="left"/>
        <w:tblInd w:w="0" w:type="dxa"/>
        <w:tblLayout w:type="fixed"/>
        <w:tblCellMar>
          <w:top w:w="28" w:type="dxa"/>
          <w:left w:w="28" w:type="dxa"/>
          <w:bottom w:w="28" w:type="dxa"/>
          <w:right w:w="28"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certain expenditures, including capital expenditures;  </w:t>
            </w:r>
          </w:p>
        </w:tc>
      </w:tr>
    </w:tbl>
    <w:tbl>
      <w:tblPr>
        <w:tblW w:w="4866" w:type="dxa"/>
        <w:jc w:val="left"/>
        <w:tblInd w:w="0" w:type="dxa"/>
        <w:tblLayout w:type="fixed"/>
        <w:tblCellMar>
          <w:top w:w="28" w:type="dxa"/>
          <w:left w:w="28" w:type="dxa"/>
          <w:bottom w:w="28" w:type="dxa"/>
          <w:right w:w="28" w:type="dxa"/>
        </w:tblCellMar>
      </w:tblPr>
      <w:tblGrid>
        <w:gridCol w:w="124"/>
        <w:gridCol w:w="256"/>
        <w:gridCol w:w="4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on or repurchase our capital stock; and</w:t>
            </w:r>
          </w:p>
        </w:tc>
      </w:tr>
    </w:tbl>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certain transactions with affiliates.</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These covenants could impair our ability to grow our business, take advantage of attractive business opportunities or successfully compete. Our ability to comply with financial and other covenants may be affected by events beyond our control, including prevailing economic, financial and industry conditions. A breach of any of these covenants or covenants under any other agreements governing our indebtedness could result in an event of default. Any cross-default provisions in our debt agreements could cause an event of default under one debt agreement to trigger an event of default under our other debt agreements. Upon the occurrence of an event of default under any of our debt agreements, our lenders could elect to declare all outstanding debt under such agreements to be immediately due and payable. If we were unable to repay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or refinance the accelerated debt, our lenders could proceed against any assets pledged to secure that debt, including foreclosing on or requiring the sale of any properties securing that debt, and the proceeds from the sale of these properties may not be sufficient to repay such debt in full.</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Mortgage debt obligations expose us to the possibility of foreclosure, which could result in the loss of our investment in any property subject to mortgage debt.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Future borrowings may be secured by mortgages on our properties. Incurring mortgage and other secured debt obligations increases our risk of losses because defaults on secured indebtedness may result in foreclosure actions initiated by lenders and ultimately our loss of the properties securing any loans for which we are in default. If we are in default under a cross-defaulted mortgage loan, we could lose multiple properties to foreclosure. For U.S. federal income tax purposes, a foreclosure of any of our properties would be treated as a sale of the property for a purchase price equal to the outstanding balance of the debt secured by the mortgage. If the outstanding balance of the debt secured by the mortgage exceeds our tax basis in the property, we would recognize taxable income on foreclosure, but would not receive any cash proceeds, which could hinder our ability to meet the REIT distribution requirements imposed by the Code. As we execute our business plan, we may assume or incur new mortgage indebtedness on our properties. Any default under any mortgage debt obligation we incur may increase the risk of our default on our other indebtedness, including indebtedness under our Credit Facility, the 2026 Term Loan and the 2027 Term Loan, which could materially and adversely affect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Increases in interest rates have and will likely continue to increase our interest costs on our variable rate debt and could adversely impact our ability to refinance existing debt or sell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Current and future borrowings under our Credit Facility, the 2026 Term Loan and the 2027 Term Loan will bear interest at variable rates. Recent increases in interest rates have increased our interest payments and reduced our cash flow available for other corporate purposes, and we expect this trend to continue in the near term. In addition, rising interest rates could limit our ability to refinance debt when it matures and increase interest costs on any debt that is refinanced. Further, an increase in interest rates could increase the cost of financing, thereby decreasing the amount third parties are willing to pay for our properties, which would limit our ability to dispose of properties when necessary or desired.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may enter into hedging arrangements in the future. Our hedging arrangements may include interest rate swaps, caps, floors and other interest rate hedging contracts. Our hedging arrangements could reduce, but may not eliminate, the impact of rising interest rates, and they could expose us to the risk that other parties to our hedging arrangements will not perform or that the agreements relating to our hedges may not be enforceable.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Organization and Structure</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are a holding company with no direct operations, and we will rely on funds received from the Operating Partnership to pay our obligations and make distributions to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holding company and will conduct substantially all of our operations through the Operating Partnership. We will not have, apart from an interest in the Operating Partnership, any independent operations. As a result, we will rely on distributions from the Operating Partnership to make any distributions we declare on shares of our common stock. We will also rely on distributions from the Operating Partnership to meet any of our obligations, including any tax liability on taxable income allocated to us from the Operating Partnership. In addition, because we are a holding company, your claims as stockholders are structurally subordinated to all existing and future creditors and preferred equity holders of the Operating Partnership and its subsidiaries. Therefore, in the event of a bankruptcy, insolvency, liquidation or reorganization of the Operating Partnership or its subsidiaries, assets of the Operating Partnership or the applicable subsidiary will be available to satisfy our claims to us as an equity owner therein only after all of their liabilities and preferred equity have been paid in full.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2023, we owned 91.8% of the OP Units issued by the Operating Partnership. However, in connection with our future acquisition activities or otherwise, we may issue additional OP Units to third parties. Such issuances would reduce our ownership in the Operating Partnership.</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Certain provisions of Maryland law could inhibit changes in control of our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“business combination” and “control share acquisition” provisions of the Maryland General Corporation Law, or the MGCL, may have the effect of deterring a third party from making a proposal to acquire us or of impeding a change in control under circumstances that otherwise could provide the holders of our common stock with the opportunity to realize a premium over the then-prevailing market price of our common stock. Pursuant to the MGCL, the Board has by resolution exempted business combinations between us and any other person. Our bylaws contain a provision exempting from the control share acquisition statute any and all acquisitions by any person of shares of our stock. However, there can be no assurance that these exemptions will not be amended or eliminated at any time in the future. Our charter and bylaws and Maryland law also contain other provisions that may delay, defer or prevent a transaction or a change of control that might involve a premium price for our common stock or that our stockholders otherwise believe to be in their best interest.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Certain provisions in the partnership agreement of the Operating Partnership may delay, defer or prevent unsolicited acquisitions of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Provisions in the partnership agreement of the Operating Partnership may delay, defer or prevent unsolicited acquisitions of us or changes of our control. These provisions could discourage third parties from making proposals involving an unsolicited acquisition of us or change of our control, although some stockholders might consider such proposals, if made, desirable. These provisions include, among others:</w:t>
      </w:r>
    </w:p>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rights of qualifying parties;  </w:t>
            </w:r>
          </w:p>
        </w:tc>
      </w:tr>
    </w:tbl>
    <w:tbl>
      <w:tblPr>
        <w:tblW w:w="3156" w:type="dxa"/>
        <w:jc w:val="left"/>
        <w:tblInd w:w="0" w:type="dxa"/>
        <w:tblLayout w:type="fixed"/>
        <w:tblCellMar>
          <w:top w:w="28" w:type="dxa"/>
          <w:left w:w="28" w:type="dxa"/>
          <w:bottom w:w="28" w:type="dxa"/>
          <w:right w:w="28" w:type="dxa"/>
        </w:tblCellMar>
      </w:tblPr>
      <w:tblGrid>
        <w:gridCol w:w="124"/>
        <w:gridCol w:w="256"/>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restrictions on OP Units;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as general partner, in some cases, to amend the partnership agreement and to cause the Operating Partnership to issue units with terms that could delay, defer or prevent a merger or other change of control of us or the Operating Partnership without the consent of the limited partners;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the limited partners to consent to transfers of the general partnership interest and mergers or other transactions involving us under specified circumstances.</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partnership agreement of the Operating Partnership and Delaware law also contain other provisions that may delay, defer or prevent a transaction or a change of control that might involve a premium price for our common stock or that our stockholders otherwise believe to be in their best interest.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charter contains stock ownership limits, which may delay, defer or prevent a change of control.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for us to maintain our qualification as a REIT, no more than 50% in value of our outstanding capital stock may be owned, directly or indirectly, by five or fewer individuals during the last half of any calendar year, and at least 100 persons must beneficially own our stock during at least 335 days of a taxable year of 12 months or during a proportionate portion of a shorter taxable year. “Individuals” for this purpose include natural persons, private foundations, some employee benefit plans and trusts and some charitable trusts. To assist us in complying with these limitations, among other purposes, our charter generally prohibits any person from directly or indirectly owning more than 9.8% in value or number of shares, whichever is more restrictive, of the outstanding shares of any class or series of our capital stock. These ownership limitations could have the effect of discouraging a takeover or other transaction in which holders of our common stock might receive a premium for their shares over the then prevailing market price or which holders might believe to be otherwise in their best interests.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charter’s constructive ownership rules are complex and may cause the outstanding shares owned by a group of related individuals or entities to be deemed to be constructively owned by one individual or entity. As a result, the acquisition of less than these percentages of the outstanding shares by an individual or entity could cause that individual or entity to own constructively in excess of these percentages of the outstanding shares and thus violate the share ownership limits. Our charter also provides that any attempt to own or transfer shares of our common stock or preferred stock (if and when issued) in excess of the stock ownership limits without the consent of the Board or in a manner that would cause us to be “closely held” under Section 856(h) of the Code (without regard to whether the shares are held during the last half of a taxable year) will result in the shares being automatically transferred to a trustee for a charitable trust or, if the transfer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charitable trust is not automatically effective to prevent a violation of the share ownership limits or the restrictions on ownership and transfer of our shares, any such transfer of our shares will be null and void.</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Board may change our strategies, policies or procedures without stockholder consent, which may subject us to different and more significant risks in the future.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investment, financing, leverage and distribution policies and our policies with respect to all other activities, including growth, debt, capitalization and operations, are determined by the Board. These policies may be amended or revised at any time and from time to time at the discretion of the board of directors without notice to or a vote of our stockholders. This could result in us conducting operational matters, making investments or pursuing different business or growth strategies than those contemplated. Under these circumstances, we may expose ourselves to different and more significant risks in the future, which could have a material adverse effect on our business and growth. In addition, the Board may change our policies with respect to conflicts of interest, provided that such changes are consistent with applicable legal requirements.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may have assumed unknown liabilities in connection with the Formation Transactions, which, if significant, could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Formation Transactions, we acquired our initial portfolio from CTO, subject to existing liabilities, some of which may have been unknown at the time of the IPO and may remain unknown. Unknown liabilities might include claims of tenants, vendors or other persons dealing with such entities prior to the IPO (that had not been asserted or threatened prior to the IPO), tax liabilities and accrued but unpaid liabilities incurred in the ordinary course of business. Any unknown or unquantifiable liabilities that we assumed in connection with the Formation Transactions for which we have no or limited recourse could materially and adversely affect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rights and the rights of our stockholders to take action against our directors and executive officers are limited, which could limit your recourse in the event of actions not in your best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charter limits the liability of our present and former directors and executive officers to us and our stockholders for money damages to the maximum extent permitted under Maryland law. Under current Maryland law, our present and former directors and executive officers will not have any liability to us or our stockholders for money damages other than liability resulting from (i) actual receipt of an improper benefit or profit in money, property or services or (ii) active and deliberate dishonesty by the director or executive officer that was established by a final judgment and is material to the cause of action. As a result, we and our stockholders have limited rights against our present and former directors and executive officers, which could limit your recourse in the event of actions not in your best interest.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Conflicts of interest exist or could arise in the future between the interests of our stockholders and the interests of holders of Operating Partnership units, which may impede business decisions that could benefit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Conflicts of interest exist or could arise in the future as a result of the relationships between us and our affiliates, on the one hand, and the Operating Partnership or any partner thereof, on the other. Our directors and executive officers have duties to our company under applicable Maryland law in connection with their management of our company. At the same time, PINE GP, as the general partner of the Operating Partnership, has fiduciary duties and obligations to the Operating Partnership and its limited partners under Delaware law and the partnership agreement of the Operating Partnership in connection with the management of the Operating Partnership. The fiduciary duties and obligations of the general partner to the Operating Partnership and its partners may come into conflict with the duties of our directors and executive officers to our company. The Operating Partnership agreement provides that, in the event of a conflict between the interests of our stockholders on the one hand, and the limited partners of the Operating Partnership on the other hand, the general partner will endeavor in good faith to resolve the conflict in a manner not adverse to either our stockholders or the limited partners, provided however, that so long as we own a controlling interest in the Operating Partnership, any such conflict that the general partner, in its sole and absolute discretion, determines cannot be resolved in a manner not adverse to either our stockholders or the limited partners of the Operating Partnership are resolved in favor of our stockholders, and the general partner will not be liable for monetary damages for losses sustained, liabilities incurred or benefits not derived by the limited partners in connection with such decisions.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the extent permitted by applicable law, the partnership agreement will provide for the indemnification of the general partner and our officers, directors, employees and any other persons the general partner may designate from and against any and all claims that relate to the operations of the Operating Partnership as set forth in the partnership agreement in which any indemnitee may be involved, or is threatened to be involved, as a party or otherwise, unless it is established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or omission of the indemnitee was material to the matter giving rise to the proceeding and either was committed in bad faith or was the result of active and deliberate dishonesty;</w:t>
            </w:r>
          </w:p>
        </w:tc>
      </w:tr>
    </w:tbl>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indemnitee actually received an improper personal benefit in money, property or services;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criminal proceeding, the indemnitee had reasonable cause to believe that the act or omission was unlawful.</w:t>
            </w:r>
          </w:p>
        </w:tc>
      </w:tr>
    </w:tbl>
    <w:p>
      <w:pPr>
        <w:pStyle w:val="TextBody"/>
        <w:bidi w:val="0"/>
        <w:spacing w:before="0" w:after="0"/>
        <w:ind w:left="72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Similarly, the general partner of the Operating Partnership and our officers, directors, agents or employees, will not be liable for monetary damages to the Operating Partnership or the limited partners for losses sustained or liabilities incurred as a result of errors in judgment or mistakes of fact or law or of any act or omission so long as any such party acted in good faith.</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could increase or decrease the number of authorized shares of stock, classify and reclassify unissued stock and issue stock without stockholder approval, which could prevent a change in our control and negatively affect the market price of our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without stockholder approval, has the power under our charter to amend our charter from time to time to increase or decrease the aggregate number of shares of stock or the number of shares of stock of any class or series that we are authorized to issue, to authorize us to issue authorized but unissued shares of our common stock or preferred stock and to classify or reclassify any unissued shares of our common stock or preferred stock into one or more classes or series of stock and set the terms of such newly classified or reclassified shares. As a result, we may issue series or classes of common stock or preferred stock with preferences, distributions, powers and rights, voting or otherwise, that are senior to the rights of holders of our common stock. Any such issuance could dilute our existing common stockholders’ interests. Although the Board has no such intention at the present time, it could establish a class or series of preferred stock that could, depending on the terms of such series, delay, defer or prevent a transaction or a change of control that might involve a premium price for our common stock or that our stockholders otherwise believe to be in their best interest.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Operating Partnership has in the past and may in the future issue additional OP Units without the consent of our stockholders, which could have a dilutive effect on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Operating Partnership has in the past and may in the future issue additional OP Units to third parties without the consent of our stockholders, which would reduce our ownership percentage in the Operating Partnership and may have a dilutive effect on the amount of distributions made to us by the Operating Partnership and, therefore, the amount of distributions we may make to our stockholders. Any such issuances, or the perception of such issuances, could materially and adversely affect the market price of our common stock.</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are an “emerging growth company” and a “smaller reporting company,” and we cannot be certain if the reduced disclosure requirements applicable to emerging growth companies and smaller reporting companies will make shares of our common stock less attractive to investors.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are an “emerging growth company” as defined in the JOBS Act. We will remain an “emerging growth company” until the earliest to occur of (i) the last day of the fiscal year during which our total annual gross revenue equals or exceeds $1.235 billion (subject to adjustment for inflation), (ii) December 31, 2024 (the last day of the fiscal year following the fifth anniversary of the IPO); (iii) the date on which we have, during the previous three-year period, issued more than $1 billion in non-convertible debt securities and (iv) the date on which we are deemed to be a “large accelerated filer” under the Exchange Act. We intend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our independent registered public accounting firm provide an attestation report on the effectiveness of our internal control over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reporting. An attestation report by our auditor would require additional procedures by them that could detect problems with our internal control over financial reporting that are not detected by management. If our system of internal control over financial reporting is not determined to be appropriately designed or operating effectively, it could require us to restate financial statements, cause us to fail to meet reporting obligations and cause investors to lose confidence in our reported financial information, all of which could lead to a significant decline in the market price of our common stock. The JOBS Act also provides that an “emerging growth company” can take advantage of the extended transition period provided in the Securities Act of 1933, as amended (the “Securities Act”) for complying with new or revised accounting standards. However, we have chosen to “opt out” of this extended transition period and, as a result, we will comply with new or revised accounting standards on the relevant dates on which adoption of such standards is required for all public companies that are not emerging growth companies. Our decision to opt out of the extended transition period for complying with new or revised accounting standards is irrevocable.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also a “smaller reporting company” as defined in Regulation S-K under the Securities Act and may take advantage of certain of the scaled disclosures available to smaller reporting companies. We may be a smaller reporting company even after we are no longer an “emerging growth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predict if investors will find our common stock less attractive because we intend to rely on certain of these exemptions and benefits under the JOBS Act. If some investors find our common stock less attractive as a result, there may be a less active, liquid and/or orderly trading market for our common stock and the market price and trading volume of our common stock may be more volatile and decline significantly.</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have incurred new costs as a result of becoming a public company, and such costs may increase when we cease to be an “emerging growth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public company, we incur significant legal, accounting, insurance and other expenses, including costs associated with public company reporting requirements. The expenses incurred by public companies generally for reporting and corporate governance purposes have been increasing. We expect compliance with these public reporting requirements and associated rules and regulations to increase expenses, particularly after we are no longer an emerging growth company, although we are currently unable to estimate theses costs with any degree of certainty. We could be an emerging growth company for up to five years, although circumstances could cause us to lose that status earlier, which could result in our incurring additional costs applicable to public companies that are not emerging growth companies.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Qualification and Operation as a REIT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Failure to remain qualified as a REIT would cause us to be taxed as a regular corporation, which would substantially reduce funds available for distributions to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our organization and method of operation have enabled us to meet the requirements for qualification and taxation as a REIT and we intend to continue to be organized and operate in such a manner. However, we cannot assure you that we will remain qualified as a REIT. Moreover, our qualification and taxation as a REIT depend upon our ability to meet on a continuing basis, through actual annual operating results, certain qualification tests set forth in the U.S. federal income tax laws. Accordingly, no assurance can be given that our actual results of operations for any particular taxable year will satisfy such requirements.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fail to qualify as a REIT in any taxable year, we will face serious tax consequences that will substantially reduce the funds available for distributions to our stockholders because: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not be allowed a deduction for dividends paid to stockholders in computing our taxable income and would be subject to U.S. federal income tax at regular corporate rates (currently 21%);</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subject to increased state and local taxes;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are entitled to relief under certain U.S. federal income tax laws, we could not re-elect REIT status until the fifth calendar year after the year in which we failed to qualify as a REIT.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if we fail to remain qualified as a REIT, we will no longer be required to make distributions. As a result of all these factors, our failure to remain qualified as a REIT could impair our ability to expand our business and raise capital, and it would adversely affect our business, financial condition, results of operations or ability to make distributions to our stockholders and the trading price of our common stock.</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Even if we remain qualified as a REIT, we may face other tax liabilities that could reduce our cash flows and negatively impact our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Even if we remain qualified for taxation as a REIT, we may be subject to certain U.S. federal, state and local taxes on our income and assets, including taxes on any undistributed income, tax on income from some activities conducted as a result of a foreclosure and state or local income, property and transfer taxes. In addition, under partnership audit procedures, the Operating Partnership and any other partnership that we may form or acquire may be liable at the entity level for tax imposed under those procedures. Further, any taxable REIT subsidiaries (“TRSs”) that we may form in the future will be subject to regular corporate U.S. federal, state and local taxes. Moreover, several provisions of the Code regarding the arrangements between a REIT and its TRS entities function to ensure that such TRS entities are subject to an appropriate level of U.S. federal income taxation. Any of these taxes would decrease cash available for distributions to stockholders, which, in turn, could materially adversely affect our business, financial condition, results of operations or ability to make distributions to our stockholders and the trading price of our common stock.</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Failure to make required distributions would subject us to U.S. federal corporate income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intend to continue to operate in a manner so as to maintain our qualification as a REIT for U.S. federal income tax purposes. In order to maintain our qualification as a REIT, we generally are required to distribute at least 90% of our REIT taxable income, determined without regard to the dividends paid deduction and excluding any net capital gain, each year to our stockholders. To the extent that we satisfy this distribution requirement but distribute less than 100% of our REIT taxable income, we will be subject to U.S. federal corporate income tax on our undistributed taxable income. In addition, we will be subject to a 4% nondeductible excise tax on the amount, if any, by which dividends we pay in a calendar year are less than the sum of 85% of our ordinary income, 95% of our capital gain net income and, 100% of our undistributed income (as defined under the excise tax rules from prior years).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Complying with REIT requirements may cause us to forego otherwise attractive opportunities or liquidate otherwise attractive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maintain our qualification as a REIT for U.S. federal income tax purposes, we must continually satisfy tests concerning, among other things, the sources of our income, the nature and diversification of our assets, the amounts we distribute to our stockholders and the ownership of our stock. In order to meet these tests, we may be required to forego investments we might otherwise make. Thus, compliance with the REIT requirements may hinder our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particular, we must ensure that at the end of each calendar quarter, at least 75% of the value of our assets consists of cash, cash items, government securities and qualified real estate assets. The remainder of our investment in securities (other than government securities, securities of TRSs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securities of TRSs and qualified real estate assets) can consist of the securities of any one issuer, no more than 20% of the value of our total assets can be represented by the securities of one or more TRSs and no more than 25% of our assets can be represented by debt of “publicly offered REITs” (i.e., REITs that are required to file annual and periodic reports with the SEC under the Exchange Act), unless secured by real property or interests in real property.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otherwise attractive investments. These actions could have the effect of reducing our income and amounts available for distribution to our stockholders.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relative lack of experience of our Manager in operating under the constraints imposed on us as a REIT may hinder the achievement of our investment objectives.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Code imposes numerous constraints on the operations of REITs that do not apply to other investment vehicles. Our qualification as a REIT depends upon our ability to meet requirements regarding our organization and ownership, distributions of our income, the nature and diversification of our income and assets and other tests imposed by the Code. Any failure to comply could cause us to fail to satisfy the requirements associated with qualifying for and maintaining REIT status. Our Manager has relatively limited experience operating under these constraints, which may hinder our ability to take advantage of attractive investment opportunities and to achieve our investment objectives. As a result, we cannot assure you that our Manager will be able to operate our business under these constraints. If we fail to qualify as a REIT for any taxable year, we will be subject to U.S. federal income tax on our taxable income at corporate rates. In addition, we would generally be disqualified from treatment as a REIT for the four taxable years following the year of losing our REIT status. Losing our REIT status would reduce our net earnings available for investment or distribution to stockholders because of the additional tax liability. In addition, distributions to stockholders would no longer qualify for the dividends paid deduction, and we would no longer be required to make distributions. If this occurs, we might be required to borrow funds or liquidate some investments in order to pay the applicable tax.</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Complying with REIT requirements may limit our ability to hedge our liabilities effectively and may cause us to incur tax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REIT provisions of the Code may limit our ability to hedge our liabilities. Any income from a hedging transaction we enter into to manage risk of interest rate changes, price changes or currency fluctuations with respect to borrowings made or to be made to acquire or carry real estate assets, if properly identified under applicable Treasury Regulations, does not constitute “gross income” for purposes of the 75% or 95% gross income tests applicable to REITs. In addition, certain income from hedging transactions entered into to hedge existing hedging positions after any portion of the hedged indebtedness or property is extinguished or disposed of will not be included in income for purposes of the 75% and 95% gross income tests. To the extent that we enter into other types of hedging transactions, the income from those transactions will likely be treated as non-qualifying income for purposes of both the 75% and 95% gross income tests. As a result of these rules, we may need to limit our use of advantageous hedging techniques or implement those hedges through a TRS. This could increase the cost of our hedging activities because our TRSs would be subject to tax on gains or expose us to greater risks associated with changes in interest rates than we would otherwise want to bear. In addition, losses in a TRS generally will not provide any tax benefit, except for being carried forward against future taxable income of such TRS.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ability to provide certain services to our tenants may be limited by the REIT rules or may have to be provided through a TRS.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REIT, we generally cannot provide services to our tenants other than those that are customarily provided by landlords, nor can we derive income from a third party that provides such services. If we forego providing such services to our tenants, we may be at a disadvantage to competitors that are not subject to the same restrictions. However, we can provide such non-customary services to tenants or share in the revenue from such services if we do so through a TRS, though income earned by such TRS will be subject to U.S. federal corporate income tax.</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prohibited transactions tax may limit our ability to dispose of our properties.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REIT’s net income from prohibited transactions is subject to a 100% tax. In general, prohibited transactions are sales or other dispositions of property, other than foreclosure property, held primarily for sale to customers in the ordinary course of business. We may be subject to the prohibited transaction tax equal to 100% of net gain upon a disposition of real property. Although a safe harbor to the characterization of the sale of real property by a REIT as a prohibited transaction is available, we cannot assure you that we can comply with the safe harbor or that we will avoid owning property that may be characterized as held primarily for sale to customers in the ordinary course of business. Consequently, we may choose not to engage in certain sales of our properties or may conduct such sales through any TRS that we may form, which would be subject to U.S. federal corporate income tax.</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may pay taxable dividends in our common stock and cash, in which case stockholders may sell shares of our common stock to pay tax on such dividends, placing downward pressure on the market price of our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may satisfy the 90% distribution test with taxable distributions of our common stock. The IRS has issued Revenue Procedure 2017-45 authorizing elective cash/stock dividends to be made by “publicly offered REITs.” Pursuant to Revenue Procedure 2017-45, the IRS will treat the distribution of stock pursuant to an elective cash/stock dividend as a distribution of property under Section 301 of the Code (i.e., a dividend), as long as at least 20% of the total dividend is available in cash and certain other parameters detailed in the Revenue Procedure are satisfied.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made a taxable dividend payable in cash and common stock, taxable stockholders receiving such dividends will be required to include the full amount of the dividend as ordinary income to the extent of our current and accumulated earnings and profits, as determined for U.S. federal income tax purposes. As a result, stockholders may be required to pay income tax with respect to such dividends in excess of the cash dividends received. If a U.S. stockholder sells the common stock that it receives as a dividend in order to pay this tax, the sales proceeds may be less than the amount included in income with respect to the dividend, depending on the market price of our common stock at the time of the sale. Furthermore, with respect to certain non-U.S. stockholders, we may be required to withhold U.S. federal income tax with respect to such dividends, including in respect of all or a portion of such dividend that is payable in common stock. If we made a taxable dividend payable in cash and our common stock and a significant number of our stockholders determine to sell shares of our common stock in order to pay taxes owed on dividends, it may put downward pressure on the trading price of our common stock. We do not currently intend to pay taxable dividends using both our common stock and cash, although we may choose to do so in the future.</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ability of the Board to revoke our REIT qualification without stockholder approval may cause adverse consequences to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charter provides that the Board may revoke or otherwise terminate our REIT election, without the approval of our stockholders, if it determines in good faith that it is no longer in our best interest to continue to qualify as a REIT. If we cease to qualify as a REIT, we would become subject to U.S. federal income tax on our taxable income and would no longer be required to distribute most of our taxable income to our stockholders, which may have adverse consequences on our total return to our stockholders.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Any ownership of a TRS we may form in the future will be subject to limitations and our transactions with a TRS will cause us to be subject to a 100% penalty tax on certain income or deductions if those transactions are not conducted on arm’s-length terms.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Overall, no more than 20% of the value of a REIT’s assets may consist of stock or securities of one or more TRS entities. A TRS will be subject to applicable U.S. federal, state and local corporate income tax on its taxable income, and its after tax net income will be available for distribution to us but is not required to be distributed to us. In addition, several provisions of the Code regarding the arrangements between a REIT and its TRS entities function to ensure that the TRS is subject to an appropriate level of U.S. federal income taxation. The Code also imposes a 100% excise tax on certain transactions between a TRS and its parent REIT that are not conducted on an arm’s-length basis. We will monitor the value of our respective investments in any TRS that we may form for the purpose of ensuring compliance with TRS ownership limitations and will structure our transactions with any TRS on terms that we believe are arm’s length to avoid incurring the 100% excise tax described above. There can be no assurance, however, that we will be able to comply with the 20% limitation or to avoid application of the 100% excise tax.</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You may be restricted from acquiring or transferring certain amounts of our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stock ownership restrictions of the Code for REITs and the 9.8% share ownership limit in our charter may inhibit market activity in our capital stock and restrict our business combination opportunities.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order for us to maintain our qualification as a REIT, five or fewer individuals, as defined in the Code, may not own, beneficially or constructively, more than 50% in value of our issued and outstanding capital stock at any time during the last half of a taxable year. Attribution rules in the Code determine if any individual or entity beneficially or constructively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owns our shares of capital stock under this requirement. Additionally, at least 100 persons must beneficially own our shares of capital stock during at least 335 days of each taxable year other than our initial REIT taxable year. To help ensure that we meet these tests, our charter restricts the acquisition and ownership of shares of our capital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charter, with certain exceptions, requires our directors to take such actions as are necessary and desirable to preserve our qualification as a REIT. Unless exempted by the Board, our charter prohibits any person from beneficially or constructively owning more than 9.8% in value or number of shares, whichever is more restrictive, of the outstanding shares of any class or series of our shares of capital stock. The Board may not grant an exemption from this restriction to any person if such exemption would result in our failing to qualify as a REIT. This as well as other restrictions on transferability and ownership will not apply, however, if the Board determines in good faith that it is no longer in our best interests to continue to qualify as a REIT.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Dividends payable by REITs do not qualify for the reduced tax rates available for some dividends.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maximum U.S. federal income tax rate applicable to “qualified dividend income” payable to U.S. stockholders that are taxed at individual rates is 20% (plus the 3.8% surtax on net investment income, if applicable). Dividends payable by REITs, however, generally are not eligible for the reduced rates on qualified dividend income. However, for taxable years beginning before January 1, 2026, ordinary REIT dividends constitute “qualified business income” and thus a 20% deduction is available to individual taxpayers with respect to such dividends, resulting in a 29.6% maximum U.S. federal income tax rate (plus the 3.8% surtax on net investment income, if applicable) for individual U.S. stockholders. However, to qualify for this deduction, the stockholder receiving such dividends must hold the dividend-paying REIT stock for at least 46 days (taking into account certain special holding period rules) of the 91-day period beginning 45 days before the stock becomes ex-dividend, and cannot be under an obligation to make related payments with respect to a position in substantially similar or related property. The more favorable rates applicable to regular corporate qualified dividends could cause investors who are taxed at individual rates to perceive investments in REITs to be relatively less attractive than investments in the stocks of non-REIT corporations that pay dividends, which could adversely affect the value of the shares of REITs, including our common stock.</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may be subject to adverse legislative or regulatory tax changes, in each instance with potentially retroactive effect, that could reduce the market price of our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any time, the U.S. federal income tax laws governing REITs,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and any such law, regulation or interpretation may take effect retroactively. We and our stockholders could be adversely affected by any such change in the U.S. federal income tax laws, regulations or administrative interpretations which, in turn, could materially adversely affect our ability to make distributions to our stockholders and the trading price of our common and preferred stock.</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If the Operating Partnership failed to qualify as a partnership for U.S. federal income tax purposes, we would cease to qualify as a REIT and suffer other adverse consequences.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the Operating Partnership will be treated as a partnership for U.S. federal income tax purposes. As a partnership, the Operating Partnership will not be subject to U.S. federal income tax on its income. Instead, each of its partners, including us, will be allocated, and may be required to pay tax with respect to, its share of the Operating Partnership’s income. We cannot assure you, however, that the IRS will not challenge the status of the Operating Partnership or any other subsidiary partnership in which we own an interest as a partnership for U.S. federal income tax purposes, or that a court would not sustain such a challenge. If the IRS were successful in treating the Operating Partnership or any such other subsidiary partnership as an entity taxable as a corporation for U.S. federal income tax purposes, we would fail to meet the gross income tests and certain of the asset tests applicable to REITs and, accordingly, we would likely cease to qualify as a REIT. Also, the failure of the Operating Partnership or any subsidiary partnership to qualify as a partnership could cause such partnership to become subject to U.S. federal and state corporate income tax, which would reduce significantly the amount of cash available for debt service and for distribution to its partners, including us.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market value of our common stock is subject to various factors that may cause significant fluctuations or volatility.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with other publicly traded securities, the market price of our common stock depends on various factors, which may change from time to time and/or may be unrelated to our financial condition, results of operations or cash flows. These factors may cause significant fluctuations or volatility in the market price of our common stock. These factors include, but are likely not limited to, the following:</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condition and operating performance and the financial condition or performance of other similar companies;</w:t>
            </w:r>
          </w:p>
        </w:tc>
      </w:tr>
    </w:tbl>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differences in our quarterly or annual operating results than expected;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revenues, Funds From Operations (“FFO”), Adjusted Funds From Operations (“AFFO”), or earnings estimates or recommendations by securities analysts;</w:t>
            </w:r>
          </w:p>
        </w:tc>
      </w:tr>
    </w:tbl>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research reports about us or the real estate industry generally;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market interest rates, which may lead investors to demand a higher distribution yield for shares of our common stock, and could result in increased interest expense on our debt;  </w:t>
            </w:r>
          </w:p>
        </w:tc>
      </w:tr>
    </w:tbl>
    <w:tbl>
      <w:tblPr>
        <w:tblW w:w="6756" w:type="dxa"/>
        <w:jc w:val="left"/>
        <w:tblInd w:w="0" w:type="dxa"/>
        <w:tblLayout w:type="fixed"/>
        <w:tblCellMar>
          <w:top w:w="28" w:type="dxa"/>
          <w:left w:w="28" w:type="dxa"/>
          <w:bottom w:w="28" w:type="dxa"/>
          <w:right w:w="28" w:type="dxa"/>
        </w:tblCellMar>
      </w:tblPr>
      <w:tblGrid>
        <w:gridCol w:w="124"/>
        <w:gridCol w:w="25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market reaction to any increased indebtedness we incur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changes in our and our tenants’ businesses or prospects, including as a result of the impact of a global pandemic, such as the COVID-19 Pandemic;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state of the credit and capital markets, and our ability and the ability of our tenants to obtain financing on favorable terms;</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 with CTO and its affiliates, including our Manager;</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of our Manager or additions and departures of key personnel of our Manager;</w:t>
            </w:r>
          </w:p>
        </w:tc>
      </w:tr>
    </w:tbl>
    <w:tbl>
      <w:tblPr>
        <w:tblW w:w="3591" w:type="dxa"/>
        <w:jc w:val="left"/>
        <w:tblInd w:w="0" w:type="dxa"/>
        <w:tblLayout w:type="fixed"/>
        <w:tblCellMar>
          <w:top w:w="28" w:type="dxa"/>
          <w:left w:w="28" w:type="dxa"/>
          <w:bottom w:w="28" w:type="dxa"/>
          <w:right w:w="28" w:type="dxa"/>
        </w:tblCellMar>
      </w:tblPr>
      <w:tblGrid>
        <w:gridCol w:w="124"/>
        <w:gridCol w:w="256"/>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competition in our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decisions by us or our competitors, such as acquisitions, divestments, spin-offs, joint ventures, strategic investments or changes in business or growth strategies;</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passage of legislation or other regulatory developments that adversely affect us or our industry;</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speculation in the press or investment community;</w:t>
            </w:r>
          </w:p>
        </w:tc>
      </w:tr>
    </w:tbl>
    <w:tbl>
      <w:tblPr>
        <w:tblW w:w="3561" w:type="dxa"/>
        <w:jc w:val="left"/>
        <w:tblInd w:w="0" w:type="dxa"/>
        <w:tblLayout w:type="fixed"/>
        <w:tblCellMar>
          <w:top w:w="28" w:type="dxa"/>
          <w:left w:w="28" w:type="dxa"/>
          <w:bottom w:w="28" w:type="dxa"/>
          <w:right w:w="28" w:type="dxa"/>
        </w:tblCellMar>
      </w:tblPr>
      <w:tblGrid>
        <w:gridCol w:w="124"/>
        <w:gridCol w:w="256"/>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by institutional stockholders;</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investor interest in our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reputation of REITs and the attractiveness of our equity securities in comparison to other equity securities, including securities issued by other real estate-based companies;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confidence in the stock and bond markets, generally;</w:t>
            </w:r>
          </w:p>
        </w:tc>
      </w:tr>
    </w:tbl>
    <w:tbl>
      <w:tblPr>
        <w:tblW w:w="2166" w:type="dxa"/>
        <w:jc w:val="left"/>
        <w:tblInd w:w="0" w:type="dxa"/>
        <w:tblLayout w:type="fixed"/>
        <w:tblCellMar>
          <w:top w:w="28" w:type="dxa"/>
          <w:left w:w="28" w:type="dxa"/>
          <w:bottom w:w="28" w:type="dxa"/>
          <w:right w:w="28" w:type="dxa"/>
        </w:tblCellMar>
      </w:tblPr>
      <w:tblGrid>
        <w:gridCol w:w="124"/>
        <w:gridCol w:w="256"/>
        <w:gridCol w:w="1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issuances by us (including the issuances of OP Units), or common stock resales by our stockholders, or the perception that such issuances or resales may occur;</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volume of average daily trading and the amount of our common stock available to be traded;</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maintain our qualification as a REIT;</w:t>
            </w:r>
          </w:p>
        </w:tc>
      </w:tr>
    </w:tbl>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rules of the NYSE or maintain the listing of our common stock on the NYSE;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terrorist acts, natural or man-made disasters, including global pandemics impacting the United States, or threatened or actual armed conflicts;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and local, regional and national economic conditions, including factors unrelated to our operating performance and prospects.</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 assurance can be given that the market price of our common stock will not fluctuate or decline significantly in the future or that holders of shares of our common stock will be able to sell their shares when desired on favorable terms, or at all. From time to time in the past, securities class action litigation has been instituted against companies following periods of extreme volatility in their stock price. This type of litigation could result in substantial costs and divert our management’s attention and resources.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There can be no assurance that we will be able to make or maintain cash distributions, and certain agreements relating to our indebtedness may, under certain circumstances, limit or eliminate our ability to make distributions to our common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intend to make cash distributions to our stockholders in amounts such that all or substantially all of our taxable income in each year, subject to adjustments, is distributed. Our ability to continue to make distributions in the future may be adversely affected by the risk factors described in this Annual Report on Form 10-K. We can give no assurance that we will be able to make or maintain distributions and certain agreements relating to our indebtedness may, under certain circumstances, limit or eliminate our ability to make distributions to our common stockholders. We can give no assurance that rents from our properties will increase, or that future acquisitions of real properties or other investments will increase our cash available for distributions to stockholders. In addition, any distributions will be authorized at the sole discretion of the Board, and their form, timing and amount, if any, will depend upon a number of factors, including our actual and projected results of operations, FFO, AFFO, liquidity, cash flows and financial condition, the revenue we actually receive from our properties, our operating expenses, our debt service requirements, our capital expenditures, prohibitions and other limitations under our financing arrangements, our REIT taxable income, the annual REIT distribution requirements, applicable law and such other factors as the Board deems relevant.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do not have sufficient cash available for distributions, we may need to fund the shortage out of working capital or borrow to provide funds for such distributions, which would reduce the amount of proceeds available for real estate investments and increase our future interest costs. Our inability to make distributions, or to make distributions at expected levels, could result in a decrease in the per share trading price of our common stock.</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market price of our common stock could be adversely affected by our level of cash distributions.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the market price of the equity securities of a REIT is based primarily upon the market’s perception of the REIT’s growth potential, its current and potential future cash distributions, whether from operations, sales or refinancing, and its management and governance structure and is secondarily based upon the real estate market value of the underlying assets. For that reason, our common stock may trade at prices that are higher or lower than our net asset value per share. To the extent we retain operating cash flows for investment purposes, working capital reserves or other purposes, these retained funds, while increasing the value of our underlying assets, may not correspondingly increase the market price of our common stock. If we fail to meet the market’s expectations with regard to future operating results and cash distributions, the market price of our common stock could be adversely affected.</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Increases in market interest rates may result in a decline in the market price of our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One of the factors that we believe influences the market price of our common stock is the distribution yield on the common stock (as a percentage of the market price of our common stock) relative to market interest rates. Additional increases in market interest rates, which have increased recently but are still currently at low levels relative to certain historical rates, may lead prospective purchasers of shares of our common stock to expect a higher distribution yield. Additionally, higher interest rates have in the past and are expected to continue to increase our borrowing costs and potentially decrease our cash available for distribution. Thus, higher market interest rates could cause the market price of our common stock to decline.</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Future issuances of debt securities, which would rank senior to shares of our common stock upon our liquidation, and future issuances of equity securities (including preferred stock and OP Units), which would dilute the holdings of our then-existing common stockholders and may be senior to shares of our common stock for the purposes of making distributions, periodically or upon liquidation, may materially and adversely affect the market price of our common stock.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the future, we may issue debt or equity securities or incur other borrowings. Upon liquidation, holders of our debt securities and other loans and shares of our preferred stock will receive a distribution of our available assets before holders of shares of our common stock. We are not required to offer any debt or equity securities to existing stockholders on a preemptive basis. Therefore, shares of our common stock that we issue in the future, directly or through convertible or exchangeable securities (including OP Units), warrants or options, will dilute the holdings of our then-existing common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stockholders and such issuances or the perception of such issuances may reduce the market price of our common stock. Our preferred stock, if issued, would likely have a preference on distribution payments, periodically or upon liquidation, which could limit our ability to make distributions to holders of shares of our common stock. Because our decision to issue debt or equity securities or otherwise incur debt in the future will depend on market conditions and other factors beyond our control, we cannot predict or estimate the amount, timing, nature or impact of our future capital raising efforts. Thus, holders of shares of our common stock bear the risk that our future issuances of debt or equity securities or our incurrence of other borrowings may materially and adversely affect the market price of shares of our common stock and dilute their ownership in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Sales of substantial amounts of our common stock in the public markets or the perception that they might occur, could reduce the price of our common stock and may dilute the voting power of our then-existing common stockholders and such common stockholders’ ownership interest in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of substantial amounts of our common stock in the public market, or the perception that such sales could occur, could adversely affect the market price of our common stock and may make it more difficult for our then-existing common stockholders to sell their shares of common stock at a time and price that such common stockholders deem appropriate.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shares of our common stock that we sold in the IPO may be resold immediately in the public market unless they are held by “affiliates,” as that term is defined in Rule 144 under the Securities Act. The common stock purchased by CTO in the CTO Private Placement and in the IPO and the shares of common stock underlying the OP Units issued in the Formation Transactions are “restricted securities” within the meaning of Rule 144 under the Securities Act and may not be sold in the absence of registration under the Securities Act unless an exemption from registration is available, including the exemptions contained in Rule 144. As a result of the registration rights agreement that we entered into with CTO, the shares of our common stock purchased by CTO in the CTO Private Placement may be eligible for future sale without restriction. Sales of a substantial number of such shares, or the perception that such sales may occur, could cause the market price of our common stock to fall or make it more difficult for our then-existing common stockholders to sell their common stock at a time and price that such common stockholders deem appropriate.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our charter provides that we may issue up to 500,000,000 shares of common stock and 100,000,000 shares of preferred stock, $0.01 par value per share. Moreover, under Maryland law and as is provided in our charter, a majority of our entire board of directors will have the power to amend our charter to increase or decrease the aggregate number of shares of stock or the number of shares of stock of any class or series that we are authorized to issue without stockholder approval. Future issuances of shares of our common stock or securities convertible or exchangeable into common stock may dilute the ownership interest of our common stockholders. Because our decision to issue additional equity or convertible or exchangeable securities in any future offering will depend on market conditions and other factors beyond our control, we cannot predict or estimate the amount, timing or nature of our future issuances. In addition, we are not required to offer any such securities to existing stockholders on a preemptive basis. Therefore, it may not be possible for existing stockholders to participate in such future issuances, which may dilute the existing stockholders’ interests in us.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Cybersecurity risks and cyber incidents could adversely affect our business and disrupt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Cyber incidents can result from deliberate attacks or unintentional events. These incidents can include, but are not limited to, gaining unauthorized access to digital systems for purposes of misappropriating assets or sensitive information, corrupting data or causing operational disruption. The result of these incidents could include, but are not limited to, disrupted operations, misstated financial data, liability for stolen assets or information, increased cybersecurity protection costs, litigation and reputational damage. Should any such cyber incidents or similar events occur, our assets, particularly cash, could be lost and, as a result, our ability to execute our business and pursue our investment and growth strategy could be impaired, thereby materially and adversely affecting 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may become subject to litigation, which could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become subject to litigation, in connection with our operations, securities offerings and otherwise in the ordinary course of business. Some of these claims may result in significant defense costs and potentially significant judgments against us, some of which are not, or cannot be, insured against. We generally intend to vigorously defend ourselves. However, we cannot be certain of the ultimate outcomes of any claims that may arise in the future and which are presently not known to us. Resolution of these types of matters against us may result in our having to pay significant fines, judgments or settlements, which, if uninsured, or if the fines, judgments and settlements exceed insured levels, could materially and adversely impact our earnings and cash flows, thereby materially and adversely affecting us. Certain litigation or the resolution of certain litigation may affect the availability or cost of some of our insurance coverage, which could materially and adversely impact us, expose us to increased risks that would be uninsured and materially and adversely impact our ability to attract directors and officers.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If we fail to maintain effective disclosure controls and procedures, we may not be able to meet applicable reporting requirements, which could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publicly traded company, we are subject to the informational requirements of the Exchange Act and are required to file reports and other information with the SEC. In addition, we are required to maintain disclosure controls and procedures that are designed to ensure that information required to be disclosed in the reports that we file with, or submit to, the SEC is recorded, processed, summarized and reported, within the time periods specified in the SEC’s rules and forms. They include controls and procedures designed to ensure that information required to be disclosed in reports filed with, or submitted to, the SEC is accumulated and communicated to management, including our principal executive and principal financial officers, to allow timely decisions regarding required disclosure. Effective disclosure controls and procedures are necessary for us to provide reliable reports, effectively prevent and detect fraud and to operate successfully as a public company. Designing and implementing effective disclosure controls and procedures is a continuous effort that requires significant resources and devotion of time. We may discover deficiencies in our disclosure controls and procedures that may be difficult or time consuming to remediate in a timely manner. Any failure to maintain effective disclosure controls and procedures or to timely effect any necessary improvements thereto could cause us to fail to meet our reporting obligations (which could affect the listing of our common stock on the NYSE). Additionally, ineffective disclosure controls and procedures could also adversely affect our ability to prevent or detect fraud, harm our reputation and cause investors to lose confidence in our reports filed with, or submitted to, the SEC, which would likely have a negative effect on the trading price of our common stock.</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An epidemic or pandemic (such as the outbreak and worldwide spread of COVID-19), and the measures that international, federal, state and local governments, agencies, law enforcement and/or health authorities implement to address it, may precipitate or materially exacerbate one or more of the other risks, and may significantly disrupt our tenants’ ability to operate their businesses and/or pay rent to us or prevent us from operating our business in the ordinary course for an extended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epidemic or pandemic could have a material and adverse effect on or cause disruption to our business or financial condition, results of operations, cash flows and the market value and trading price of our securities due to, among other factors: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or partial closure of, or other operational issues with, our portfolio as a result of government or tenant action;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Declines in or instability of the economy or financial markets may result in a recession or negatively impact consumer discretionary spending, which could adversely affect retailers and consumers;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of economic activity may severely impact our tenants’ business operations, financial condition, liquidity and access to capital resources and may cause one or more of our tenants to be unable to meet their obligations to us in full, or at all, to default on their lease, or to otherwise seek modifications of such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access debt and equity capital on favorable terms, if at all, or a severe disruption and instability in the global financial markets or deteriorations in credit and financing conditions may affect our access to capital necessary to fund business operations, pursue acquisition and development opportunities, refinance existing debt, reduce our ability to make cash distributions to our stockholders and increase our future interest expense;</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decline in business activity and demand for real estate transactions would adversely affect our ability to successfully execute our investment strategies or expand our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reduction in our cash flows could impact our ability to continue paying cash dividends to our stockholders at expected levels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financial impact could negatively affect our future compliance with financial and other covenants of our debt instruments, and the failure to comply with such covenants could result in a default that accelerates the payment of such debt;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negative impact on the health of on CTO’s employees or members of the Board or CTO’s board of directors, particularly if a significant number are impacted, or the impact of government actions or restrictions, including stay-at-home orders, restricting access to CTO’s headquarters, could result in a deterioration in our ability to ensure business continuity during a disruption.</w:t>
            </w:r>
          </w:p>
        </w:tc>
      </w:tr>
    </w:tbl>
    <w:p>
      <w:pPr>
        <w:pStyle w:val="TextBody"/>
        <w:bidi w:val="0"/>
        <w:spacing w:before="0" w:after="240"/>
        <w:ind w:left="72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prolonged continuation of or repeated temporary business closures, reduced capacity at businesses or other social-distancing practices, and quarantine orders may adversely impact our tenants’ ability to generate sufficient revenues to meet financial obligations, and could force tenants to default on their leases, or result in the bankruptcy of tenants, which would diminish the rental revenue we receive under our leases.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Changes in accounting standards may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From time to time, the FASB and the SEC, who create and interpret appropriate accounting standards, may change the financial accounting and reporting standards or their interpretation and application of these standards that will govern the preparation of our financial statements. These changes could materially and adversely affect our reported financial condition and results of operations. In some cases, we could be required to apply a new or revised standard retroactively, resulting in restating prior period financial statements. Similarly, these changes could materially and adversely affect our tenant’s reported financial condition or results of operations and affect their preferences regarding leasing real estate.</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are subject to risks related to corporate social responsibility.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faces public scrutiny related to environmental, social and governance (“ESG”) activities. We risk damage to our reputation if we or affiliates of our Manager fail to act responsibly in a number of areas, such as diversity and inclusion, environmental stewardship, support for local communities, corporate governance and transparency and considering ESG factors in our investment processes. Adverse incidents with respect to ESG activities could impact the cost of our operations and relationships with investors, all of which could adversely affect our business and results of operations. Additionally, new legislative or regulatory initiatives related to ESG could adversely affect our business.</w:t>
      </w:r>
    </w:p>
    <w:p>
      <w:pPr>
        <w:pStyle w:val="TextBody"/>
        <w:bidi w:val="0"/>
        <w:spacing w:before="0" w:after="160"/>
        <w:ind w:left="0" w:right="0" w:hanging="0"/>
        <w:jc w:val="both"/>
        <w:rPr>
          <w:rFonts w:ascii="Times New Roman;Times;serif" w:hAnsi="Times New Roman;Times;serif"/>
          <w:sz w:val="20"/>
        </w:rPr>
      </w:pPr>
      <w:bookmarkStart w:id="40" w:name="ITEM1BUNRESOLVEDSTAFFCOMMENTS_212658"/>
      <w:bookmarkStart w:id="41" w:name="_4556bcab_259a_4b36_86be_b55dd24a9008"/>
      <w:bookmarkEnd w:id="40"/>
      <w:bookmarkEnd w:id="41"/>
      <w:r>
        <w:rPr>
          <w:rFonts w:ascii="Times New Roman;Times;serif" w:hAnsi="Times New Roman;Times;serif"/>
          <w:b/>
          <w:sz w:val="20"/>
        </w:rPr>
        <w:t>ITEM 1B.</w:t>
      </w:r>
      <w:r>
        <w:rPr>
          <w:rFonts w:ascii="Times New Roman;Times;serif" w:hAnsi="Times New Roman;Times;serif"/>
          <w:sz w:val="20"/>
        </w:rPr>
        <w:t>          </w:t>
      </w:r>
      <w:r>
        <w:rPr>
          <w:rFonts w:ascii="Times New Roman;Times;serif" w:hAnsi="Times New Roman;Times;serif"/>
          <w:b/>
          <w:sz w:val="20"/>
        </w:rPr>
        <w:t>UNRESOLVED STAFF COMMENTS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left"/>
        <w:rPr/>
      </w:pPr>
      <w:r>
        <w:rPr/>
        <w:t>​</w:t>
      </w:r>
    </w:p>
    <w:p>
      <w:pPr>
        <w:pStyle w:val="TextBody"/>
        <w:bidi w:val="0"/>
        <w:spacing w:before="0" w:after="160"/>
        <w:ind w:left="0" w:right="0" w:hanging="0"/>
        <w:jc w:val="both"/>
        <w:rPr>
          <w:rFonts w:ascii="Times New Roman;Times;serif" w:hAnsi="Times New Roman;Times;serif"/>
          <w:b/>
          <w:sz w:val="20"/>
        </w:rPr>
      </w:pPr>
      <w:bookmarkStart w:id="42" w:name="Item_1C_Cybersecurity"/>
      <w:bookmarkStart w:id="43" w:name="_c4382376_5667_42d4_bc37_1f4eae3bbaa2"/>
      <w:bookmarkEnd w:id="42"/>
      <w:bookmarkEnd w:id="43"/>
      <w:r>
        <w:rPr>
          <w:rFonts w:ascii="Times New Roman;Times;serif" w:hAnsi="Times New Roman;Times;serif"/>
          <w:b/>
          <w:sz w:val="20"/>
        </w:rPr>
        <w:t>ITEM 1C.          CYBERSECURITY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 employees and is externally managed by our Manager, which is a wholly owned subsidiary of CTO, a publicly traded diversified REIT. Pursuant to the terms of the Management Agreement, our Manager manages, operates and administers our day-to-day operations, business and affairs, subject to the direction and supervision of the Board. The Board recognizes the critical importance of maintaining the trust and confidence of our tenants and business partners. The Board plays an active role in overseeing management of our risks, and cybersecurity represents an important component of the Company’s overall approach to risk management and oversight.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an externally managed company, the Company relies on CTO’s information systems in connection with the Company’s day-to-day operations. Consequently, the Company also relies on the processes for assessing, identifying, and managing material risks from cybersecurity threats undertaken by CTO. All of the Company’s executive officers are executive officers and employees of CTO, and one of the Company’s officers (John P. Albright) is also a member of CTO’s board of directors.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CTO’s cybersecurity processes and practices are integrated into CTO’s risk management and oversight program. In general, CTO seeks to address cybersecurity risks through a comprehensive, cross-functional approach that is focused on preserving the confidentiality, security and availability of the information that CTO collects and stores by identifying, preventing and mitigating cybersecurity threats and effectively responding to cybersecurity incidents when they occur. CTO utilizes a third-party managed IT service provider (the “MSP”) to provide comprehensive cybersecurity services for the Company, including threat detection and response, vulnerability assessment and monitoring, security incident response and recovery, and cybersecurity education and awareness. The Company has adopted a written information security incident response plan, which, as discussed below, is overseen by the Audit Committee of the Board (the “Audit Committee”).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Risk Management and Strategy</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cybersecurity program is focused on the following key areas:</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Governance: As discussed in more detail under “Item 1C. Cybersecurity—Governance,” the Board’s oversight of cybersecurity risk management will be supported by the Audit Committee, which regularly interacts with the Company’s management team.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Collaborative Approach: CTO has implemented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the Audit Committee, and the Board in a timely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Safeguards: CTO and the MSP deploy technical safeguards that are designed to protect information systems from cybersecurity threats, including firewalls, intrusion prevention systems, endpoint detection and response systems, anti-malware functionality and access controls, which are evaluated and improved through vulnerability assessments and cybersecurity threat intelligence.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Incident Response and Recovery Planning: CTO and the MSP have established a written information security incident response plan that addresses the response to a cybersecurity incident, which plan will be tested and evaluated on a regular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Risk Management: CTO and the MSP maintain a comprehensive, risk-based approach to identifying and overseeing cybersecurity risks presented by third parties, including vendors, service providers and other external users of CTO’s systems, as well as the systems of third parties that could adversely impact the Company’s business in the event of a cybersecurity incident affecting those third-party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Education and Awareness: CTO, through the MSP, provides regular training for personnel regarding cybersecurity threats as a means to equip personnel with effective tools to address cybersecurity threats, and to communicate evolving information security policies, standards, processes and practices.</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CTO and the MSP will engage in the periodic assessment and testing of CTO’s policies, standards, processes and practices that are designed to address cybersecurity threats and incidents. These efforts will include a wide range of activities, including audits, assessments, tabletop exercises, threat modeling, vulnerability testing and other exercises focused on evaluating the effectiveness of CTO’s cybersecurity measures and planning. The MSP regularly assesses CTO’s cybersecurity measures, including information security maturity, and regularly reviews CTO’s information security control environment and operating effectiveness. The results of such assessments, audits and reviews will be reported to the Audit Committee and the Board, and CTO will adjust its cybersecurity policies, standards, processes and practices as necessary based on the information provided by these assessments, audits and reviews.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Governance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Board, in coordination with the Audit Committee, will oversee the Company’s cybersecurity risk management process. The Audit Committee has adopted a charter that provides that the Audit Committee must review and discuss with the Company’s management team the Company’s privacy and cybersecurity risk exposures, including:</w:t>
      </w:r>
    </w:p>
    <w:p>
      <w:pPr>
        <w:pStyle w:val="TextBody"/>
        <w:bidi w:val="0"/>
        <w:spacing w:before="0" w:after="0"/>
        <w:ind w:left="0" w:right="0" w:firstLine="360"/>
        <w:jc w:val="both"/>
        <w:rPr/>
      </w:pPr>
      <w:r>
        <w:rPr/>
        <w:t>​</w:t>
      </w:r>
    </w:p>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those exposures on the Company’s business, financial results, operations and reputation;</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steps management has taken to monitor and mitigate such exposures;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information governance policies and programs;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major legislative and regulatory developments that could materially impact the Company’s privacy and cybersecurity risk exposure. </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charter of the Audit Committee also provides that the Audit Committee may receive additional training in cybersecurity and data privacy matters to enable its oversight of such risks and that the Audit Committee will regularly report to the Board the substance of such reviews and discussions and, as necessary, recommend to the Board such actions as the Audit Committee deems appropriate.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noted above, the Company relies on CTO’s information systems and the MSP in connection with the Company’s day-to-day operations. Consequently, the Company also relies on the processes for assessing, identifying, and managing material risks from cybersecurity threats undertaken by CTO. All of the Company’s executive officers are executive officers and employees of CTO, and one of the Company’s officers (John P. Albright) is also a member of CTO’s board of directors.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CTO’s President and Chief Executive Officer, Senior Vice President, Chief Financial Officer and Treasurer, and Senior Vice President, General Counsel and Corporate Secretary work collaboratively with the MSP to implement a program designed to protect CTO’s information systems from cybersecurity threats and to promptly respond to any cybersecurity incidents in accordance with written information security incident response plans adopted by CTO and the Company. These members of CTO’s management team, together with the MSP, will monitor the prevention, detection, mitigation and remediation of cybersecurity threats and incidents and will report such threats and incidents to the Audit Committee when appropriate.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CTO’s President and Chief Executive Officer, Senior Vice President, Chief Financial Officer and Treasurer, and Senior Vice President, General Counsel and Corporate Secretary each hold degrees in their respective fields, and have an average of over 20</w:t>
      </w:r>
      <w:r>
        <w:rPr>
          <w:rFonts w:ascii="Times New Roman;Times;serif" w:hAnsi="Times New Roman;Times;serif"/>
          <w:color w:val="FF0000"/>
          <w:sz w:val="20"/>
        </w:rPr>
        <w:t xml:space="preserve"> </w:t>
      </w:r>
      <w:r>
        <w:rPr>
          <w:rFonts w:ascii="Times New Roman;Times;serif" w:hAnsi="Times New Roman;Times;serif"/>
          <w:sz w:val="20"/>
        </w:rPr>
        <w:t>years of experience managing risks at CTO, the Company and similar companies, including risks arising from cybersecurity threats.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Cybersecurity threats, including as a result of any previous cybersecurity incidents, have not materially affected and are not reasonably likely to affect the Company, including its business strategy, results of operations or financial condition.</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bookmarkStart w:id="44" w:name="ITEM2PROPERTIES_519156"/>
      <w:bookmarkStart w:id="45" w:name="_43010b48_70d2_4e29_b69d_031b4978b1b7"/>
      <w:bookmarkEnd w:id="44"/>
      <w:bookmarkEnd w:id="45"/>
      <w:r>
        <w:rPr>
          <w:rFonts w:ascii="Times New Roman;Times;serif" w:hAnsi="Times New Roman;Times;serif"/>
          <w:b/>
          <w:sz w:val="20"/>
        </w:rPr>
        <w:t>ITEM 2.</w:t>
      </w:r>
      <w:r>
        <w:rPr>
          <w:rFonts w:ascii="Times New Roman;Times;serif" w:hAnsi="Times New Roman;Times;serif"/>
          <w:sz w:val="20"/>
        </w:rPr>
        <w:t>            </w:t>
      </w:r>
      <w:r>
        <w:rPr>
          <w:rFonts w:ascii="Times New Roman;Times;serif" w:hAnsi="Times New Roman;Times;serif"/>
          <w:b/>
          <w:sz w:val="20"/>
        </w:rPr>
        <w:t>PROPERTIES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principal offices are located at 369 N. New York Avenue., Suite 201, Winter Park, Florida 32789. Our telephone number is (407) 904-3324.</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2023, the Company owns 138 net leased retail buildings located in 35 states (refer to Item 1. “Business”).</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bookmarkStart w:id="46" w:name="ITEM3LEGALPROCEEDINGS_42989"/>
      <w:bookmarkStart w:id="47" w:name="_7c17213a_8d96_4eeb_a10b_1f108404d2a2"/>
      <w:bookmarkEnd w:id="46"/>
      <w:bookmarkEnd w:id="47"/>
      <w:r>
        <w:rPr>
          <w:rFonts w:ascii="Times New Roman;Times;serif" w:hAnsi="Times New Roman;Times;serif"/>
          <w:b/>
          <w:sz w:val="20"/>
        </w:rPr>
        <w:t>ITEM 3.</w:t>
      </w:r>
      <w:r>
        <w:rPr>
          <w:rFonts w:ascii="Times New Roman;Times;serif" w:hAnsi="Times New Roman;Times;serif"/>
          <w:sz w:val="20"/>
        </w:rPr>
        <w:t>            </w:t>
      </w:r>
      <w:r>
        <w:rPr>
          <w:rFonts w:ascii="Times New Roman;Times;serif" w:hAnsi="Times New Roman;Times;serif"/>
          <w:b/>
          <w:sz w:val="20"/>
        </w:rPr>
        <w:t>LEGAL PROCEEDINGS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our business. We are not currently a party to any pending or threatened legal proceedings that we believe could have a material adverse effect on our business or financial condition.</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bookmarkStart w:id="48" w:name="ITEM4MINESAFETYDISCLOSURES_844828"/>
      <w:bookmarkStart w:id="49" w:name="_02118e67_6cc3_45dd_aff9_3fccaf4a2cdc"/>
      <w:bookmarkEnd w:id="48"/>
      <w:bookmarkEnd w:id="49"/>
      <w:r>
        <w:rPr>
          <w:rFonts w:ascii="Times New Roman;Times;serif" w:hAnsi="Times New Roman;Times;serif"/>
          <w:b/>
          <w:sz w:val="20"/>
        </w:rPr>
        <w:t>ITEM 4.</w:t>
      </w:r>
      <w:r>
        <w:rPr>
          <w:rFonts w:ascii="Times New Roman;Times;serif" w:hAnsi="Times New Roman;Times;serif"/>
          <w:sz w:val="20"/>
        </w:rPr>
        <w:t>            </w:t>
      </w:r>
      <w:r>
        <w:rPr>
          <w:rFonts w:ascii="Times New Roman;Times;serif" w:hAnsi="Times New Roman;Times;serif"/>
          <w:b/>
          <w:sz w:val="20"/>
        </w:rPr>
        <w:t>MINE SAFETY DISCLOSURES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0" w:name="PARTII_948070"/>
      <w:bookmarkEnd w:id="50"/>
      <w:r>
        <w:rPr>
          <w:rFonts w:ascii="Times New Roman;Times;serif" w:hAnsi="Times New Roman;Times;serif"/>
          <w:b/>
          <w:sz w:val="20"/>
        </w:rPr>
        <w:t>PART II</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bookmarkStart w:id="51" w:name="ITEM5MARKETFORREGISTRANTSCOMMONEQUITYREL"/>
      <w:bookmarkStart w:id="52" w:name="_686fc113_3ff0_4e75_810b_7b9baf495df1"/>
      <w:bookmarkEnd w:id="51"/>
      <w:bookmarkEnd w:id="52"/>
      <w:r>
        <w:rPr>
          <w:rFonts w:ascii="Times New Roman;Times;serif" w:hAnsi="Times New Roman;Times;serif"/>
          <w:b/>
          <w:sz w:val="20"/>
        </w:rPr>
        <w:t>ITEM 5.</w:t>
      </w:r>
      <w:r>
        <w:rPr>
          <w:rFonts w:ascii="Times New Roman;Times;serif" w:hAnsi="Times New Roman;Times;serif"/>
          <w:sz w:val="20"/>
        </w:rPr>
        <w:t>            </w:t>
      </w:r>
      <w:r>
        <w:rPr>
          <w:rFonts w:ascii="Times New Roman;Times;serif" w:hAnsi="Times New Roman;Times;serif"/>
          <w:b/>
          <w:sz w:val="20"/>
        </w:rPr>
        <w:t>MARKET FOR REGISTRANT’S COMMON EQUITY, RELATED STOCKHOLDER</w:t>
      </w:r>
      <w:r>
        <w:rPr>
          <w:rFonts w:ascii="Times New Roman;Times;serif" w:hAnsi="Times New Roman;Times;serif"/>
          <w:sz w:val="20"/>
        </w:rPr>
        <w:t xml:space="preserve"> </w:t>
      </w:r>
      <w:r>
        <w:rPr>
          <w:rFonts w:ascii="Times New Roman;Times;serif" w:hAnsi="Times New Roman;Times;serif"/>
          <w:b/>
          <w:sz w:val="20"/>
        </w:rPr>
        <w:t>MATTERS, AND ISSUER REPURCHASES OF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common stock trades on the NYSE under the symbol “PINE”.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January 31, 2024, there were 127 holders of record of our common stock. This figure does not represent the actual number of beneficial owners of our common stock because shares of our common stock are frequently held in “street name” through banks, brokers and others for the benefit of beneficial owners who may vote the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intend to make quarterly distributions to our common stockholders. In particular, in order to maintain our qualification for taxation as a REIT, we intend to make annual distributions to our stockholders of at least 90% of our REIT taxable income, determined without regard to the deduction for dividends paid and excluding any net capital gain. However, any future distributions will be at the sole discretion of the Board and will depend upon, among other things, our actual results of operations and liquidity.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Unregistered Sales of Equity Securities</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years ended December 31, 2022 and 2021, there were no unregistered sales of equity securities, which were not previously reported. On November 10, 2023, we issued 479,640 shares of our common stock to holders OP Units upon the redemption of such OP Units pursuant to the partnership agreement of the Operating Partnership. The issuance of such shares was exempt from registration under the Securities Act, pursuant to the exemption contemplated by Section 4(a)(2) thereof for transactions not involving a public offering. The OP Units were redeemed for an equal number of shares of our common stock. Each limited partner of the Operating Partnership has the right to require the Operating Partnership to redeem part or all of its OP Units for cash, based upon the value of an equivalent number of shares of our common stock at the time of the redemption, or, at our election, shares of our common stock on a one-for-one basis, beginning on and after the date that is 12 months after issuance of such OP Units, subject to certain adjustments and the restrictions on ownership and transfer of our stock set forth in our charter.</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Issuer Purchases of Equity Securities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repurchases of shares on the Company’s common stock were made during the three months ended December 31, 2023:</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434"/>
        <w:gridCol w:w="326"/>
        <w:gridCol w:w="1306"/>
        <w:gridCol w:w="326"/>
        <w:gridCol w:w="368"/>
        <w:gridCol w:w="998"/>
        <w:gridCol w:w="326"/>
        <w:gridCol w:w="2614"/>
        <w:gridCol w:w="326"/>
        <w:gridCol w:w="546"/>
        <w:gridCol w:w="1480"/>
        <w:gridCol w:w="155"/>
      </w:tblGrid>
      <w:tr>
        <w:trPr/>
        <w:tc>
          <w:tcPr>
            <w:tcW w:w="14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829310" cy="175260"/>
                      <wp:effectExtent l="0" t="0" r="0" b="0"/>
                      <wp:wrapNone/>
                      <wp:docPr id="20" name="Frame20"/>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33680" cy="175260"/>
                      <wp:effectExtent l="0" t="0" r="0" b="0"/>
                      <wp:wrapNone/>
                      <wp:docPr id="22" name="Frame22"/>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33730" cy="175260"/>
                      <wp:effectExtent l="0" t="0" r="0" b="0"/>
                      <wp:wrapNone/>
                      <wp:docPr id="23" name="Frame23"/>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659890" cy="175260"/>
                      <wp:effectExtent l="0" t="0" r="0" b="0"/>
                      <wp:wrapNone/>
                      <wp:docPr id="25" name="Frame25"/>
                      <a:graphic xmlns:a="http://schemas.openxmlformats.org/drawingml/2006/main">
                        <a:graphicData uri="http://schemas.microsoft.com/office/word/2010/wordprocessingShape">
                          <wps:wsp>
                            <wps:cNvSpPr txBox="1"/>
                            <wps:spPr>
                              <a:xfrm>
                                <a:off x="0" y="0"/>
                                <a:ext cx="165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46710" cy="175260"/>
                      <wp:effectExtent l="0" t="0" r="0" b="0"/>
                      <wp:wrapNone/>
                      <wp:docPr id="27" name="Frame27"/>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39800" cy="175260"/>
                      <wp:effectExtent l="0" t="0" r="0" b="0"/>
                      <wp:wrapNone/>
                      <wp:docPr id="28" name="Frame28"/>
                      <a:graphic xmlns:a="http://schemas.openxmlformats.org/drawingml/2006/main">
                        <a:graphicData uri="http://schemas.microsoft.com/office/word/2010/wordprocessingShape">
                          <wps:wsp>
                            <wps:cNvSpPr txBox="1"/>
                            <wps:spPr>
                              <a:xfrm>
                                <a:off x="0" y="0"/>
                                <a:ext cx="939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98425" cy="175260"/>
                      <wp:effectExtent l="0" t="0" r="0" b="0"/>
                      <wp:wrapNone/>
                      <wp:docPr id="29" name="Frame29"/>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3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Total</w:t>
            </w:r>
            <w:r>
              <w:rPr>
                <w:rFonts w:ascii="Times New Roman;Times;serif" w:hAnsi="Times New Roman;Times;serif"/>
                <w:sz w:val="20"/>
              </w:rPr>
              <w:t> </w:t>
            </w:r>
            <w:r>
              <w:rPr>
                <w:rFonts w:ascii="Times New Roman;Times;serif" w:hAnsi="Times New Roman;Times;serif"/>
                <w:b/>
                <w:sz w:val="20"/>
              </w:rPr>
              <w:t>Number</w:t>
              <w:br/>
              <w:t>of Shares</w:t>
              <w:br/>
              <w:t>Purchased</w:t>
            </w:r>
          </w:p>
        </w:tc>
        <w:tc>
          <w:tcPr>
            <w:tcW w:w="326" w:type="dxa"/>
            <w:tcBorders/>
            <w:vAlign w:val="center"/>
          </w:tcPr>
          <w:p>
            <w:pPr>
              <w:pStyle w:val="TableContents"/>
              <w:bidi w:val="0"/>
              <w:spacing w:before="0" w:after="0"/>
              <w:ind w:left="0" w:right="0" w:hanging="0"/>
              <w:jc w:val="left"/>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Price</w:t>
              <w:br/>
              <w:t>Paid per Share</w:t>
            </w:r>
          </w:p>
        </w:tc>
        <w:tc>
          <w:tcPr>
            <w:tcW w:w="326" w:type="dxa"/>
            <w:tcBorders/>
            <w:vAlign w:val="center"/>
          </w:tcPr>
          <w:p>
            <w:pPr>
              <w:pStyle w:val="TableContents"/>
              <w:bidi w:val="0"/>
              <w:spacing w:before="0" w:after="0"/>
              <w:ind w:left="0" w:right="0" w:hanging="0"/>
              <w:jc w:val="left"/>
              <w:rPr/>
            </w:pPr>
            <w:r>
              <w:rPr/>
              <w:t>    </w:t>
            </w:r>
          </w:p>
        </w:tc>
        <w:tc>
          <w:tcPr>
            <w:tcW w:w="26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w:t>
              <w:br/>
              <w:t>Shares Purchased as a Part of Publicly</w:t>
              <w:br/>
              <w:t>Announced Plans</w:t>
              <w:br/>
              <w:t>or Programs</w:t>
            </w:r>
          </w:p>
        </w:tc>
        <w:tc>
          <w:tcPr>
            <w:tcW w:w="326" w:type="dxa"/>
            <w:tcBorders/>
            <w:vAlign w:val="center"/>
          </w:tcPr>
          <w:p>
            <w:pPr>
              <w:pStyle w:val="TableContents"/>
              <w:bidi w:val="0"/>
              <w:spacing w:before="0" w:after="0"/>
              <w:ind w:left="0" w:right="0" w:hanging="0"/>
              <w:jc w:val="left"/>
              <w:rPr/>
            </w:pPr>
            <w:r>
              <w:rPr/>
              <w:t>    </w:t>
            </w:r>
          </w:p>
        </w:tc>
        <w:tc>
          <w:tcPr>
            <w:tcW w:w="202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Maximum Number (or</w:t>
              <w:br/>
              <w:t>Approximate Dollar</w:t>
              <w:br/>
              <w:t>Value) of Shares that</w:t>
              <w:br/>
              <w:t>May Yet be Purchased</w:t>
              <w:br/>
              <w:t>Under the Plans or</w:t>
              <w:br/>
              <w:t xml:space="preserve">Programs ($000's) </w:t>
            </w:r>
            <w:r>
              <w:rPr>
                <w:rFonts w:ascii="Times New Roman;Times;serif" w:hAnsi="Times New Roman;Times;serif"/>
                <w:b/>
                <w:sz w:val="15"/>
              </w:rPr>
              <w:t>(1)</w:t>
            </w:r>
          </w:p>
        </w:tc>
        <w:tc>
          <w:tcPr>
            <w:tcW w:w="155" w:type="dxa"/>
            <w:tcBorders/>
            <w:vAlign w:val="center"/>
          </w:tcPr>
          <w:p>
            <w:pPr>
              <w:pStyle w:val="TableContents"/>
              <w:bidi w:val="0"/>
              <w:spacing w:before="0" w:after="0"/>
              <w:ind w:left="0" w:right="0" w:hanging="0"/>
              <w:jc w:val="left"/>
              <w:rPr/>
            </w:pPr>
            <w:r>
              <w:rPr/>
              <w:t>​</w:t>
            </w:r>
          </w:p>
        </w:tc>
      </w:tr>
      <w:tr>
        <w:trPr/>
        <w:tc>
          <w:tcPr>
            <w:tcW w:w="1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10/1/2023 - 10/31/2023</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240,907</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15.73</w:t>
            </w:r>
          </w:p>
        </w:tc>
        <w:tc>
          <w:tcPr>
            <w:tcW w:w="326" w:type="dxa"/>
            <w:tcBorders/>
            <w:shd w:fill="CCEEFF" w:val="clear"/>
            <w:vAlign w:val="center"/>
          </w:tcPr>
          <w:p>
            <w:pPr>
              <w:pStyle w:val="TableContents"/>
              <w:bidi w:val="0"/>
              <w:spacing w:before="0" w:after="0"/>
              <w:ind w:left="0" w:right="0" w:hanging="0"/>
              <w:jc w:val="left"/>
              <w:rPr/>
            </w:pPr>
            <w:r>
              <w:rPr/>
              <w:t>​</w:t>
            </w:r>
          </w:p>
        </w:tc>
        <w:tc>
          <w:tcPr>
            <w:tcW w:w="26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240,907</w:t>
            </w:r>
          </w:p>
        </w:tc>
        <w:tc>
          <w:tcPr>
            <w:tcW w:w="326" w:type="dxa"/>
            <w:tcBorders/>
            <w:shd w:fill="CCEEFF" w:val="clear"/>
            <w:vAlign w:val="center"/>
          </w:tcPr>
          <w:p>
            <w:pPr>
              <w:pStyle w:val="TableContents"/>
              <w:bidi w:val="0"/>
              <w:spacing w:before="0" w:after="0"/>
              <w:ind w:left="0" w:right="0" w:hanging="0"/>
              <w:jc w:val="left"/>
              <w:rPr/>
            </w:pPr>
            <w:r>
              <w:rPr/>
              <w:t>​</w:t>
            </w:r>
          </w:p>
        </w:tc>
        <w:tc>
          <w:tcPr>
            <w:tcW w:w="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6,507</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11/1/2023 - 11/30/2023</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240,234</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w:t>
            </w:r>
          </w:p>
        </w:tc>
        <w:tc>
          <w:tcPr>
            <w:tcW w:w="326" w:type="dxa"/>
            <w:tcBorders/>
            <w:vAlign w:val="center"/>
          </w:tcPr>
          <w:p>
            <w:pPr>
              <w:pStyle w:val="TableContents"/>
              <w:bidi w:val="0"/>
              <w:spacing w:before="0" w:after="0"/>
              <w:ind w:left="0" w:right="0" w:hanging="0"/>
              <w:jc w:val="left"/>
              <w:rPr/>
            </w:pPr>
            <w:r>
              <w:rPr/>
              <w:t>​</w:t>
            </w:r>
          </w:p>
        </w:tc>
        <w:tc>
          <w:tcPr>
            <w:tcW w:w="26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240,234</w:t>
            </w:r>
          </w:p>
        </w:tc>
        <w:tc>
          <w:tcPr>
            <w:tcW w:w="326" w:type="dxa"/>
            <w:tcBorders/>
            <w:vAlign w:val="center"/>
          </w:tcPr>
          <w:p>
            <w:pPr>
              <w:pStyle w:val="TableContents"/>
              <w:bidi w:val="0"/>
              <w:spacing w:before="0" w:after="0"/>
              <w:ind w:left="0" w:right="0" w:hanging="0"/>
              <w:jc w:val="left"/>
              <w:rPr/>
            </w:pPr>
            <w:r>
              <w:rPr/>
              <w:t>​</w:t>
            </w:r>
          </w:p>
        </w:tc>
        <w:tc>
          <w:tcPr>
            <w:tcW w:w="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w:t>
            </w:r>
          </w:p>
        </w:tc>
        <w:tc>
          <w:tcPr>
            <w:tcW w:w="155" w:type="dxa"/>
            <w:tcBorders/>
            <w:vAlign w:val="center"/>
          </w:tcPr>
          <w:p>
            <w:pPr>
              <w:pStyle w:val="TableContents"/>
              <w:bidi w:val="0"/>
              <w:spacing w:before="0" w:after="0"/>
              <w:ind w:left="0" w:right="0" w:hanging="0"/>
              <w:jc w:val="left"/>
              <w:rPr/>
            </w:pPr>
            <w:r>
              <w:rPr/>
              <w:t>​</w:t>
            </w:r>
          </w:p>
        </w:tc>
      </w:tr>
      <w:tr>
        <w:trPr/>
        <w:tc>
          <w:tcPr>
            <w:tcW w:w="1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12/1/2023 - 12/31/2023</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113,649</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16.86</w:t>
            </w:r>
          </w:p>
        </w:tc>
        <w:tc>
          <w:tcPr>
            <w:tcW w:w="326" w:type="dxa"/>
            <w:tcBorders/>
            <w:shd w:fill="CCEEFF" w:val="clear"/>
            <w:vAlign w:val="center"/>
          </w:tcPr>
          <w:p>
            <w:pPr>
              <w:pStyle w:val="TableContents"/>
              <w:bidi w:val="0"/>
              <w:spacing w:before="0" w:after="0"/>
              <w:ind w:left="0" w:right="0" w:hanging="0"/>
              <w:jc w:val="left"/>
              <w:rPr/>
            </w:pPr>
            <w:r>
              <w:rPr/>
              <w:t>​</w:t>
            </w:r>
          </w:p>
        </w:tc>
        <w:tc>
          <w:tcPr>
            <w:tcW w:w="26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113,649</w:t>
            </w:r>
          </w:p>
        </w:tc>
        <w:tc>
          <w:tcPr>
            <w:tcW w:w="326" w:type="dxa"/>
            <w:tcBorders/>
            <w:shd w:fill="CCEEFF" w:val="clear"/>
            <w:vAlign w:val="center"/>
          </w:tcPr>
          <w:p>
            <w:pPr>
              <w:pStyle w:val="TableContents"/>
              <w:bidi w:val="0"/>
              <w:spacing w:before="0" w:after="0"/>
              <w:ind w:left="0" w:right="0" w:hanging="0"/>
              <w:jc w:val="left"/>
              <w:rPr/>
            </w:pPr>
            <w:r>
              <w:rPr/>
              <w:t>​</w:t>
            </w:r>
          </w:p>
        </w:tc>
        <w:tc>
          <w:tcPr>
            <w:tcW w:w="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13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594,790</w:t>
            </w:r>
          </w:p>
        </w:tc>
        <w:tc>
          <w:tcPr>
            <w:tcW w:w="326" w:type="dxa"/>
            <w:tcBorders/>
            <w:vAlign w:val="center"/>
          </w:tcPr>
          <w:p>
            <w:pPr>
              <w:pStyle w:val="TableContents"/>
              <w:bidi w:val="0"/>
              <w:spacing w:before="0" w:after="0"/>
              <w:ind w:left="0" w:right="0" w:hanging="0"/>
              <w:jc w:val="left"/>
              <w:rPr/>
            </w:pPr>
            <w:r>
              <w:rPr/>
              <w:t>​</w:t>
            </w:r>
          </w:p>
        </w:tc>
        <w:tc>
          <w:tcPr>
            <w:tcW w:w="3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w:t>
            </w:r>
          </w:p>
        </w:tc>
        <w:tc>
          <w:tcPr>
            <w:tcW w:w="326" w:type="dxa"/>
            <w:tcBorders/>
            <w:vAlign w:val="center"/>
          </w:tcPr>
          <w:p>
            <w:pPr>
              <w:pStyle w:val="TableContents"/>
              <w:bidi w:val="0"/>
              <w:spacing w:before="0" w:after="0"/>
              <w:ind w:left="0" w:right="0" w:hanging="0"/>
              <w:jc w:val="left"/>
              <w:rPr/>
            </w:pPr>
            <w:r>
              <w:rPr/>
              <w:t>​</w:t>
            </w:r>
          </w:p>
        </w:tc>
        <w:tc>
          <w:tcPr>
            <w:tcW w:w="26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594,790</w:t>
            </w:r>
          </w:p>
        </w:tc>
        <w:tc>
          <w:tcPr>
            <w:tcW w:w="326" w:type="dxa"/>
            <w:tcBorders/>
            <w:vAlign w:val="center"/>
          </w:tcPr>
          <w:p>
            <w:pPr>
              <w:pStyle w:val="TableContents"/>
              <w:bidi w:val="0"/>
              <w:spacing w:before="0" w:after="0"/>
              <w:ind w:left="0" w:right="0" w:hanging="0"/>
              <w:jc w:val="left"/>
              <w:rPr/>
            </w:pPr>
            <w:r>
              <w:rPr/>
              <w:t>​</w:t>
            </w:r>
          </w:p>
        </w:tc>
        <w:tc>
          <w:tcPr>
            <w:tcW w:w="546" w:type="dxa"/>
            <w:tcBorders/>
            <w:vAlign w:val="center"/>
          </w:tcPr>
          <w:p>
            <w:pPr>
              <w:pStyle w:val="TableContents"/>
              <w:bidi w:val="0"/>
              <w:spacing w:before="0" w:after="0"/>
              <w:ind w:left="0" w:right="0" w:hanging="0"/>
              <w:jc w:val="left"/>
              <w:rPr/>
            </w:pPr>
            <w:r>
              <w:rPr/>
              <w:t>​</w:t>
            </w:r>
          </w:p>
        </w:tc>
        <w:tc>
          <w:tcPr>
            <w:tcW w:w="1480"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 July 2023, the Company’s Board of Directors approved a $15 million stock repurchase program under which approximately $14.2 million of the Company’s stock had been repurchased as of December 31, 2023. The repurchase program does not have an expiration date.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53" w:name="Reserved_762107"/>
      <w:bookmarkStart w:id="54" w:name="ITEM6SELECTEDFINANCIALDATA_762869"/>
      <w:bookmarkStart w:id="55" w:name="_02133a19_0629_4b27_92d8_03b08d50d0a6"/>
      <w:bookmarkEnd w:id="53"/>
      <w:bookmarkEnd w:id="54"/>
      <w:bookmarkEnd w:id="55"/>
      <w:r>
        <w:rPr>
          <w:rFonts w:ascii="Times New Roman;Times;serif" w:hAnsi="Times New Roman;Times;serif"/>
          <w:b/>
          <w:sz w:val="20"/>
        </w:rPr>
        <w:t>ITEM 6.             [Reserved]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56" w:name="ITEM7MANAGEMENTSDISCUSSIONANDANALYSISOFF"/>
      <w:bookmarkStart w:id="57" w:name="_ae98cc83_fa09_4892_b4c5_662f6933817f"/>
      <w:bookmarkEnd w:id="56"/>
      <w:bookmarkEnd w:id="57"/>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When we refer to “we,” “us,” “our,” “PINE,” or “the Company,” we mean Alpine Income Property Trust, Inc. and its consolidated subsidiaries. References to “Notes to the Financial Statements” refer to the Notes to the Consolidated Financial Statements of Alpine Income Property Trust, Inc. included in Item 8 of this Annual Report on Form 10-K. Also, when the Company uses any of the words “anticipate,” “assume,” “believe,” “estimate,” “expect,” “intend,” or similar expressions, the Company is making forward-looking statements. Although management believes that the expectations reflected in such forward-looking statements are based upon present expectations and reasonable assumptions, the Company’s actual results could differ materially from those set forth in the forward-looking statements. Certain factors that could cause actual results or events to differ materially from those the Company anticipates or projects are described in “Item 1A. Risk Factors” of this Annual Report on Form 10-K. Given these uncertainties, readers are cautioned not to place undue reliance on such statements, which speak only as of the date of this Annual Report on Form 10-K or any document incorporated herein by reference. The Company undertakes no obligation to publicly release any revisions to these forward-looking statements that may be made to reflect events or circumstances after the date of this Annual Report on Form 10-K.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following discussion and analysis should be read in conjunction with the consolidated financial statements and related notes included elsewhere in this report.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Alpine Income Property Trust, Inc. is a Maryland corporation that conducts its operations so as to qualify as a REIT for U.S. federal income tax purposes. Substantially all of our operations are conducted through our Operating Partnership.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seek to acquire, own and operate primarily freestanding, commercial retail real estate properties located in the United States primarily leased pursuant to long-term net leases. We target tenants in industries that we believe are favorably impacted by macroeconomic trends that support consumer spending, stable and growing employment, and positive consumer sentiment, as well as tenants in industries that have demonstrated resistance to the impact of the e-commerce retail sector or who use a physical presence as a component of their omnichannel strategy. We also seek to invest in properties that are net leased to tenants that we believe have attractive credit characteristics, stable operating histories, healthy rent coverage levels, are well-located within their respective markets and/or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operates in two primary business segments: income properties and commercial loans and investments.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 employees and is externally managed by our Manager, a Delaware limited liability company and a wholly owned subsidiary of CTO. CTO is a Maryland corporation that is a publicly traded diversified REIT and the sole member of our Manager. See Note 18, “Related Party Management Company” in the Notes to the Financial Statements for further discussion of the Company’s related party transactions with CTO.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2023, the Company acquired 14 properties for total acquisition volume of $82.9 million.  During the year ended December 31, 2023, the Company sold 24 properties for an aggregate sales price of $108.3 million, generating aggregate gains on sale of $9.3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2023, we owned 138 properties with an aggregate gross leasable area of 3.8 million square feet, located in 35 states, with a weighted average remaining lease term of 7.0 years. Our portfolio was 99% occupied as of December 31,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may also acquire or originate commercial loans and investments associated with commercial real estate located in the United States. Our investments in commercial loans are generally secured by real estate or the borrower’s pledge of its ownership interest in an entity that owns real estate. During the year ended December 31, 2023, the </w:t>
      </w:r>
      <w:r>
        <w:rPr>
          <w:rFonts w:ascii="Times New Roman;Times;serif" w:hAnsi="Times New Roman;Times;serif"/>
          <w:sz w:val="20"/>
          <w:shd w:fill="FFFFFF" w:val="clear"/>
        </w:rPr>
        <w:t>Company originated three commercial loans with a total funding commitment of $38.6 million. As of December 31, 2023, the Company’s commercial loan investments portfolio included two construction loans and one mortgage note with a total carrying value of $35.1 million.</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Historical Financial Information</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summarizes our selected historical financial information for each of the last three fiscal years (in thousands, except per share and dividend data). The selected financial information has been derived from our audited consolidated financial statements. </w:t>
      </w:r>
    </w:p>
    <w:tbl>
      <w:tblPr>
        <w:tblW w:w="10205" w:type="dxa"/>
        <w:jc w:val="left"/>
        <w:tblInd w:w="0" w:type="dxa"/>
        <w:tblLayout w:type="fixed"/>
        <w:tblCellMar>
          <w:top w:w="0" w:type="dxa"/>
          <w:left w:w="0" w:type="dxa"/>
          <w:bottom w:w="0" w:type="dxa"/>
          <w:right w:w="0" w:type="dxa"/>
        </w:tblCellMar>
      </w:tblPr>
      <w:tblGrid>
        <w:gridCol w:w="4527"/>
        <w:gridCol w:w="326"/>
        <w:gridCol w:w="375"/>
        <w:gridCol w:w="1207"/>
        <w:gridCol w:w="326"/>
        <w:gridCol w:w="375"/>
        <w:gridCol w:w="1207"/>
        <w:gridCol w:w="326"/>
        <w:gridCol w:w="346"/>
        <w:gridCol w:w="1190"/>
      </w:tblGrid>
      <w:tr>
        <w:trPr/>
        <w:tc>
          <w:tcPr>
            <w:tcW w:w="45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38125" cy="175260"/>
                      <wp:effectExtent l="0" t="0" r="0" b="0"/>
                      <wp:wrapNone/>
                      <wp:docPr id="31" name="Frame3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766445" cy="175260"/>
                      <wp:effectExtent l="0" t="0" r="0" b="0"/>
                      <wp:wrapNone/>
                      <wp:docPr id="32" name="Frame32"/>
                      <a:graphic xmlns:a="http://schemas.openxmlformats.org/drawingml/2006/main">
                        <a:graphicData uri="http://schemas.microsoft.com/office/word/2010/wordprocessingShape">
                          <wps:wsp>
                            <wps:cNvSpPr txBox="1"/>
                            <wps:spPr>
                              <a:xfrm>
                                <a:off x="0" y="0"/>
                                <a:ext cx="766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38125" cy="175260"/>
                      <wp:effectExtent l="0" t="0" r="0" b="0"/>
                      <wp:wrapNone/>
                      <wp:docPr id="34" name="Frame3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766445" cy="175260"/>
                      <wp:effectExtent l="0" t="0" r="0" b="0"/>
                      <wp:wrapNone/>
                      <wp:docPr id="35" name="Frame35"/>
                      <a:graphic xmlns:a="http://schemas.openxmlformats.org/drawingml/2006/main">
                        <a:graphicData uri="http://schemas.microsoft.com/office/word/2010/wordprocessingShape">
                          <wps:wsp>
                            <wps:cNvSpPr txBox="1"/>
                            <wps:spPr>
                              <a:xfrm>
                                <a:off x="0" y="0"/>
                                <a:ext cx="766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55650" cy="175260"/>
                      <wp:effectExtent l="0" t="0" r="0" b="0"/>
                      <wp:wrapNone/>
                      <wp:docPr id="38" name="Frame38"/>
                      <a:graphic xmlns:a="http://schemas.openxmlformats.org/drawingml/2006/main">
                        <a:graphicData uri="http://schemas.microsoft.com/office/word/2010/wordprocessingShape">
                          <wps:wsp>
                            <wps:cNvSpPr txBox="1"/>
                            <wps:spPr>
                              <a:xfrm>
                                <a:off x="0" y="0"/>
                                <a:ext cx="755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2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35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52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0"/>
              <w:ind w:left="0" w:right="0" w:hanging="0"/>
              <w:jc w:val="center"/>
              <w:rPr/>
            </w:pPr>
            <w:r>
              <w:rPr/>
              <w:t>    </w:t>
            </w:r>
          </w:p>
        </w:tc>
        <w:tc>
          <w:tcPr>
            <w:tcW w:w="15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326" w:type="dxa"/>
            <w:tcBorders/>
            <w:vAlign w:val="center"/>
          </w:tcPr>
          <w:p>
            <w:pPr>
              <w:pStyle w:val="TableContents"/>
              <w:bidi w:val="0"/>
              <w:spacing w:before="0" w:after="0"/>
              <w:ind w:left="0" w:right="0" w:hanging="0"/>
              <w:jc w:val="center"/>
              <w:rPr/>
            </w:pPr>
            <w:r>
              <w:rPr/>
              <w:t>    </w:t>
            </w:r>
          </w:p>
        </w:tc>
        <w:tc>
          <w:tcPr>
            <w:tcW w:w="15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45,644</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45,191</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30,126</w:t>
            </w:r>
          </w:p>
        </w:tc>
      </w:tr>
      <w:tr>
        <w:trPr/>
        <w:tc>
          <w:tcPr>
            <w:tcW w:w="45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90" w:type="dxa"/>
            <w:tcBorders/>
            <w:vAlign w:val="center"/>
          </w:tcPr>
          <w:p>
            <w:pPr>
              <w:pStyle w:val="TableContents"/>
              <w:bidi w:val="0"/>
              <w:spacing w:before="0" w:after="0"/>
              <w:ind w:left="0" w:right="0" w:hanging="0"/>
              <w:jc w:val="right"/>
              <w:rPr/>
            </w:pPr>
            <w:r>
              <w:rPr/>
              <w:t>​</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13,142</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43,482</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15,162</w:t>
            </w:r>
          </w:p>
        </w:tc>
      </w:tr>
      <w:tr>
        <w:trPr/>
        <w:tc>
          <w:tcPr>
            <w:tcW w:w="45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90" w:type="dxa"/>
            <w:tcBorders/>
            <w:vAlign w:val="center"/>
          </w:tcPr>
          <w:p>
            <w:pPr>
              <w:pStyle w:val="TableContents"/>
              <w:bidi w:val="0"/>
              <w:spacing w:before="0" w:after="0"/>
              <w:ind w:left="0" w:right="0" w:hanging="0"/>
              <w:jc w:val="right"/>
              <w:rPr/>
            </w:pPr>
            <w:r>
              <w:rPr/>
              <w:t>​</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3,266</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33,955</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11,462</w:t>
            </w:r>
          </w:p>
        </w:tc>
      </w:tr>
      <w:tr>
        <w:trPr/>
        <w:tc>
          <w:tcPr>
            <w:tcW w:w="4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Income Attributable to Noncontrolling Interest</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(4,235)</w:t>
            </w:r>
          </w:p>
        </w:tc>
        <w:tc>
          <w:tcPr>
            <w:tcW w:w="32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Alpine Income Property Trust, Inc.</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29,720</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9,964</w:t>
            </w:r>
          </w:p>
        </w:tc>
      </w:tr>
      <w:tr>
        <w:trPr/>
        <w:tc>
          <w:tcPr>
            <w:tcW w:w="45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90" w:type="dxa"/>
            <w:tcBorders/>
            <w:vAlign w:val="center"/>
          </w:tcPr>
          <w:p>
            <w:pPr>
              <w:pStyle w:val="TableContents"/>
              <w:bidi w:val="0"/>
              <w:spacing w:before="0" w:after="0"/>
              <w:ind w:left="0" w:right="0" w:hanging="0"/>
              <w:jc w:val="right"/>
              <w:rPr/>
            </w:pPr>
            <w:r>
              <w:rPr/>
              <w:t>​</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Attributable to Alpine Income Property Trust, Inc.</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2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2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90" w:type="dxa"/>
            <w:tcBorders/>
            <w:shd w:fill="CCEEFF" w:val="clear"/>
            <w:vAlign w:val="center"/>
          </w:tcPr>
          <w:p>
            <w:pPr>
              <w:pStyle w:val="TableContents"/>
              <w:bidi w:val="0"/>
              <w:spacing w:before="0" w:after="0"/>
              <w:ind w:left="0" w:right="0" w:hanging="0"/>
              <w:jc w:val="right"/>
              <w:rPr/>
            </w:pPr>
            <w:r>
              <w:rPr/>
              <w:t>​</w:t>
            </w:r>
          </w:p>
        </w:tc>
      </w:tr>
      <w:tr>
        <w:trPr/>
        <w:tc>
          <w:tcPr>
            <w:tcW w:w="4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0.89</w:t>
            </w:r>
          </w:p>
        </w:tc>
      </w:tr>
      <w:tr>
        <w:trPr/>
        <w:tc>
          <w:tcPr>
            <w:tcW w:w="45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90" w:type="dxa"/>
            <w:tcBorders/>
            <w:vAlign w:val="center"/>
          </w:tcPr>
          <w:p>
            <w:pPr>
              <w:pStyle w:val="TableContents"/>
              <w:bidi w:val="0"/>
              <w:spacing w:before="0" w:after="0"/>
              <w:ind w:left="0" w:right="0" w:hanging="0"/>
              <w:jc w:val="left"/>
              <w:rPr/>
            </w:pPr>
            <w:r>
              <w:rPr/>
              <w:t>​</w:t>
            </w:r>
          </w:p>
        </w:tc>
      </w:tr>
      <w:tr>
        <w:trPr/>
        <w:tc>
          <w:tcPr>
            <w:tcW w:w="4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and Paid</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1.015</w:t>
            </w:r>
          </w:p>
        </w:tc>
      </w:tr>
    </w:tbl>
    <w:p>
      <w:pPr>
        <w:pStyle w:val="TextBody"/>
        <w:bidi w:val="0"/>
        <w:spacing w:before="4" w:after="4"/>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Sheet Data (in thousands):</w:t>
      </w:r>
    </w:p>
    <w:p>
      <w:pPr>
        <w:pStyle w:val="TextBody"/>
        <w:bidi w:val="0"/>
        <w:spacing w:before="0" w:after="240"/>
        <w:ind w:left="0" w:right="0" w:hanging="0"/>
        <w:jc w:val="both"/>
        <w:rPr/>
      </w:pPr>
      <w:r>
        <w:rPr/>
        <w:t>​</w:t>
      </w:r>
    </w:p>
    <w:tbl>
      <w:tblPr>
        <w:tblW w:w="7228" w:type="dxa"/>
        <w:jc w:val="left"/>
        <w:tblInd w:w="0" w:type="dxa"/>
        <w:tblLayout w:type="fixed"/>
        <w:tblCellMar>
          <w:top w:w="0" w:type="dxa"/>
          <w:left w:w="0" w:type="dxa"/>
          <w:bottom w:w="0" w:type="dxa"/>
          <w:right w:w="0" w:type="dxa"/>
        </w:tblCellMar>
      </w:tblPr>
      <w:tblGrid>
        <w:gridCol w:w="4921"/>
        <w:gridCol w:w="109"/>
        <w:gridCol w:w="211"/>
        <w:gridCol w:w="781"/>
        <w:gridCol w:w="109"/>
        <w:gridCol w:w="211"/>
        <w:gridCol w:w="886"/>
      </w:tblGrid>
      <w:tr>
        <w:trPr/>
        <w:tc>
          <w:tcPr>
            <w:tcW w:w="4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95935" cy="175260"/>
                      <wp:effectExtent l="0" t="0" r="0" b="0"/>
                      <wp:wrapNone/>
                      <wp:docPr id="41" name="Frame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62610" cy="175260"/>
                      <wp:effectExtent l="0" t="0" r="0" b="0"/>
                      <wp:wrapNone/>
                      <wp:docPr id="44" name="Frame4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2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 December 31,</w:t>
            </w:r>
          </w:p>
        </w:tc>
      </w:tr>
      <w:tr>
        <w:trPr/>
        <w:tc>
          <w:tcPr>
            <w:tcW w:w="492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09"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Real Estate, at Cost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478,307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499,367</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443,593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477,054</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35,080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pPr>
            <w:r>
              <w:rPr/>
              <w:t>—</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13,044</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49,292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60,432</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21,233</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564,560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573,431</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4,411</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Rent and Deferred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1,479</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5,050</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275,677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267,116</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288,947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278,056</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275,613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295,375</w:t>
            </w:r>
          </w:p>
        </w:tc>
      </w:tr>
    </w:tbl>
    <w:p>
      <w:pPr>
        <w:pStyle w:val="TextBody"/>
        <w:bidi w:val="0"/>
        <w:spacing w:before="0" w:after="240"/>
        <w:ind w:left="0" w:right="0" w:firstLine="360"/>
        <w:jc w:val="both"/>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lineRule="auto" w:line="273" w:before="120" w:after="4"/>
        <w:ind w:left="0" w:right="0" w:firstLine="360"/>
        <w:jc w:val="both"/>
        <w:rPr>
          <w:rFonts w:ascii="Times New Roman;Times;serif" w:hAnsi="Times New Roman;Times;serif"/>
          <w:sz w:val="20"/>
        </w:rPr>
      </w:pPr>
      <w:r>
        <w:rPr>
          <w:rFonts w:ascii="Times New Roman;Times;serif" w:hAnsi="Times New Roman;Times;serif"/>
          <w:sz w:val="20"/>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pStyle w:val="TextBody"/>
        <w:bidi w:val="0"/>
        <w:spacing w:lineRule="auto" w:line="273" w:before="4" w:after="4"/>
        <w:ind w:left="0" w:right="0" w:firstLine="360"/>
        <w:jc w:val="both"/>
        <w:rPr/>
      </w:pPr>
      <w:r>
        <w:rPr/>
        <w:t>​</w:t>
      </w:r>
    </w:p>
    <w:p>
      <w:pPr>
        <w:pStyle w:val="TextBody"/>
        <w:bidi w:val="0"/>
        <w:spacing w:lineRule="auto" w:line="273" w:before="4" w:after="4"/>
        <w:ind w:left="0" w:right="0" w:firstLine="360"/>
        <w:jc w:val="both"/>
        <w:rPr>
          <w:rFonts w:ascii="Times New Roman;Times;serif" w:hAnsi="Times New Roman;Times;serif"/>
          <w:sz w:val="20"/>
        </w:rPr>
      </w:pPr>
      <w:r>
        <w:rPr>
          <w:rFonts w:ascii="Times New Roman;Times;serif" w:hAnsi="Times New Roman;Times;serif"/>
          <w:sz w:val="20"/>
        </w:rPr>
        <w:t>FFO and AFFO do not represent cash generated from operating activities and are not necessarily indicative of cash available to fund cash requirements; accordingly, they should not be considered alternatives to net income as a performance measure or cash flows from operations as reported on our statement of cash flows as a liquidity measure and should be considered in addition to, and not in lieu of, GAAP financial measures.</w:t>
      </w:r>
    </w:p>
    <w:p>
      <w:pPr>
        <w:pStyle w:val="TextBody"/>
        <w:bidi w:val="0"/>
        <w:spacing w:lineRule="auto" w:line="273" w:before="4" w:after="4"/>
        <w:ind w:left="0" w:right="0" w:firstLine="360"/>
        <w:jc w:val="both"/>
        <w:rPr/>
      </w:pPr>
      <w:r>
        <w:rPr/>
        <w:t>​</w:t>
      </w:r>
    </w:p>
    <w:p>
      <w:pPr>
        <w:pStyle w:val="TextBody"/>
        <w:bidi w:val="0"/>
        <w:spacing w:lineRule="auto" w:line="273" w:before="0" w:after="0"/>
        <w:ind w:left="0" w:right="0" w:firstLine="360"/>
        <w:jc w:val="both"/>
        <w:rPr>
          <w:rFonts w:ascii="Times New Roman;Times;serif" w:hAnsi="Times New Roman;Times;serif"/>
          <w:sz w:val="20"/>
        </w:rPr>
      </w:pPr>
      <w:r>
        <w:rPr>
          <w:rFonts w:ascii="Times New Roman;Times;serif" w:hAnsi="Times New Roman;Times;serif"/>
          <w:sz w:val="20"/>
        </w:rPr>
        <w:t>We compute FFO in accordance with the definition adopted by the Board of Governors of the National Association of Real Estate Investment Trusts, or NAREIT. 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To derive AFFO, we further modify the NAREIT computation of FFO to include other adjustments to GAAP net income related to non-cash revenues and expenses such as loss on extinguishment of debt, amortization of above- and below-market lease related intangibles, straight-line rental revenue, amortization of deferred financing costs, non-cash compensation, and other non-cash income or expense. Such items may cause short-term fluctuations in net income but have no impact on operating cash flows or long-term operating performance. We use AFFO as one measure of our performance when we formulate corporate goals.</w:t>
      </w:r>
    </w:p>
    <w:p>
      <w:pPr>
        <w:pStyle w:val="TextBody"/>
        <w:bidi w:val="0"/>
        <w:spacing w:lineRule="auto" w:line="273"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val="false"/>
          <w:sz w:val="20"/>
        </w:rPr>
      </w:pPr>
      <w:r>
        <w:rPr>
          <w:rFonts w:ascii="Times New Roman;Times;serif" w:hAnsi="Times New Roman;Times;serif"/>
          <w:b w:val="false"/>
          <w:sz w:val="20"/>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Reconciliation of Non-GAAP Measures (in thousands, except share data):</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855"/>
        <w:gridCol w:w="109"/>
        <w:gridCol w:w="279"/>
        <w:gridCol w:w="1377"/>
        <w:gridCol w:w="109"/>
        <w:gridCol w:w="279"/>
        <w:gridCol w:w="1377"/>
        <w:gridCol w:w="109"/>
        <w:gridCol w:w="266"/>
        <w:gridCol w:w="1445"/>
      </w:tblGrid>
      <w:tr>
        <w:trPr/>
        <w:tc>
          <w:tcPr>
            <w:tcW w:w="48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77165" cy="175260"/>
                      <wp:effectExtent l="0" t="0" r="0" b="0"/>
                      <wp:wrapNone/>
                      <wp:docPr id="46" name="Frame46"/>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874395" cy="175260"/>
                      <wp:effectExtent l="0" t="0" r="0" b="0"/>
                      <wp:wrapNone/>
                      <wp:docPr id="47" name="Frame47"/>
                      <a:graphic xmlns:a="http://schemas.openxmlformats.org/drawingml/2006/main">
                        <a:graphicData uri="http://schemas.microsoft.com/office/word/2010/wordprocessingShape">
                          <wps:wsp>
                            <wps:cNvSpPr txBox="1"/>
                            <wps:spPr>
                              <a:xfrm>
                                <a:off x="0" y="0"/>
                                <a:ext cx="874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77165" cy="175260"/>
                      <wp:effectExtent l="0" t="0" r="0" b="0"/>
                      <wp:wrapNone/>
                      <wp:docPr id="49" name="Frame49"/>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874395" cy="175260"/>
                      <wp:effectExtent l="0" t="0" r="0" b="0"/>
                      <wp:wrapNone/>
                      <wp:docPr id="50" name="Frame50"/>
                      <a:graphic xmlns:a="http://schemas.openxmlformats.org/drawingml/2006/main">
                        <a:graphicData uri="http://schemas.microsoft.com/office/word/2010/wordprocessingShape">
                          <wps:wsp>
                            <wps:cNvSpPr txBox="1"/>
                            <wps:spPr>
                              <a:xfrm>
                                <a:off x="0" y="0"/>
                                <a:ext cx="874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215" cy="175260"/>
                      <wp:effectExtent l="0" t="0" r="0" b="0"/>
                      <wp:wrapNone/>
                      <wp:docPr id="51"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68910" cy="175260"/>
                      <wp:effectExtent l="0" t="0" r="0" b="0"/>
                      <wp:wrapNone/>
                      <wp:docPr id="52" name="Frame5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917575" cy="175260"/>
                      <wp:effectExtent l="0" t="0" r="0" b="0"/>
                      <wp:wrapNone/>
                      <wp:docPr id="53" name="Frame53"/>
                      <a:graphic xmlns:a="http://schemas.openxmlformats.org/drawingml/2006/main">
                        <a:graphicData uri="http://schemas.microsoft.com/office/word/2010/wordprocessingShape">
                          <wps:wsp>
                            <wps:cNvSpPr txBox="1"/>
                            <wps:spPr>
                              <a:xfrm>
                                <a:off x="0" y="0"/>
                                <a:ext cx="917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24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85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6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1"/>
              <w:ind w:left="0" w:right="0" w:hanging="0"/>
              <w:jc w:val="center"/>
              <w:rPr/>
            </w:pPr>
            <w:r>
              <w:rPr/>
              <w:t>​</w:t>
            </w:r>
          </w:p>
        </w:tc>
        <w:tc>
          <w:tcPr>
            <w:tcW w:w="16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1"/>
              <w:ind w:left="0" w:right="0" w:hanging="0"/>
              <w:jc w:val="center"/>
              <w:rPr/>
            </w:pPr>
            <w:r>
              <w:rPr/>
              <w:t>​</w:t>
            </w:r>
          </w:p>
        </w:tc>
        <w:tc>
          <w:tcPr>
            <w:tcW w:w="17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4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3,266</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33,955</w:t>
            </w:r>
          </w:p>
        </w:tc>
        <w:tc>
          <w:tcPr>
            <w:tcW w:w="109"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11,462</w:t>
            </w:r>
          </w:p>
        </w:tc>
      </w:tr>
      <w:tr>
        <w:trPr/>
        <w:tc>
          <w:tcPr>
            <w:tcW w:w="4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3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25,758</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3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23,564</w:t>
            </w:r>
          </w:p>
        </w:tc>
        <w:tc>
          <w:tcPr>
            <w:tcW w:w="109"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14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15,939</w:t>
            </w:r>
          </w:p>
        </w:tc>
      </w:tr>
      <w:tr>
        <w:trPr/>
        <w:tc>
          <w:tcPr>
            <w:tcW w:w="4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3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3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445" w:type="dxa"/>
            <w:tcBorders/>
            <w:shd w:fill="CCEEFF" w:val="clear"/>
            <w:vAlign w:val="center"/>
          </w:tcPr>
          <w:p>
            <w:pPr>
              <w:pStyle w:val="TableContents"/>
              <w:bidi w:val="0"/>
              <w:spacing w:before="0" w:after="1"/>
              <w:ind w:left="0" w:right="0" w:hanging="0"/>
              <w:jc w:val="right"/>
              <w:rPr/>
            </w:pPr>
            <w:r>
              <w:rPr/>
              <w:t>—</w:t>
            </w:r>
          </w:p>
        </w:tc>
      </w:tr>
      <w:tr>
        <w:trPr/>
        <w:tc>
          <w:tcPr>
            <w:tcW w:w="4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1"/>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(9,334)</w:t>
            </w:r>
          </w:p>
        </w:tc>
        <w:tc>
          <w:tcPr>
            <w:tcW w:w="109" w:type="dxa"/>
            <w:tcBorders/>
            <w:vAlign w:val="center"/>
          </w:tcPr>
          <w:p>
            <w:pPr>
              <w:pStyle w:val="TableContents"/>
              <w:bidi w:val="0"/>
              <w:spacing w:before="0" w:after="1"/>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(33,801)</w:t>
            </w:r>
          </w:p>
        </w:tc>
        <w:tc>
          <w:tcPr>
            <w:tcW w:w="109"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(9,675)</w:t>
            </w:r>
          </w:p>
        </w:tc>
      </w:tr>
      <w:tr>
        <w:trPr/>
        <w:tc>
          <w:tcPr>
            <w:tcW w:w="4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Funds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22,910</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23,718</w:t>
            </w:r>
          </w:p>
        </w:tc>
        <w:tc>
          <w:tcPr>
            <w:tcW w:w="109"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17,726</w:t>
            </w:r>
          </w:p>
        </w:tc>
      </w:tr>
      <w:tr>
        <w:trPr/>
        <w:tc>
          <w:tcPr>
            <w:tcW w:w="4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3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3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1445" w:type="dxa"/>
            <w:tcBorders/>
            <w:vAlign w:val="center"/>
          </w:tcPr>
          <w:p>
            <w:pPr>
              <w:pStyle w:val="TableContents"/>
              <w:bidi w:val="0"/>
              <w:spacing w:before="0" w:after="1"/>
              <w:ind w:left="0" w:right="0" w:hanging="0"/>
              <w:jc w:val="right"/>
              <w:rPr/>
            </w:pPr>
            <w:r>
              <w:rPr/>
              <w:t>​</w:t>
            </w:r>
          </w:p>
        </w:tc>
      </w:tr>
      <w:tr>
        <w:trPr/>
        <w:tc>
          <w:tcPr>
            <w:tcW w:w="4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(Gain) on Extinguishment of Debt</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3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3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w:t>
            </w:r>
          </w:p>
        </w:tc>
        <w:tc>
          <w:tcPr>
            <w:tcW w:w="109"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445" w:type="dxa"/>
            <w:tcBorders/>
            <w:shd w:fill="CCEEFF" w:val="clear"/>
            <w:vAlign w:val="center"/>
          </w:tcPr>
          <w:p>
            <w:pPr>
              <w:pStyle w:val="TableContents"/>
              <w:bidi w:val="0"/>
              <w:spacing w:before="0" w:after="1"/>
              <w:ind w:left="0" w:right="0" w:hanging="0"/>
              <w:jc w:val="right"/>
              <w:rPr/>
            </w:pPr>
            <w:r>
              <w:rPr/>
              <w:t>—</w:t>
            </w:r>
          </w:p>
        </w:tc>
      </w:tr>
      <w:tr>
        <w:trPr/>
        <w:tc>
          <w:tcPr>
            <w:tcW w:w="4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 and Liabilities to Lease Income</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3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3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c>
          <w:tcPr>
            <w:tcW w:w="109"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14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4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3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3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(935)</w:t>
            </w:r>
          </w:p>
        </w:tc>
        <w:tc>
          <w:tcPr>
            <w:tcW w:w="109"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4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w:t>
            </w:r>
          </w:p>
        </w:tc>
      </w:tr>
      <w:tr>
        <w:trPr/>
        <w:tc>
          <w:tcPr>
            <w:tcW w:w="4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COVID-19 Rent Repayments</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3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3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109"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14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r>
      <w:tr>
        <w:trPr/>
        <w:tc>
          <w:tcPr>
            <w:tcW w:w="4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3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3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w:t>
            </w:r>
          </w:p>
        </w:tc>
        <w:tc>
          <w:tcPr>
            <w:tcW w:w="109"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4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w:t>
            </w:r>
          </w:p>
        </w:tc>
      </w:tr>
      <w:tr>
        <w:trPr/>
        <w:tc>
          <w:tcPr>
            <w:tcW w:w="4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to Interest Expense</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3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3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w:t>
            </w:r>
          </w:p>
        </w:tc>
        <w:tc>
          <w:tcPr>
            <w:tcW w:w="109"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14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r>
      <w:tr>
        <w:trPr/>
        <w:tc>
          <w:tcPr>
            <w:tcW w:w="4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Non-Cash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3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3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4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Recurring Capital Expenditures</w:t>
            </w:r>
          </w:p>
        </w:tc>
        <w:tc>
          <w:tcPr>
            <w:tcW w:w="109" w:type="dxa"/>
            <w:tcBorders/>
            <w:vAlign w:val="center"/>
          </w:tcPr>
          <w:p>
            <w:pPr>
              <w:pStyle w:val="TableContents"/>
              <w:bidi w:val="0"/>
              <w:spacing w:before="0" w:after="1"/>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4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Funds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23,211</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24,236</w:t>
            </w:r>
          </w:p>
        </w:tc>
        <w:tc>
          <w:tcPr>
            <w:tcW w:w="109"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17,904</w:t>
            </w:r>
          </w:p>
        </w:tc>
      </w:tr>
      <w:tr>
        <w:trPr/>
        <w:tc>
          <w:tcPr>
            <w:tcW w:w="48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right"/>
              <w:rPr/>
            </w:pPr>
            <w:r>
              <w:rPr/>
              <w:t>​</w:t>
            </w:r>
          </w:p>
        </w:tc>
        <w:tc>
          <w:tcPr>
            <w:tcW w:w="13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right"/>
              <w:rPr/>
            </w:pPr>
            <w:r>
              <w:rPr/>
              <w:t>​</w:t>
            </w:r>
          </w:p>
        </w:tc>
        <w:tc>
          <w:tcPr>
            <w:tcW w:w="13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right"/>
              <w:rPr/>
            </w:pPr>
            <w:r>
              <w:rPr/>
              <w:t>​</w:t>
            </w:r>
          </w:p>
        </w:tc>
        <w:tc>
          <w:tcPr>
            <w:tcW w:w="1445" w:type="dxa"/>
            <w:tcBorders/>
            <w:vAlign w:val="center"/>
          </w:tcPr>
          <w:p>
            <w:pPr>
              <w:pStyle w:val="TableContents"/>
              <w:bidi w:val="0"/>
              <w:spacing w:before="0" w:after="1"/>
              <w:ind w:left="0" w:right="0" w:hanging="0"/>
              <w:jc w:val="left"/>
              <w:rPr/>
            </w:pPr>
            <w:r>
              <w:rPr/>
              <w:t>​</w:t>
            </w:r>
          </w:p>
        </w:tc>
      </w:tr>
      <w:tr>
        <w:trPr/>
        <w:tc>
          <w:tcPr>
            <w:tcW w:w="4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right"/>
              <w:rPr/>
            </w:pPr>
            <w:r>
              <w:rPr/>
              <w:t>​</w:t>
            </w:r>
          </w:p>
        </w:tc>
        <w:tc>
          <w:tcPr>
            <w:tcW w:w="137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right"/>
              <w:rPr/>
            </w:pPr>
            <w:r>
              <w:rPr/>
              <w:t>​</w:t>
            </w:r>
          </w:p>
        </w:tc>
        <w:tc>
          <w:tcPr>
            <w:tcW w:w="137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1445" w:type="dxa"/>
            <w:tcBorders/>
            <w:shd w:fill="CCEEFF" w:val="clear"/>
            <w:vAlign w:val="center"/>
          </w:tcPr>
          <w:p>
            <w:pPr>
              <w:pStyle w:val="TableContents"/>
              <w:bidi w:val="0"/>
              <w:spacing w:before="0" w:after="1"/>
              <w:ind w:left="0" w:right="0" w:hanging="0"/>
              <w:jc w:val="left"/>
              <w:rPr/>
            </w:pPr>
            <w:r>
              <w:rPr/>
              <w:t>​</w:t>
            </w:r>
          </w:p>
        </w:tc>
      </w:tr>
      <w:tr>
        <w:trPr/>
        <w:tc>
          <w:tcPr>
            <w:tcW w:w="4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right"/>
              <w:rPr/>
            </w:pPr>
            <w:r>
              <w:rPr/>
              <w:t>​</w:t>
            </w:r>
          </w:p>
        </w:tc>
        <w:tc>
          <w:tcPr>
            <w:tcW w:w="13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13,925,362</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right"/>
              <w:rPr/>
            </w:pPr>
            <w:r>
              <w:rPr/>
              <w:t>​</w:t>
            </w:r>
          </w:p>
        </w:tc>
        <w:tc>
          <w:tcPr>
            <w:tcW w:w="13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11,976,001</w:t>
            </w:r>
          </w:p>
        </w:tc>
        <w:tc>
          <w:tcPr>
            <w:tcW w:w="109"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right"/>
              <w:rPr/>
            </w:pPr>
            <w:r>
              <w:rPr/>
              <w:t>​</w:t>
            </w:r>
          </w:p>
        </w:tc>
        <w:tc>
          <w:tcPr>
            <w:tcW w:w="14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9,781,066</w:t>
            </w:r>
          </w:p>
        </w:tc>
      </w:tr>
      <w:tr>
        <w:trPr/>
        <w:tc>
          <w:tcPr>
            <w:tcW w:w="4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right"/>
              <w:rPr/>
            </w:pPr>
            <w:r>
              <w:rPr/>
              <w:t>​</w:t>
            </w:r>
          </w:p>
        </w:tc>
        <w:tc>
          <w:tcPr>
            <w:tcW w:w="13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15,560,524</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right"/>
              <w:rPr/>
            </w:pPr>
            <w:r>
              <w:rPr/>
              <w:t>​</w:t>
            </w:r>
          </w:p>
        </w:tc>
        <w:tc>
          <w:tcPr>
            <w:tcW w:w="13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13,679,495</w:t>
            </w:r>
          </w:p>
        </w:tc>
        <w:tc>
          <w:tcPr>
            <w:tcW w:w="109"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1445"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11,246,227</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Other Data (in thousands, except per share data):</w:t>
      </w:r>
    </w:p>
    <w:tbl>
      <w:tblPr>
        <w:tblW w:w="7603" w:type="dxa"/>
        <w:jc w:val="left"/>
        <w:tblInd w:w="0" w:type="dxa"/>
        <w:tblLayout w:type="fixed"/>
        <w:tblCellMar>
          <w:top w:w="0" w:type="dxa"/>
          <w:left w:w="0" w:type="dxa"/>
          <w:bottom w:w="0" w:type="dxa"/>
          <w:right w:w="0" w:type="dxa"/>
        </w:tblCellMar>
      </w:tblPr>
      <w:tblGrid>
        <w:gridCol w:w="2056"/>
        <w:gridCol w:w="109"/>
        <w:gridCol w:w="409"/>
        <w:gridCol w:w="1316"/>
        <w:gridCol w:w="109"/>
        <w:gridCol w:w="409"/>
        <w:gridCol w:w="1316"/>
        <w:gridCol w:w="109"/>
        <w:gridCol w:w="399"/>
        <w:gridCol w:w="1371"/>
      </w:tblGrid>
      <w:tr>
        <w:trPr/>
        <w:tc>
          <w:tcPr>
            <w:tcW w:w="20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4"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59715" cy="175260"/>
                      <wp:effectExtent l="0" t="0" r="0" b="0"/>
                      <wp:wrapNone/>
                      <wp:docPr id="55" name="Frame55"/>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835660" cy="175260"/>
                      <wp:effectExtent l="0" t="0" r="0" b="0"/>
                      <wp:wrapNone/>
                      <wp:docPr id="56" name="Frame56"/>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7"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59715" cy="175260"/>
                      <wp:effectExtent l="0" t="0" r="0" b="0"/>
                      <wp:wrapNone/>
                      <wp:docPr id="58" name="Frame58"/>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835660" cy="175260"/>
                      <wp:effectExtent l="0" t="0" r="0" b="0"/>
                      <wp:wrapNone/>
                      <wp:docPr id="59" name="Frame59"/>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53365" cy="175260"/>
                      <wp:effectExtent l="0" t="0" r="0" b="0"/>
                      <wp:wrapNone/>
                      <wp:docPr id="61" name="Frame61"/>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870585" cy="175260"/>
                      <wp:effectExtent l="0" t="0" r="0" b="0"/>
                      <wp:wrapNone/>
                      <wp:docPr id="62" name="Frame62"/>
                      <a:graphic xmlns:a="http://schemas.openxmlformats.org/drawingml/2006/main">
                        <a:graphicData uri="http://schemas.microsoft.com/office/word/2010/wordprocessingShape">
                          <wps:wsp>
                            <wps:cNvSpPr txBox="1"/>
                            <wps:spPr>
                              <a:xfrm>
                                <a:off x="0" y="0"/>
                                <a:ext cx="870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54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20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22,910</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23,718</w:t>
            </w:r>
          </w:p>
        </w:tc>
        <w:tc>
          <w:tcPr>
            <w:tcW w:w="109"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17,726</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per Diluted Share</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109"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20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23,211</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24,236</w:t>
            </w:r>
          </w:p>
        </w:tc>
        <w:tc>
          <w:tcPr>
            <w:tcW w:w="109"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17,904</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109"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1.59</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COMPARISON OF THE YEARS ENDED DECEMBER 31, 2023 AND 2022</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presents the Company’s results of operations for the year ended December 31, 2023, as compared to the year ended December 31, 2022 (in thousands):  </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316"/>
        <w:gridCol w:w="109"/>
        <w:gridCol w:w="360"/>
        <w:gridCol w:w="1262"/>
        <w:gridCol w:w="109"/>
        <w:gridCol w:w="384"/>
        <w:gridCol w:w="1238"/>
        <w:gridCol w:w="109"/>
        <w:gridCol w:w="230"/>
        <w:gridCol w:w="806"/>
        <w:gridCol w:w="109"/>
        <w:gridCol w:w="1173"/>
      </w:tblGrid>
      <w:tr>
        <w:trPr/>
        <w:tc>
          <w:tcPr>
            <w:tcW w:w="4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3"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28600" cy="175260"/>
                      <wp:effectExtent l="0" t="0" r="0" b="0"/>
                      <wp:wrapNone/>
                      <wp:docPr id="64" name="Frame6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801370" cy="175260"/>
                      <wp:effectExtent l="0" t="0" r="0" b="0"/>
                      <wp:wrapNone/>
                      <wp:docPr id="65" name="Frame65"/>
                      <a:graphic xmlns:a="http://schemas.openxmlformats.org/drawingml/2006/main">
                        <a:graphicData uri="http://schemas.microsoft.com/office/word/2010/wordprocessingShape">
                          <wps:wsp>
                            <wps:cNvSpPr txBox="1"/>
                            <wps:spPr>
                              <a:xfrm>
                                <a:off x="0" y="0"/>
                                <a:ext cx="801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43840" cy="175260"/>
                      <wp:effectExtent l="0" t="0" r="0" b="0"/>
                      <wp:wrapNone/>
                      <wp:docPr id="67" name="Frame67"/>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86130" cy="175260"/>
                      <wp:effectExtent l="0" t="0" r="0" b="0"/>
                      <wp:wrapNone/>
                      <wp:docPr id="68" name="Frame68"/>
                      <a:graphic xmlns:a="http://schemas.openxmlformats.org/drawingml/2006/main">
                        <a:graphicData uri="http://schemas.microsoft.com/office/word/2010/wordprocessingShape">
                          <wps:wsp>
                            <wps:cNvSpPr txBox="1"/>
                            <wps:spPr>
                              <a:xfrm>
                                <a:off x="0" y="0"/>
                                <a:ext cx="786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46050" cy="175260"/>
                      <wp:effectExtent l="0" t="0" r="0" b="0"/>
                      <wp:wrapNone/>
                      <wp:docPr id="70" name="Frame7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11810" cy="175260"/>
                      <wp:effectExtent l="0" t="0" r="0" b="0"/>
                      <wp:wrapNone/>
                      <wp:docPr id="71" name="Frame71"/>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744855" cy="175260"/>
                      <wp:effectExtent l="0" t="0" r="0" b="0"/>
                      <wp:wrapNone/>
                      <wp:docPr id="73" name="Frame73"/>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3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w:t>
            </w:r>
          </w:p>
        </w:tc>
        <w:tc>
          <w:tcPr>
            <w:tcW w:w="109"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left"/>
              <w:rPr/>
            </w:pPr>
            <w:r>
              <w:rPr/>
              <w:t>​</w:t>
            </w:r>
          </w:p>
        </w:tc>
      </w:tr>
      <w:tr>
        <w:trPr/>
        <w:tc>
          <w:tcPr>
            <w:tcW w:w="4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1"/>
              <w:ind w:left="0" w:right="0" w:hanging="0"/>
              <w:jc w:val="center"/>
              <w:rPr/>
            </w:pPr>
            <w:r>
              <w:rPr/>
              <w:t>​</w:t>
            </w:r>
          </w:p>
        </w:tc>
        <w:tc>
          <w:tcPr>
            <w:tcW w:w="16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1"/>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1"/>
              <w:ind w:left="0" w:right="0" w:hanging="0"/>
              <w:jc w:val="center"/>
              <w:rPr/>
            </w:pPr>
            <w:r>
              <w:rPr/>
              <w:t>​</w:t>
            </w:r>
          </w:p>
        </w:tc>
        <w:tc>
          <w:tcPr>
            <w:tcW w:w="11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1"/>
              <w:ind w:left="0" w:right="0" w:hanging="0"/>
              <w:jc w:val="center"/>
              <w:rPr/>
            </w:pPr>
            <w:r>
              <w:rPr/>
              <w:t>​</w:t>
            </w:r>
          </w:p>
        </w:tc>
        <w:tc>
          <w:tcPr>
            <w:tcW w:w="360" w:type="dxa"/>
            <w:tcBorders/>
            <w:shd w:fill="CCEEFF" w:val="clear"/>
            <w:vAlign w:val="center"/>
          </w:tcPr>
          <w:p>
            <w:pPr>
              <w:pStyle w:val="TableContents"/>
              <w:bidi w:val="0"/>
              <w:spacing w:before="0" w:after="1"/>
              <w:ind w:left="0" w:right="0" w:hanging="0"/>
              <w:jc w:val="center"/>
              <w:rPr/>
            </w:pPr>
            <w:r>
              <w:rPr/>
              <w:t>​</w:t>
            </w:r>
          </w:p>
        </w:tc>
        <w:tc>
          <w:tcPr>
            <w:tcW w:w="1262"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84" w:type="dxa"/>
            <w:tcBorders/>
            <w:shd w:fill="CCEEFF" w:val="clear"/>
            <w:vAlign w:val="center"/>
          </w:tcPr>
          <w:p>
            <w:pPr>
              <w:pStyle w:val="TableContents"/>
              <w:bidi w:val="0"/>
              <w:spacing w:before="0" w:after="1"/>
              <w:ind w:left="0" w:right="0" w:hanging="0"/>
              <w:jc w:val="center"/>
              <w:rPr/>
            </w:pPr>
            <w:r>
              <w:rPr/>
              <w:t>​</w:t>
            </w:r>
          </w:p>
        </w:tc>
        <w:tc>
          <w:tcPr>
            <w:tcW w:w="1238"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80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left"/>
              <w:rPr/>
            </w:pPr>
            <w:r>
              <w:rPr/>
              <w:t>​</w:t>
            </w:r>
          </w:p>
        </w:tc>
      </w:tr>
      <w:tr>
        <w:trPr/>
        <w:tc>
          <w:tcPr>
            <w:tcW w:w="4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vAlign w:val="center"/>
          </w:tcPr>
          <w:p>
            <w:pPr>
              <w:pStyle w:val="TableContents"/>
              <w:bidi w:val="0"/>
              <w:spacing w:before="0" w:after="1"/>
              <w:ind w:left="0" w:right="0" w:hanging="0"/>
              <w:jc w:val="center"/>
              <w:rPr/>
            </w:pPr>
            <w:r>
              <w:rPr/>
              <w:t>​</w:t>
            </w:r>
          </w:p>
        </w:tc>
        <w:tc>
          <w:tcPr>
            <w:tcW w:w="3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44,967</w:t>
            </w:r>
          </w:p>
        </w:tc>
        <w:tc>
          <w:tcPr>
            <w:tcW w:w="109" w:type="dxa"/>
            <w:tcBorders/>
            <w:vAlign w:val="center"/>
          </w:tcPr>
          <w:p>
            <w:pPr>
              <w:pStyle w:val="TableContents"/>
              <w:bidi w:val="0"/>
              <w:spacing w:before="0" w:after="1"/>
              <w:ind w:left="0" w:right="0" w:hanging="0"/>
              <w:jc w:val="left"/>
              <w:rPr/>
            </w:pPr>
            <w:r>
              <w:rPr/>
              <w:t>​</w:t>
            </w:r>
          </w:p>
        </w:tc>
        <w:tc>
          <w:tcPr>
            <w:tcW w:w="3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45,191</w:t>
            </w:r>
          </w:p>
        </w:tc>
        <w:tc>
          <w:tcPr>
            <w:tcW w:w="109"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109"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shd w:fill="CCEEFF" w:val="clear"/>
            <w:vAlign w:val="center"/>
          </w:tcPr>
          <w:p>
            <w:pPr>
              <w:pStyle w:val="TableContents"/>
              <w:bidi w:val="0"/>
              <w:spacing w:before="0" w:after="1"/>
              <w:ind w:left="0" w:right="0" w:hanging="0"/>
              <w:jc w:val="center"/>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109" w:type="dxa"/>
            <w:tcBorders/>
            <w:shd w:fill="CCEEFF" w:val="clear"/>
            <w:vAlign w:val="center"/>
          </w:tcPr>
          <w:p>
            <w:pPr>
              <w:pStyle w:val="TableContents"/>
              <w:bidi w:val="0"/>
              <w:spacing w:before="0" w:after="1"/>
              <w:ind w:left="0" w:right="0" w:hanging="0"/>
              <w:jc w:val="left"/>
              <w:rPr/>
            </w:pPr>
            <w:r>
              <w:rPr/>
              <w:t>​</w:t>
            </w:r>
          </w:p>
        </w:tc>
        <w:tc>
          <w:tcPr>
            <w:tcW w:w="384" w:type="dxa"/>
            <w:tcBorders/>
            <w:shd w:fill="CCEEFF" w:val="clear"/>
            <w:vAlign w:val="center"/>
          </w:tcPr>
          <w:p>
            <w:pPr>
              <w:pStyle w:val="TableContents"/>
              <w:bidi w:val="0"/>
              <w:spacing w:before="0" w:after="1"/>
              <w:ind w:left="0" w:right="0" w:hanging="0"/>
              <w:jc w:val="left"/>
              <w:rPr/>
            </w:pPr>
            <w:r>
              <w:rPr/>
              <w:t>​</w:t>
            </w:r>
          </w:p>
        </w:tc>
        <w:tc>
          <w:tcPr>
            <w:tcW w:w="123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1"/>
              <w:ind w:left="0" w:right="0" w:hanging="0"/>
              <w:jc w:val="center"/>
              <w:rPr/>
            </w:pPr>
            <w:r>
              <w:rPr/>
              <w:t>​</w:t>
            </w:r>
          </w:p>
        </w:tc>
        <w:tc>
          <w:tcPr>
            <w:tcW w:w="3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1"/>
              <w:ind w:left="0" w:right="0" w:hanging="0"/>
              <w:jc w:val="left"/>
              <w:rPr/>
            </w:pPr>
            <w:r>
              <w:rPr/>
              <w:t>​</w:t>
            </w:r>
          </w:p>
        </w:tc>
        <w:tc>
          <w:tcPr>
            <w:tcW w:w="3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1"/>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45,644</w:t>
            </w:r>
          </w:p>
        </w:tc>
        <w:tc>
          <w:tcPr>
            <w:tcW w:w="109" w:type="dxa"/>
            <w:tcBorders/>
            <w:shd w:fill="CCEEFF" w:val="clear"/>
            <w:vAlign w:val="center"/>
          </w:tcPr>
          <w:p>
            <w:pPr>
              <w:pStyle w:val="TableContents"/>
              <w:bidi w:val="0"/>
              <w:spacing w:before="0" w:after="1"/>
              <w:ind w:left="0" w:right="0" w:hanging="0"/>
              <w:jc w:val="left"/>
              <w:rPr/>
            </w:pPr>
            <w:r>
              <w:rPr/>
              <w:t>​</w:t>
            </w:r>
          </w:p>
        </w:tc>
        <w:tc>
          <w:tcPr>
            <w:tcW w:w="3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45,191</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26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84" w:type="dxa"/>
            <w:tcBorders/>
            <w:vAlign w:val="center"/>
          </w:tcPr>
          <w:p>
            <w:pPr>
              <w:pStyle w:val="TableContents"/>
              <w:bidi w:val="0"/>
              <w:spacing w:before="0" w:after="1"/>
              <w:ind w:left="0" w:right="0" w:hanging="0"/>
              <w:jc w:val="left"/>
              <w:rPr/>
            </w:pPr>
            <w:r>
              <w:rPr/>
              <w:t>​</w:t>
            </w:r>
          </w:p>
        </w:tc>
        <w:tc>
          <w:tcPr>
            <w:tcW w:w="123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left"/>
              <w:rPr/>
            </w:pPr>
            <w:r>
              <w:rPr/>
              <w:t>​</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6,580</w:t>
            </w:r>
          </w:p>
        </w:tc>
        <w:tc>
          <w:tcPr>
            <w:tcW w:w="109" w:type="dxa"/>
            <w:tcBorders/>
            <w:shd w:fill="CCEEFF" w:val="clear"/>
            <w:vAlign w:val="center"/>
          </w:tcPr>
          <w:p>
            <w:pPr>
              <w:pStyle w:val="TableContents"/>
              <w:bidi w:val="0"/>
              <w:spacing w:before="0" w:after="1"/>
              <w:ind w:left="0" w:right="0" w:hanging="0"/>
              <w:jc w:val="left"/>
              <w:rPr/>
            </w:pPr>
            <w:r>
              <w:rPr/>
              <w:t>​</w:t>
            </w:r>
          </w:p>
        </w:tc>
        <w:tc>
          <w:tcPr>
            <w:tcW w:w="384" w:type="dxa"/>
            <w:tcBorders/>
            <w:shd w:fill="CCEEFF" w:val="clear"/>
            <w:vAlign w:val="center"/>
          </w:tcPr>
          <w:p>
            <w:pPr>
              <w:pStyle w:val="TableContents"/>
              <w:bidi w:val="0"/>
              <w:spacing w:before="0" w:after="1"/>
              <w:ind w:left="0" w:right="0" w:hanging="0"/>
              <w:jc w:val="left"/>
              <w:rPr/>
            </w:pPr>
            <w:r>
              <w:rPr/>
              <w:t>​</w:t>
            </w:r>
          </w:p>
        </w:tc>
        <w:tc>
          <w:tcPr>
            <w:tcW w:w="12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5,435</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4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2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6,301</w:t>
            </w:r>
          </w:p>
        </w:tc>
        <w:tc>
          <w:tcPr>
            <w:tcW w:w="109" w:type="dxa"/>
            <w:tcBorders/>
            <w:vAlign w:val="center"/>
          </w:tcPr>
          <w:p>
            <w:pPr>
              <w:pStyle w:val="TableContents"/>
              <w:bidi w:val="0"/>
              <w:spacing w:before="0" w:after="1"/>
              <w:ind w:left="0" w:right="0" w:hanging="0"/>
              <w:jc w:val="left"/>
              <w:rPr/>
            </w:pPr>
            <w:r>
              <w:rPr/>
              <w:t>​</w:t>
            </w:r>
          </w:p>
        </w:tc>
        <w:tc>
          <w:tcPr>
            <w:tcW w:w="384" w:type="dxa"/>
            <w:tcBorders/>
            <w:vAlign w:val="center"/>
          </w:tcPr>
          <w:p>
            <w:pPr>
              <w:pStyle w:val="TableContents"/>
              <w:bidi w:val="0"/>
              <w:spacing w:before="0" w:after="1"/>
              <w:ind w:left="0" w:right="0" w:hanging="0"/>
              <w:jc w:val="left"/>
              <w:rPr/>
            </w:pPr>
            <w:r>
              <w:rPr/>
              <w:t>​</w:t>
            </w:r>
          </w:p>
        </w:tc>
        <w:tc>
          <w:tcPr>
            <w:tcW w:w="12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5,784</w:t>
            </w:r>
          </w:p>
        </w:tc>
        <w:tc>
          <w:tcPr>
            <w:tcW w:w="109"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w:t>
            </w:r>
          </w:p>
        </w:tc>
        <w:tc>
          <w:tcPr>
            <w:tcW w:w="109"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w:t>
            </w:r>
          </w:p>
        </w:tc>
        <w:tc>
          <w:tcPr>
            <w:tcW w:w="109" w:type="dxa"/>
            <w:tcBorders/>
            <w:shd w:fill="CCEEFF" w:val="clear"/>
            <w:vAlign w:val="center"/>
          </w:tcPr>
          <w:p>
            <w:pPr>
              <w:pStyle w:val="TableContents"/>
              <w:bidi w:val="0"/>
              <w:spacing w:before="0" w:after="1"/>
              <w:ind w:left="0" w:right="0" w:hanging="0"/>
              <w:jc w:val="left"/>
              <w:rPr/>
            </w:pPr>
            <w:r>
              <w:rPr/>
              <w:t>​</w:t>
            </w:r>
          </w:p>
        </w:tc>
        <w:tc>
          <w:tcPr>
            <w:tcW w:w="384" w:type="dxa"/>
            <w:tcBorders/>
            <w:shd w:fill="CCEEFF" w:val="clear"/>
            <w:vAlign w:val="center"/>
          </w:tcPr>
          <w:p>
            <w:pPr>
              <w:pStyle w:val="TableContents"/>
              <w:bidi w:val="0"/>
              <w:spacing w:before="0" w:after="1"/>
              <w:ind w:left="0" w:right="0" w:hanging="0"/>
              <w:jc w:val="left"/>
              <w:rPr/>
            </w:pPr>
            <w:r>
              <w:rPr/>
              <w:t>​</w:t>
            </w:r>
          </w:p>
        </w:tc>
        <w:tc>
          <w:tcPr>
            <w:tcW w:w="123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25,758</w:t>
            </w:r>
          </w:p>
        </w:tc>
        <w:tc>
          <w:tcPr>
            <w:tcW w:w="109" w:type="dxa"/>
            <w:tcBorders/>
            <w:vAlign w:val="center"/>
          </w:tcPr>
          <w:p>
            <w:pPr>
              <w:pStyle w:val="TableContents"/>
              <w:bidi w:val="0"/>
              <w:spacing w:before="0" w:after="1"/>
              <w:ind w:left="0" w:right="0" w:hanging="0"/>
              <w:jc w:val="left"/>
              <w:rPr/>
            </w:pPr>
            <w:r>
              <w:rPr/>
              <w:t>​</w:t>
            </w:r>
          </w:p>
        </w:tc>
        <w:tc>
          <w:tcPr>
            <w:tcW w:w="3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23,564</w:t>
            </w:r>
          </w:p>
        </w:tc>
        <w:tc>
          <w:tcPr>
            <w:tcW w:w="109"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2,194</w:t>
            </w:r>
          </w:p>
        </w:tc>
        <w:tc>
          <w:tcPr>
            <w:tcW w:w="109" w:type="dxa"/>
            <w:tcBorders/>
            <w:vAlign w:val="center"/>
          </w:tcPr>
          <w:p>
            <w:pPr>
              <w:pStyle w:val="TableContents"/>
              <w:bidi w:val="0"/>
              <w:spacing w:before="0" w:after="1"/>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41,859</w:t>
            </w:r>
          </w:p>
        </w:tc>
        <w:tc>
          <w:tcPr>
            <w:tcW w:w="109" w:type="dxa"/>
            <w:tcBorders/>
            <w:shd w:fill="CCEEFF" w:val="clear"/>
            <w:vAlign w:val="center"/>
          </w:tcPr>
          <w:p>
            <w:pPr>
              <w:pStyle w:val="TableContents"/>
              <w:bidi w:val="0"/>
              <w:spacing w:before="0" w:after="1"/>
              <w:ind w:left="0" w:right="0" w:hanging="0"/>
              <w:jc w:val="left"/>
              <w:rPr/>
            </w:pPr>
            <w:r>
              <w:rPr/>
              <w:t>​</w:t>
            </w:r>
          </w:p>
        </w:tc>
        <w:tc>
          <w:tcPr>
            <w:tcW w:w="384" w:type="dxa"/>
            <w:tcBorders/>
            <w:shd w:fill="CCEEFF" w:val="clear"/>
            <w:vAlign w:val="center"/>
          </w:tcPr>
          <w:p>
            <w:pPr>
              <w:pStyle w:val="TableContents"/>
              <w:bidi w:val="0"/>
              <w:spacing w:before="0" w:after="1"/>
              <w:ind w:left="0" w:right="0" w:hanging="0"/>
              <w:jc w:val="left"/>
              <w:rPr/>
            </w:pPr>
            <w:r>
              <w:rPr/>
              <w:t>​</w:t>
            </w:r>
          </w:p>
        </w:tc>
        <w:tc>
          <w:tcPr>
            <w:tcW w:w="12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34,783</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7,076</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4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2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9,334</w:t>
            </w:r>
          </w:p>
        </w:tc>
        <w:tc>
          <w:tcPr>
            <w:tcW w:w="109" w:type="dxa"/>
            <w:tcBorders/>
            <w:vAlign w:val="center"/>
          </w:tcPr>
          <w:p>
            <w:pPr>
              <w:pStyle w:val="TableContents"/>
              <w:bidi w:val="0"/>
              <w:spacing w:before="0" w:after="1"/>
              <w:ind w:left="0" w:right="0" w:hanging="0"/>
              <w:jc w:val="left"/>
              <w:rPr/>
            </w:pPr>
            <w:r>
              <w:rPr/>
              <w:t>​</w:t>
            </w:r>
          </w:p>
        </w:tc>
        <w:tc>
          <w:tcPr>
            <w:tcW w:w="384" w:type="dxa"/>
            <w:tcBorders/>
            <w:vAlign w:val="center"/>
          </w:tcPr>
          <w:p>
            <w:pPr>
              <w:pStyle w:val="TableContents"/>
              <w:bidi w:val="0"/>
              <w:spacing w:before="0" w:after="1"/>
              <w:ind w:left="0" w:right="0" w:hanging="0"/>
              <w:jc w:val="left"/>
              <w:rPr/>
            </w:pPr>
            <w:r>
              <w:rPr/>
              <w:t>​</w:t>
            </w:r>
          </w:p>
        </w:tc>
        <w:tc>
          <w:tcPr>
            <w:tcW w:w="12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33,801</w:t>
            </w:r>
          </w:p>
        </w:tc>
        <w:tc>
          <w:tcPr>
            <w:tcW w:w="109"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(24,467)</w:t>
            </w:r>
          </w:p>
        </w:tc>
        <w:tc>
          <w:tcPr>
            <w:tcW w:w="109"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(Loss) on Extinguishment of Debt</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before="0" w:after="1"/>
              <w:ind w:left="0" w:right="0" w:hanging="0"/>
              <w:jc w:val="left"/>
              <w:rPr/>
            </w:pPr>
            <w:r>
              <w:rPr/>
              <w:t>​</w:t>
            </w:r>
          </w:p>
        </w:tc>
        <w:tc>
          <w:tcPr>
            <w:tcW w:w="3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w:t>
            </w:r>
          </w:p>
        </w:tc>
      </w:tr>
      <w:tr>
        <w:trPr/>
        <w:tc>
          <w:tcPr>
            <w:tcW w:w="4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From Operations</w:t>
            </w:r>
          </w:p>
        </w:tc>
        <w:tc>
          <w:tcPr>
            <w:tcW w:w="109"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2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13,142</w:t>
            </w:r>
          </w:p>
        </w:tc>
        <w:tc>
          <w:tcPr>
            <w:tcW w:w="109" w:type="dxa"/>
            <w:tcBorders/>
            <w:vAlign w:val="center"/>
          </w:tcPr>
          <w:p>
            <w:pPr>
              <w:pStyle w:val="TableContents"/>
              <w:bidi w:val="0"/>
              <w:spacing w:before="0" w:after="1"/>
              <w:ind w:left="0" w:right="0" w:hanging="0"/>
              <w:jc w:val="left"/>
              <w:rPr/>
            </w:pPr>
            <w:r>
              <w:rPr/>
              <w:t>​</w:t>
            </w:r>
          </w:p>
        </w:tc>
        <w:tc>
          <w:tcPr>
            <w:tcW w:w="384" w:type="dxa"/>
            <w:tcBorders/>
            <w:vAlign w:val="center"/>
          </w:tcPr>
          <w:p>
            <w:pPr>
              <w:pStyle w:val="TableContents"/>
              <w:bidi w:val="0"/>
              <w:spacing w:before="0" w:after="1"/>
              <w:ind w:left="0" w:right="0" w:hanging="0"/>
              <w:jc w:val="left"/>
              <w:rPr/>
            </w:pPr>
            <w:r>
              <w:rPr/>
              <w:t>​</w:t>
            </w:r>
          </w:p>
        </w:tc>
        <w:tc>
          <w:tcPr>
            <w:tcW w:w="12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43,482</w:t>
            </w:r>
          </w:p>
        </w:tc>
        <w:tc>
          <w:tcPr>
            <w:tcW w:w="109"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(30,340)</w:t>
            </w:r>
          </w:p>
        </w:tc>
        <w:tc>
          <w:tcPr>
            <w:tcW w:w="109"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109" w:type="dxa"/>
            <w:tcBorders/>
            <w:shd w:fill="CCEEFF" w:val="clear"/>
            <w:vAlign w:val="center"/>
          </w:tcPr>
          <w:p>
            <w:pPr>
              <w:pStyle w:val="TableContents"/>
              <w:bidi w:val="0"/>
              <w:spacing w:before="0" w:after="1"/>
              <w:ind w:left="0" w:right="0" w:hanging="0"/>
              <w:jc w:val="left"/>
              <w:rPr/>
            </w:pPr>
            <w:r>
              <w:rPr/>
              <w:t>​</w:t>
            </w:r>
          </w:p>
        </w:tc>
        <w:tc>
          <w:tcPr>
            <w:tcW w:w="384" w:type="dxa"/>
            <w:tcBorders/>
            <w:shd w:fill="CCEEFF" w:val="clear"/>
            <w:vAlign w:val="center"/>
          </w:tcPr>
          <w:p>
            <w:pPr>
              <w:pStyle w:val="TableContents"/>
              <w:bidi w:val="0"/>
              <w:spacing w:before="0" w:after="1"/>
              <w:ind w:left="0" w:right="0" w:hanging="0"/>
              <w:jc w:val="left"/>
              <w:rPr/>
            </w:pPr>
            <w:r>
              <w:rPr/>
              <w:t>​</w:t>
            </w:r>
          </w:p>
        </w:tc>
        <w:tc>
          <w:tcPr>
            <w:tcW w:w="12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2308.3%</w:t>
            </w:r>
          </w:p>
        </w:tc>
      </w:tr>
      <w:tr>
        <w:trPr/>
        <w:tc>
          <w:tcPr>
            <w:tcW w:w="4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1"/>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(10,165)</w:t>
            </w:r>
          </w:p>
        </w:tc>
        <w:tc>
          <w:tcPr>
            <w:tcW w:w="109" w:type="dxa"/>
            <w:tcBorders/>
            <w:vAlign w:val="center"/>
          </w:tcPr>
          <w:p>
            <w:pPr>
              <w:pStyle w:val="TableContents"/>
              <w:bidi w:val="0"/>
              <w:spacing w:before="0" w:after="1"/>
              <w:ind w:left="0" w:right="0" w:hanging="0"/>
              <w:jc w:val="left"/>
              <w:rPr/>
            </w:pPr>
            <w:r>
              <w:rPr/>
              <w:t>​</w:t>
            </w:r>
          </w:p>
        </w:tc>
        <w:tc>
          <w:tcPr>
            <w:tcW w:w="3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(9,539)</w:t>
            </w:r>
          </w:p>
        </w:tc>
        <w:tc>
          <w:tcPr>
            <w:tcW w:w="109"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109" w:type="dxa"/>
            <w:tcBorders/>
            <w:vAlign w:val="center"/>
          </w:tcPr>
          <w:p>
            <w:pPr>
              <w:pStyle w:val="TableContents"/>
              <w:bidi w:val="0"/>
              <w:spacing w:before="0" w:after="1"/>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3,266</w:t>
            </w:r>
          </w:p>
        </w:tc>
        <w:tc>
          <w:tcPr>
            <w:tcW w:w="109" w:type="dxa"/>
            <w:tcBorders/>
            <w:shd w:fill="CCEEFF" w:val="clear"/>
            <w:vAlign w:val="center"/>
          </w:tcPr>
          <w:p>
            <w:pPr>
              <w:pStyle w:val="TableContents"/>
              <w:bidi w:val="0"/>
              <w:spacing w:before="0" w:after="1"/>
              <w:ind w:left="0" w:right="0" w:hanging="0"/>
              <w:jc w:val="left"/>
              <w:rPr/>
            </w:pPr>
            <w:r>
              <w:rPr/>
              <w:t>​</w:t>
            </w:r>
          </w:p>
        </w:tc>
        <w:tc>
          <w:tcPr>
            <w:tcW w:w="384" w:type="dxa"/>
            <w:tcBorders/>
            <w:shd w:fill="CCEEFF" w:val="clear"/>
            <w:vAlign w:val="center"/>
          </w:tcPr>
          <w:p>
            <w:pPr>
              <w:pStyle w:val="TableContents"/>
              <w:bidi w:val="0"/>
              <w:spacing w:before="0" w:after="1"/>
              <w:ind w:left="0" w:right="0" w:hanging="0"/>
              <w:jc w:val="left"/>
              <w:rPr/>
            </w:pPr>
            <w:r>
              <w:rPr/>
              <w:t>​</w:t>
            </w:r>
          </w:p>
        </w:tc>
        <w:tc>
          <w:tcPr>
            <w:tcW w:w="12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33,955</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(30,689)</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w:t>
            </w:r>
          </w:p>
        </w:tc>
      </w:tr>
      <w:tr>
        <w:trPr/>
        <w:tc>
          <w:tcPr>
            <w:tcW w:w="4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Net Income Attributable to Noncontrolling Interest</w:t>
            </w:r>
          </w:p>
        </w:tc>
        <w:tc>
          <w:tcPr>
            <w:tcW w:w="109" w:type="dxa"/>
            <w:tcBorders/>
            <w:vAlign w:val="center"/>
          </w:tcPr>
          <w:p>
            <w:pPr>
              <w:pStyle w:val="TableContents"/>
              <w:bidi w:val="0"/>
              <w:spacing w:before="0" w:after="1"/>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109" w:type="dxa"/>
            <w:tcBorders/>
            <w:vAlign w:val="center"/>
          </w:tcPr>
          <w:p>
            <w:pPr>
              <w:pStyle w:val="TableContents"/>
              <w:bidi w:val="0"/>
              <w:spacing w:before="0" w:after="1"/>
              <w:ind w:left="0" w:right="0" w:hanging="0"/>
              <w:jc w:val="left"/>
              <w:rPr/>
            </w:pPr>
            <w:r>
              <w:rPr/>
              <w:t>​</w:t>
            </w:r>
          </w:p>
        </w:tc>
        <w:tc>
          <w:tcPr>
            <w:tcW w:w="3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(4,235)</w:t>
            </w:r>
          </w:p>
        </w:tc>
        <w:tc>
          <w:tcPr>
            <w:tcW w:w="109"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3,886</w:t>
            </w:r>
          </w:p>
        </w:tc>
        <w:tc>
          <w:tcPr>
            <w:tcW w:w="109" w:type="dxa"/>
            <w:tcBorders/>
            <w:vAlign w:val="center"/>
          </w:tcPr>
          <w:p>
            <w:pPr>
              <w:pStyle w:val="TableContents"/>
              <w:bidi w:val="0"/>
              <w:spacing w:before="0" w:after="1"/>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Alpine Income Property Trust, Inc.</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2,917</w:t>
            </w:r>
          </w:p>
        </w:tc>
        <w:tc>
          <w:tcPr>
            <w:tcW w:w="109" w:type="dxa"/>
            <w:tcBorders/>
            <w:shd w:fill="CCEEFF" w:val="clear"/>
            <w:vAlign w:val="center"/>
          </w:tcPr>
          <w:p>
            <w:pPr>
              <w:pStyle w:val="TableContents"/>
              <w:bidi w:val="0"/>
              <w:spacing w:before="0" w:after="1"/>
              <w:ind w:left="0" w:right="0" w:hanging="0"/>
              <w:jc w:val="left"/>
              <w:rPr/>
            </w:pPr>
            <w:r>
              <w:rPr/>
              <w:t>​</w:t>
            </w:r>
          </w:p>
        </w:tc>
        <w:tc>
          <w:tcPr>
            <w:tcW w:w="3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29,720</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(26,803)</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Income and Real Estate Expenses</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 from our income properties during the years ended December 31, 2023 and 2022 totaled $45.0 million and $45.2 million, respectively. The decrease in revenues is reflective of the Company’s volume of dispositions, offset by acquisitions, as well as certain one-time reduced revenues related to tenant credit loss and bankruptcy. The direct costs of revenues for our income properties totaled $6.6 million and $5.4 million during the years ended December 31, 2023 and 2022, respectively. The $1.1 million increase in the direct cost of revenues is reflective of a portion of portfolio expenses being non-recoverable pursuant to tenant leases, as well as certain non-recoverable expenses related to transaction costs and legal fees associated with the seven assets leased to one tenant that filed for bankruptcy during the year ended December 31,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from commercial loans and investments totaled $0.6 million for the year ended December 31, 2023. The income is attributable to three loans originated by the Company during the year ended December 31, 2023. There were no commercial loans and investments generating interest income during the year ended December 31, 2022.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Revenue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revenue totaled less than $0.1 million for the year ended December 31, 2023. The revenue is attributable to fees earned from a revenue sharing agreement the Company entered into with CTO as further described in Note 18, “Related Party Management Company” in the Notes to the Financial Statements. There were no revenue sharing agreements generating income during the year ended December 31, 2022.</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General and Administrative Expenses </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represents the Company’s general and administrative expenses for the year ended December 31, 2023 as compared to the year ended December 31, 2022 (in thousands):</w:t>
      </w:r>
    </w:p>
    <w:p>
      <w:pPr>
        <w:pStyle w:val="TextBody"/>
        <w:bidi w:val="0"/>
        <w:spacing w:before="0" w:after="0"/>
        <w:ind w:left="0" w:right="0" w:hanging="0"/>
        <w:jc w:val="left"/>
        <w:rPr/>
      </w:pPr>
      <w:r>
        <w:rPr/>
        <w:t>​</w:t>
      </w:r>
    </w:p>
    <w:tbl>
      <w:tblPr>
        <w:tblW w:w="10114" w:type="dxa"/>
        <w:jc w:val="left"/>
        <w:tblInd w:w="0" w:type="dxa"/>
        <w:tblLayout w:type="fixed"/>
        <w:tblCellMar>
          <w:top w:w="0" w:type="dxa"/>
          <w:left w:w="0" w:type="dxa"/>
          <w:bottom w:w="0" w:type="dxa"/>
          <w:right w:w="0" w:type="dxa"/>
        </w:tblCellMar>
      </w:tblPr>
      <w:tblGrid>
        <w:gridCol w:w="4021"/>
        <w:gridCol w:w="109"/>
        <w:gridCol w:w="465"/>
        <w:gridCol w:w="1260"/>
        <w:gridCol w:w="109"/>
        <w:gridCol w:w="465"/>
        <w:gridCol w:w="1260"/>
        <w:gridCol w:w="109"/>
        <w:gridCol w:w="315"/>
        <w:gridCol w:w="721"/>
        <w:gridCol w:w="109"/>
        <w:gridCol w:w="1171"/>
      </w:tblGrid>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95275" cy="175260"/>
                      <wp:effectExtent l="0" t="0" r="0" b="0"/>
                      <wp:wrapNone/>
                      <wp:docPr id="75" name="Frame75"/>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800100" cy="175260"/>
                      <wp:effectExtent l="0" t="0" r="0" b="0"/>
                      <wp:wrapNone/>
                      <wp:docPr id="76" name="Frame76"/>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95275" cy="175260"/>
                      <wp:effectExtent l="0" t="0" r="0" b="0"/>
                      <wp:wrapNone/>
                      <wp:docPr id="78" name="Frame78"/>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800100" cy="175260"/>
                      <wp:effectExtent l="0" t="0" r="0" b="0"/>
                      <wp:wrapNone/>
                      <wp:docPr id="79" name="Frame79"/>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0025" cy="175260"/>
                      <wp:effectExtent l="0" t="0" r="0" b="0"/>
                      <wp:wrapNone/>
                      <wp:docPr id="81" name="Frame81"/>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57835" cy="175260"/>
                      <wp:effectExtent l="0" t="0" r="0" b="0"/>
                      <wp:wrapNone/>
                      <wp:docPr id="82" name="Frame8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43585" cy="175260"/>
                      <wp:effectExtent l="0" t="0" r="0" b="0"/>
                      <wp:wrapNone/>
                      <wp:docPr id="84" name="Frame84"/>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to Manager</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4,356</w:t>
            </w:r>
          </w:p>
        </w:tc>
        <w:tc>
          <w:tcPr>
            <w:tcW w:w="109" w:type="dxa"/>
            <w:tcBorders/>
            <w:shd w:fill="CCEEFF" w:val="clear"/>
            <w:vAlign w:val="center"/>
          </w:tcPr>
          <w:p>
            <w:pPr>
              <w:pStyle w:val="TableContents"/>
              <w:bidi w:val="0"/>
              <w:spacing w:before="0" w:after="0"/>
              <w:ind w:left="0" w:right="0" w:hanging="0"/>
              <w:jc w:val="center"/>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3,828</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40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Director Stock Compensation Expense </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109" w:type="dxa"/>
            <w:tcBorders/>
            <w:vAlign w:val="center"/>
          </w:tcPr>
          <w:p>
            <w:pPr>
              <w:pStyle w:val="TableContents"/>
              <w:bidi w:val="0"/>
              <w:spacing w:before="0" w:after="0"/>
              <w:ind w:left="0" w:right="0" w:hanging="0"/>
              <w:jc w:val="center"/>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&amp; Officer Insurance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shd w:fill="CCEEFF" w:val="clear"/>
            <w:vAlign w:val="center"/>
          </w:tcPr>
          <w:p>
            <w:pPr>
              <w:pStyle w:val="TableContents"/>
              <w:bidi w:val="0"/>
              <w:spacing w:before="0" w:after="0"/>
              <w:ind w:left="0" w:right="0" w:hanging="0"/>
              <w:jc w:val="center"/>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General and Administrative Expense</w:t>
            </w:r>
          </w:p>
        </w:tc>
        <w:tc>
          <w:tcPr>
            <w:tcW w:w="109" w:type="dxa"/>
            <w:tcBorders/>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w:t>
            </w:r>
          </w:p>
        </w:tc>
        <w:tc>
          <w:tcPr>
            <w:tcW w:w="109" w:type="dxa"/>
            <w:tcBorders/>
            <w:vAlign w:val="center"/>
          </w:tcPr>
          <w:p>
            <w:pPr>
              <w:pStyle w:val="TableContents"/>
              <w:bidi w:val="0"/>
              <w:spacing w:before="0" w:after="0"/>
              <w:ind w:left="0" w:right="0" w:hanging="0"/>
              <w:jc w:val="righ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c>
          <w:tcPr>
            <w:tcW w:w="109"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6,301</w:t>
            </w:r>
          </w:p>
        </w:tc>
        <w:tc>
          <w:tcPr>
            <w:tcW w:w="109" w:type="dxa"/>
            <w:tcBorders/>
            <w:shd w:fill="CCEEFF" w:val="clear"/>
            <w:vAlign w:val="center"/>
          </w:tcPr>
          <w:p>
            <w:pPr>
              <w:pStyle w:val="TableContents"/>
              <w:bidi w:val="0"/>
              <w:spacing w:before="0" w:after="0"/>
              <w:ind w:left="0" w:right="0" w:hanging="0"/>
              <w:jc w:val="righ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5,784</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8.9%</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totaled $6.3 million and $5.8 million during the years ended December 31, 2023 and 2022, respectively. The $0.5 million increase is primarily attributable to growth in the Company’s equity base, which led to an increase in management fee expense of $0.5 million.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Provision for Impairment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2023, the Company recorded a $3.2 million impairment charge of which $0.3 million represents the current expected credit losses (“CECL”) reserve related to our commercial loans and investments and $2.9 million represents the provision for losses related to our income properties as further described in Note 7, “Provision for Impairment” in the Notes to the Financial Statements. There were no impairment charges on the Company’s income property portfolio during the year ended December 31, 2022.</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and amortization expense totaled $25.8 million and $23.5 million during the years ended December 31, 2023 and 2022, respectively. The $2.3 million increase in the depreciation and amortization expense is reflective of the Company’s change in portfolio as well as the timing of acquisitions versus dispositions. Several ground lease assets were disposed of during the earlier part of 2023 which were re-invested into more depreciable assets on a relative basis.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Gain on Disposition of Assets</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2023, the Company sold 24 properties for an aggregate sales price of $108.3 million, generating aggregate gains on sale of $9.3 million. During the year ended December 31, 2022, the Company sold 16 properties for an aggregate sales price of $154.6 million, generating aggregate gains on sale of $33.8 million.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Gain (Loss) on Extinguishment of Debt</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year ended December 31, 2022, the Company recorded a $0.7 million loss on the extinguishment of debt attributable to the write off of unamortized loan costs in connection with the CMBS Loan defeasance and the termination of the </w:t>
      </w:r>
      <w:r>
        <w:rPr>
          <w:rFonts w:ascii="Times New Roman;Times;serif" w:hAnsi="Times New Roman;Times;serif"/>
          <w:sz w:val="20"/>
          <w:shd w:fill="FFFFFF" w:val="clear"/>
        </w:rPr>
        <w:t>Prior Revolving Credit Facility</w:t>
      </w:r>
      <w:r>
        <w:rPr>
          <w:rFonts w:ascii="Times New Roman;Times;serif" w:hAnsi="Times New Roman;Times;serif"/>
          <w:sz w:val="20"/>
        </w:rPr>
        <w:t xml:space="preserve">, </w:t>
      </w:r>
      <w:r>
        <w:rPr>
          <w:rFonts w:ascii="Times New Roman;Times;serif" w:hAnsi="Times New Roman;Times;serif"/>
          <w:sz w:val="20"/>
          <w:shd w:fill="FFFFFF" w:val="clear"/>
        </w:rPr>
        <w:t>as defined in Note 12, “Long-Term Debt” in the Notes to the Financial Statements.</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Investment and Other Income</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Investment and other income totaled $0.3 million and less than $0.1 million during the years ended December 31, 2023 and 2022, respectively. The increase is attributable to higher interest rates on bank deposits.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expense totaled $10.1 million and $9.5 million during the years ended December 31, 2023 and 2022, respectively. The $0.6 million increase in interest expense is attributable to the higher average interest rates during the year ended December 31, 2023 as compared to the year ended December 31, 2022. The overall increase in the Company’s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long-term debt was primarily utilized to fund the acquisition of properties and commercial loans and investments during 2023 and 2022.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Income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income totaled $3.3 million and $34.0 million during the years ended December 31, 2023 and 2022, respectively. The decrease in net income is attributable to the factors described above, most significantly to the $24.5 million decrease in gain on disposition of assets during the year ended December 31, 2023. The decreased gain on disposition of assets is the result of reduced disposition activity during the year ended December 31, 2023.</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COMPARISON OF THE YEARS ENDED DECEMBER 31, 2022 AND 2021</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presents the Company’s results of operations for the year ended December 31, 2022, as compared to the year ended December 31, 2021 (in thousands):  </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365"/>
        <w:gridCol w:w="109"/>
        <w:gridCol w:w="386"/>
        <w:gridCol w:w="1242"/>
        <w:gridCol w:w="109"/>
        <w:gridCol w:w="371"/>
        <w:gridCol w:w="1195"/>
        <w:gridCol w:w="109"/>
        <w:gridCol w:w="246"/>
        <w:gridCol w:w="790"/>
        <w:gridCol w:w="109"/>
        <w:gridCol w:w="1174"/>
      </w:tblGrid>
      <w:tr>
        <w:trPr/>
        <w:tc>
          <w:tcPr>
            <w:tcW w:w="436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45110" cy="175260"/>
                      <wp:effectExtent l="0" t="0" r="0" b="0"/>
                      <wp:wrapNone/>
                      <wp:docPr id="86" name="Frame86"/>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88670" cy="175260"/>
                      <wp:effectExtent l="0" t="0" r="0" b="0"/>
                      <wp:wrapNone/>
                      <wp:docPr id="87" name="Frame87"/>
                      <a:graphic xmlns:a="http://schemas.openxmlformats.org/drawingml/2006/main">
                        <a:graphicData uri="http://schemas.microsoft.com/office/word/2010/wordprocessingShape">
                          <wps:wsp>
                            <wps:cNvSpPr txBox="1"/>
                            <wps:spPr>
                              <a:xfrm>
                                <a:off x="0" y="0"/>
                                <a:ext cx="788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35585" cy="175260"/>
                      <wp:effectExtent l="0" t="0" r="0" b="0"/>
                      <wp:wrapNone/>
                      <wp:docPr id="89" name="Frame8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758825" cy="175260"/>
                      <wp:effectExtent l="0" t="0" r="0" b="0"/>
                      <wp:wrapNone/>
                      <wp:docPr id="90" name="Frame90"/>
                      <a:graphic xmlns:a="http://schemas.openxmlformats.org/drawingml/2006/main">
                        <a:graphicData uri="http://schemas.microsoft.com/office/word/2010/wordprocessingShape">
                          <wps:wsp>
                            <wps:cNvSpPr txBox="1"/>
                            <wps:spPr>
                              <a:xfrm>
                                <a:off x="0" y="0"/>
                                <a:ext cx="758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56210" cy="175260"/>
                      <wp:effectExtent l="0" t="0" r="0" b="0"/>
                      <wp:wrapNone/>
                      <wp:docPr id="92" name="Frame92"/>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01650" cy="175260"/>
                      <wp:effectExtent l="0" t="0" r="0" b="0"/>
                      <wp:wrapNone/>
                      <wp:docPr id="93" name="Frame93"/>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45490" cy="175260"/>
                      <wp:effectExtent l="0" t="0" r="0" b="0"/>
                      <wp:wrapNone/>
                      <wp:docPr id="95" name="Frame95"/>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6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3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w:t>
            </w:r>
          </w:p>
        </w:tc>
        <w:tc>
          <w:tcPr>
            <w:tcW w:w="109" w:type="dxa"/>
            <w:tcBorders/>
            <w:vAlign w:val="center"/>
          </w:tcPr>
          <w:p>
            <w:pPr>
              <w:pStyle w:val="TableContents"/>
              <w:bidi w:val="0"/>
              <w:spacing w:before="0" w:after="1"/>
              <w:ind w:left="0" w:right="0" w:hanging="0"/>
              <w:jc w:val="center"/>
              <w:rPr/>
            </w:pPr>
            <w:r>
              <w:rPr/>
              <w:t>​</w:t>
            </w:r>
          </w:p>
        </w:tc>
        <w:tc>
          <w:tcPr>
            <w:tcW w:w="246"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left"/>
              <w:rPr/>
            </w:pPr>
            <w:r>
              <w:rPr/>
              <w:t>​</w:t>
            </w:r>
          </w:p>
        </w:tc>
      </w:tr>
      <w:tr>
        <w:trPr/>
        <w:tc>
          <w:tcPr>
            <w:tcW w:w="436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1"/>
              <w:ind w:left="0" w:right="0" w:hanging="0"/>
              <w:jc w:val="center"/>
              <w:rPr/>
            </w:pPr>
            <w:r>
              <w:rPr/>
              <w:t>​</w:t>
            </w:r>
          </w:p>
        </w:tc>
        <w:tc>
          <w:tcPr>
            <w:tcW w:w="15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2021</w:t>
            </w:r>
          </w:p>
        </w:tc>
        <w:tc>
          <w:tcPr>
            <w:tcW w:w="109" w:type="dxa"/>
            <w:tcBorders/>
            <w:vAlign w:val="center"/>
          </w:tcPr>
          <w:p>
            <w:pPr>
              <w:pStyle w:val="TableContents"/>
              <w:bidi w:val="0"/>
              <w:spacing w:before="0" w:after="1"/>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1"/>
              <w:ind w:left="0" w:right="0" w:hanging="0"/>
              <w:jc w:val="center"/>
              <w:rPr/>
            </w:pPr>
            <w:r>
              <w:rPr/>
              <w:t>​</w:t>
            </w:r>
          </w:p>
        </w:tc>
        <w:tc>
          <w:tcPr>
            <w:tcW w:w="117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1"/>
              <w:ind w:left="0" w:right="0" w:hanging="0"/>
              <w:jc w:val="center"/>
              <w:rPr/>
            </w:pPr>
            <w:r>
              <w:rPr/>
              <w:t>​</w:t>
            </w:r>
          </w:p>
        </w:tc>
        <w:tc>
          <w:tcPr>
            <w:tcW w:w="386" w:type="dxa"/>
            <w:tcBorders/>
            <w:shd w:fill="CCEEFF" w:val="clear"/>
            <w:vAlign w:val="center"/>
          </w:tcPr>
          <w:p>
            <w:pPr>
              <w:pStyle w:val="TableContents"/>
              <w:bidi w:val="0"/>
              <w:spacing w:before="0" w:after="1"/>
              <w:ind w:left="0" w:right="0" w:hanging="0"/>
              <w:jc w:val="center"/>
              <w:rPr/>
            </w:pPr>
            <w:r>
              <w:rPr/>
              <w:t>​</w:t>
            </w:r>
          </w:p>
        </w:tc>
        <w:tc>
          <w:tcPr>
            <w:tcW w:w="1242"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center"/>
              <w:rPr/>
            </w:pPr>
            <w:r>
              <w:rPr/>
              <w:t>​</w:t>
            </w:r>
          </w:p>
        </w:tc>
        <w:tc>
          <w:tcPr>
            <w:tcW w:w="1195"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center"/>
              <w:rPr/>
            </w:pPr>
            <w:r>
              <w:rPr/>
              <w:t>​</w:t>
            </w:r>
          </w:p>
        </w:tc>
        <w:tc>
          <w:tcPr>
            <w:tcW w:w="79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left"/>
              <w:rPr/>
            </w:pPr>
            <w:r>
              <w:rPr/>
              <w:t>​</w:t>
            </w:r>
          </w:p>
        </w:tc>
      </w:tr>
      <w:tr>
        <w:trPr/>
        <w:tc>
          <w:tcPr>
            <w:tcW w:w="4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vAlign w:val="center"/>
          </w:tcPr>
          <w:p>
            <w:pPr>
              <w:pStyle w:val="TableContents"/>
              <w:bidi w:val="0"/>
              <w:spacing w:before="0" w:after="1"/>
              <w:ind w:left="0" w:right="0" w:hanging="0"/>
              <w:jc w:val="center"/>
              <w:rPr/>
            </w:pPr>
            <w:r>
              <w:rPr/>
              <w:t>​</w:t>
            </w:r>
          </w:p>
        </w:tc>
        <w:tc>
          <w:tcPr>
            <w:tcW w:w="3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45,191</w:t>
            </w:r>
          </w:p>
        </w:tc>
        <w:tc>
          <w:tcPr>
            <w:tcW w:w="109" w:type="dxa"/>
            <w:tcBorders/>
            <w:vAlign w:val="center"/>
          </w:tcPr>
          <w:p>
            <w:pPr>
              <w:pStyle w:val="TableContents"/>
              <w:bidi w:val="0"/>
              <w:spacing w:before="0" w:after="1"/>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30,126</w:t>
            </w:r>
          </w:p>
        </w:tc>
        <w:tc>
          <w:tcPr>
            <w:tcW w:w="109"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15,065</w:t>
            </w:r>
          </w:p>
        </w:tc>
        <w:tc>
          <w:tcPr>
            <w:tcW w:w="109" w:type="dxa"/>
            <w:tcBorders/>
            <w:vAlign w:val="center"/>
          </w:tcPr>
          <w:p>
            <w:pPr>
              <w:pStyle w:val="TableContents"/>
              <w:bidi w:val="0"/>
              <w:spacing w:before="0" w:after="1"/>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4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45,191</w:t>
            </w:r>
          </w:p>
        </w:tc>
        <w:tc>
          <w:tcPr>
            <w:tcW w:w="109" w:type="dxa"/>
            <w:tcBorders/>
            <w:shd w:fill="CCEEFF" w:val="clear"/>
            <w:vAlign w:val="center"/>
          </w:tcPr>
          <w:p>
            <w:pPr>
              <w:pStyle w:val="TableContents"/>
              <w:bidi w:val="0"/>
              <w:spacing w:before="0" w:after="1"/>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30,126</w:t>
            </w:r>
          </w:p>
        </w:tc>
        <w:tc>
          <w:tcPr>
            <w:tcW w:w="109"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15,065</w:t>
            </w:r>
          </w:p>
        </w:tc>
        <w:tc>
          <w:tcPr>
            <w:tcW w:w="109" w:type="dxa"/>
            <w:tcBorders/>
            <w:shd w:fill="CCEEFF" w:val="clear"/>
            <w:vAlign w:val="center"/>
          </w:tcPr>
          <w:p>
            <w:pPr>
              <w:pStyle w:val="TableContents"/>
              <w:bidi w:val="0"/>
              <w:spacing w:before="0" w:after="1"/>
              <w:ind w:left="0" w:right="0" w:hanging="0"/>
              <w:jc w:val="left"/>
              <w:rPr/>
            </w:pPr>
            <w:r>
              <w:rPr/>
              <w:t>​</w:t>
            </w:r>
          </w:p>
        </w:tc>
        <w:tc>
          <w:tcPr>
            <w:tcW w:w="11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4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124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19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left"/>
              <w:rPr/>
            </w:pPr>
            <w:r>
              <w:rPr/>
              <w:t>​</w:t>
            </w:r>
          </w:p>
        </w:tc>
      </w:tr>
      <w:tr>
        <w:trPr/>
        <w:tc>
          <w:tcPr>
            <w:tcW w:w="4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12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5,435</w:t>
            </w:r>
          </w:p>
        </w:tc>
        <w:tc>
          <w:tcPr>
            <w:tcW w:w="109"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3,673</w:t>
            </w:r>
          </w:p>
        </w:tc>
        <w:tc>
          <w:tcPr>
            <w:tcW w:w="109"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1,762</w:t>
            </w:r>
          </w:p>
        </w:tc>
        <w:tc>
          <w:tcPr>
            <w:tcW w:w="109"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r>
      <w:tr>
        <w:trPr/>
        <w:tc>
          <w:tcPr>
            <w:tcW w:w="4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12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5,784</w:t>
            </w:r>
          </w:p>
        </w:tc>
        <w:tc>
          <w:tcPr>
            <w:tcW w:w="109"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1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5,027</w:t>
            </w:r>
          </w:p>
        </w:tc>
        <w:tc>
          <w:tcPr>
            <w:tcW w:w="109"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w:t>
            </w:r>
          </w:p>
        </w:tc>
        <w:tc>
          <w:tcPr>
            <w:tcW w:w="109"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4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23,564</w:t>
            </w:r>
          </w:p>
        </w:tc>
        <w:tc>
          <w:tcPr>
            <w:tcW w:w="109" w:type="dxa"/>
            <w:tcBorders/>
            <w:shd w:fill="CCEEFF" w:val="clear"/>
            <w:vAlign w:val="center"/>
          </w:tcPr>
          <w:p>
            <w:pPr>
              <w:pStyle w:val="TableContents"/>
              <w:bidi w:val="0"/>
              <w:spacing w:before="0" w:after="1"/>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15,939</w:t>
            </w:r>
          </w:p>
        </w:tc>
        <w:tc>
          <w:tcPr>
            <w:tcW w:w="109"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7,625</w:t>
            </w:r>
          </w:p>
        </w:tc>
        <w:tc>
          <w:tcPr>
            <w:tcW w:w="109" w:type="dxa"/>
            <w:tcBorders/>
            <w:shd w:fill="CCEEFF" w:val="clear"/>
            <w:vAlign w:val="center"/>
          </w:tcPr>
          <w:p>
            <w:pPr>
              <w:pStyle w:val="TableContents"/>
              <w:bidi w:val="0"/>
              <w:spacing w:before="0" w:after="1"/>
              <w:ind w:left="0" w:right="0" w:hanging="0"/>
              <w:jc w:val="left"/>
              <w:rPr/>
            </w:pPr>
            <w:r>
              <w:rPr/>
              <w:t>​</w:t>
            </w:r>
          </w:p>
        </w:tc>
        <w:tc>
          <w:tcPr>
            <w:tcW w:w="11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w:t>
            </w:r>
          </w:p>
        </w:tc>
      </w:tr>
      <w:tr>
        <w:trPr/>
        <w:tc>
          <w:tcPr>
            <w:tcW w:w="4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12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34,783</w:t>
            </w:r>
          </w:p>
        </w:tc>
        <w:tc>
          <w:tcPr>
            <w:tcW w:w="109"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1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24,639</w:t>
            </w:r>
          </w:p>
        </w:tc>
        <w:tc>
          <w:tcPr>
            <w:tcW w:w="109"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10,144</w:t>
            </w:r>
          </w:p>
        </w:tc>
        <w:tc>
          <w:tcPr>
            <w:tcW w:w="109"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w:t>
            </w:r>
          </w:p>
        </w:tc>
      </w:tr>
      <w:tr>
        <w:trPr/>
        <w:tc>
          <w:tcPr>
            <w:tcW w:w="4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12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33,801</w:t>
            </w:r>
          </w:p>
        </w:tc>
        <w:tc>
          <w:tcPr>
            <w:tcW w:w="109"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9,675</w:t>
            </w:r>
          </w:p>
        </w:tc>
        <w:tc>
          <w:tcPr>
            <w:tcW w:w="109"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24,126</w:t>
            </w:r>
          </w:p>
        </w:tc>
        <w:tc>
          <w:tcPr>
            <w:tcW w:w="109"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249.4%</w:t>
            </w:r>
          </w:p>
        </w:tc>
      </w:tr>
      <w:tr>
        <w:trPr/>
        <w:tc>
          <w:tcPr>
            <w:tcW w:w="4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109" w:type="dxa"/>
            <w:tcBorders/>
            <w:vAlign w:val="center"/>
          </w:tcPr>
          <w:p>
            <w:pPr>
              <w:pStyle w:val="TableContents"/>
              <w:bidi w:val="0"/>
              <w:spacing w:before="0" w:after="1"/>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w:t>
            </w:r>
          </w:p>
        </w:tc>
        <w:tc>
          <w:tcPr>
            <w:tcW w:w="109" w:type="dxa"/>
            <w:tcBorders/>
            <w:vAlign w:val="center"/>
          </w:tcPr>
          <w:p>
            <w:pPr>
              <w:pStyle w:val="TableContents"/>
              <w:bidi w:val="0"/>
              <w:spacing w:before="0" w:after="1"/>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w:t>
            </w:r>
          </w:p>
        </w:tc>
        <w:tc>
          <w:tcPr>
            <w:tcW w:w="109" w:type="dxa"/>
            <w:tcBorders/>
            <w:vAlign w:val="center"/>
          </w:tcPr>
          <w:p>
            <w:pPr>
              <w:pStyle w:val="TableContents"/>
              <w:bidi w:val="0"/>
              <w:spacing w:before="0" w:after="1"/>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12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43,482</w:t>
            </w:r>
          </w:p>
        </w:tc>
        <w:tc>
          <w:tcPr>
            <w:tcW w:w="109"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15,162</w:t>
            </w:r>
          </w:p>
        </w:tc>
        <w:tc>
          <w:tcPr>
            <w:tcW w:w="109"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28,320</w:t>
            </w:r>
          </w:p>
        </w:tc>
        <w:tc>
          <w:tcPr>
            <w:tcW w:w="109"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186.8%</w:t>
            </w:r>
          </w:p>
        </w:tc>
      </w:tr>
      <w:tr>
        <w:trPr/>
        <w:tc>
          <w:tcPr>
            <w:tcW w:w="4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109"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12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1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4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(9,539)</w:t>
            </w:r>
          </w:p>
        </w:tc>
        <w:tc>
          <w:tcPr>
            <w:tcW w:w="109" w:type="dxa"/>
            <w:tcBorders/>
            <w:shd w:fill="CCEEFF" w:val="clear"/>
            <w:vAlign w:val="center"/>
          </w:tcPr>
          <w:p>
            <w:pPr>
              <w:pStyle w:val="TableContents"/>
              <w:bidi w:val="0"/>
              <w:spacing w:before="0" w:after="1"/>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(3,702)</w:t>
            </w:r>
          </w:p>
        </w:tc>
        <w:tc>
          <w:tcPr>
            <w:tcW w:w="109"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(5,837)</w:t>
            </w:r>
          </w:p>
        </w:tc>
        <w:tc>
          <w:tcPr>
            <w:tcW w:w="109" w:type="dxa"/>
            <w:tcBorders/>
            <w:shd w:fill="CCEEFF" w:val="clear"/>
            <w:vAlign w:val="center"/>
          </w:tcPr>
          <w:p>
            <w:pPr>
              <w:pStyle w:val="TableContents"/>
              <w:bidi w:val="0"/>
              <w:spacing w:before="0" w:after="1"/>
              <w:ind w:left="0" w:right="0" w:hanging="0"/>
              <w:jc w:val="left"/>
              <w:rPr/>
            </w:pPr>
            <w:r>
              <w:rPr/>
              <w:t>​</w:t>
            </w:r>
          </w:p>
        </w:tc>
        <w:tc>
          <w:tcPr>
            <w:tcW w:w="11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(157.7)%</w:t>
            </w:r>
          </w:p>
        </w:tc>
      </w:tr>
      <w:tr>
        <w:trPr/>
        <w:tc>
          <w:tcPr>
            <w:tcW w:w="4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12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33,955</w:t>
            </w:r>
          </w:p>
        </w:tc>
        <w:tc>
          <w:tcPr>
            <w:tcW w:w="109"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1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11,462</w:t>
            </w:r>
          </w:p>
        </w:tc>
        <w:tc>
          <w:tcPr>
            <w:tcW w:w="109"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22,493</w:t>
            </w:r>
          </w:p>
        </w:tc>
        <w:tc>
          <w:tcPr>
            <w:tcW w:w="109"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196.2%</w:t>
            </w:r>
          </w:p>
        </w:tc>
      </w:tr>
      <w:tr>
        <w:trPr/>
        <w:tc>
          <w:tcPr>
            <w:tcW w:w="4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Net Income Attributable to Noncontrolling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(4,235)</w:t>
            </w:r>
          </w:p>
        </w:tc>
        <w:tc>
          <w:tcPr>
            <w:tcW w:w="109" w:type="dxa"/>
            <w:tcBorders/>
            <w:shd w:fill="CCEEFF" w:val="clear"/>
            <w:vAlign w:val="center"/>
          </w:tcPr>
          <w:p>
            <w:pPr>
              <w:pStyle w:val="TableContents"/>
              <w:bidi w:val="0"/>
              <w:spacing w:before="0" w:after="1"/>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w:t>
            </w:r>
          </w:p>
        </w:tc>
        <w:tc>
          <w:tcPr>
            <w:tcW w:w="109"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(2,737)</w:t>
            </w:r>
          </w:p>
        </w:tc>
        <w:tc>
          <w:tcPr>
            <w:tcW w:w="109" w:type="dxa"/>
            <w:tcBorders/>
            <w:shd w:fill="CCEEFF" w:val="clear"/>
            <w:vAlign w:val="center"/>
          </w:tcPr>
          <w:p>
            <w:pPr>
              <w:pStyle w:val="TableContents"/>
              <w:bidi w:val="0"/>
              <w:spacing w:before="0" w:after="1"/>
              <w:ind w:left="0" w:right="0" w:hanging="0"/>
              <w:jc w:val="left"/>
              <w:rPr/>
            </w:pPr>
            <w:r>
              <w:rPr/>
              <w:t>​</w:t>
            </w:r>
          </w:p>
        </w:tc>
        <w:tc>
          <w:tcPr>
            <w:tcW w:w="11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(182.7)%</w:t>
            </w:r>
          </w:p>
        </w:tc>
      </w:tr>
      <w:tr>
        <w:trPr/>
        <w:tc>
          <w:tcPr>
            <w:tcW w:w="4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Alpine Income Property Trust, Inc.</w:t>
            </w:r>
          </w:p>
        </w:tc>
        <w:tc>
          <w:tcPr>
            <w:tcW w:w="109" w:type="dxa"/>
            <w:tcBorders/>
            <w:vAlign w:val="center"/>
          </w:tcPr>
          <w:p>
            <w:pPr>
              <w:pStyle w:val="TableContents"/>
              <w:bidi w:val="0"/>
              <w:spacing w:before="0" w:after="1"/>
              <w:ind w:left="0" w:right="0" w:hanging="0"/>
              <w:jc w:val="left"/>
              <w:rPr/>
            </w:pPr>
            <w:r>
              <w:rPr/>
              <w:t>​</w:t>
            </w:r>
          </w:p>
        </w:tc>
        <w:tc>
          <w:tcPr>
            <w:tcW w:w="38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29,720</w:t>
            </w:r>
          </w:p>
        </w:tc>
        <w:tc>
          <w:tcPr>
            <w:tcW w:w="109" w:type="dxa"/>
            <w:tcBorders/>
            <w:vAlign w:val="center"/>
          </w:tcPr>
          <w:p>
            <w:pPr>
              <w:pStyle w:val="TableContents"/>
              <w:bidi w:val="0"/>
              <w:spacing w:before="0" w:after="1"/>
              <w:ind w:left="0" w:right="0" w:hanging="0"/>
              <w:jc w:val="left"/>
              <w:rPr/>
            </w:pPr>
            <w:r>
              <w:rPr/>
              <w:t>​</w:t>
            </w:r>
          </w:p>
        </w:tc>
        <w:tc>
          <w:tcPr>
            <w:tcW w:w="37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9,964</w:t>
            </w:r>
          </w:p>
        </w:tc>
        <w:tc>
          <w:tcPr>
            <w:tcW w:w="109" w:type="dxa"/>
            <w:tcBorders/>
            <w:vAlign w:val="center"/>
          </w:tcPr>
          <w:p>
            <w:pPr>
              <w:pStyle w:val="TableContents"/>
              <w:bidi w:val="0"/>
              <w:spacing w:before="0" w:after="1"/>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19,756</w:t>
            </w:r>
          </w:p>
        </w:tc>
        <w:tc>
          <w:tcPr>
            <w:tcW w:w="109" w:type="dxa"/>
            <w:tcBorders/>
            <w:vAlign w:val="center"/>
          </w:tcPr>
          <w:p>
            <w:pPr>
              <w:pStyle w:val="TableContents"/>
              <w:bidi w:val="0"/>
              <w:spacing w:before="0" w:after="1"/>
              <w:ind w:left="0" w:right="0" w:hanging="0"/>
              <w:jc w:val="left"/>
              <w:rPr/>
            </w:pPr>
            <w:r>
              <w:rPr/>
              <w:t>​</w:t>
            </w:r>
          </w:p>
        </w:tc>
        <w:tc>
          <w:tcPr>
            <w:tcW w:w="117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198.3%</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Income and Real Estate Expenses</w:t>
      </w:r>
    </w:p>
    <w:p>
      <w:pPr>
        <w:pStyle w:val="TextBody"/>
        <w:bidi w:val="0"/>
        <w:spacing w:before="0" w:after="240"/>
        <w:ind w:left="0" w:right="0" w:hanging="0"/>
        <w:jc w:val="both"/>
        <w:rPr/>
      </w:pPr>
      <w:r>
        <w:rPr/>
        <w:t>​</w:t>
      </w:r>
    </w:p>
    <w:p>
      <w:pPr>
        <w:pStyle w:val="TextBody"/>
        <w:shd w:fill="FFFFFF" w:val="clear"/>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Revenue from our income properties during the years ended December 31, 2022 and 2021 totaled $45.2 million and $30.1 million, respectively. The increase in revenues is reflective of the Company’s volume of acquisitions, offset by dispositions. The direct costs of revenues for our income properties totaled $5.4 million and $3.7 million during the years ended December 31, 2022 and 2021, respectively. The increase in the direct cost of revenues is also attributable to the Company’s expanded property portfolio.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General and Administrative Expenses </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represents the Company’s general and administrative expenses for the year ended December 31, 2022 as compared to the year ended December 31, 2021 (in thousands):</w:t>
      </w:r>
    </w:p>
    <w:p>
      <w:pPr>
        <w:pStyle w:val="TextBody"/>
        <w:bidi w:val="0"/>
        <w:spacing w:before="0" w:after="0"/>
        <w:ind w:left="0" w:right="0" w:hanging="0"/>
        <w:jc w:val="left"/>
        <w:rPr/>
      </w:pPr>
      <w:r>
        <w:rPr/>
        <w:t>​</w:t>
      </w:r>
    </w:p>
    <w:tbl>
      <w:tblPr>
        <w:tblW w:w="10114" w:type="dxa"/>
        <w:jc w:val="left"/>
        <w:tblInd w:w="0" w:type="dxa"/>
        <w:tblLayout w:type="fixed"/>
        <w:tblCellMar>
          <w:top w:w="0" w:type="dxa"/>
          <w:left w:w="0" w:type="dxa"/>
          <w:bottom w:w="0" w:type="dxa"/>
          <w:right w:w="0" w:type="dxa"/>
        </w:tblCellMar>
      </w:tblPr>
      <w:tblGrid>
        <w:gridCol w:w="4021"/>
        <w:gridCol w:w="109"/>
        <w:gridCol w:w="465"/>
        <w:gridCol w:w="1260"/>
        <w:gridCol w:w="109"/>
        <w:gridCol w:w="465"/>
        <w:gridCol w:w="1260"/>
        <w:gridCol w:w="109"/>
        <w:gridCol w:w="315"/>
        <w:gridCol w:w="721"/>
        <w:gridCol w:w="109"/>
        <w:gridCol w:w="1171"/>
      </w:tblGrid>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95275" cy="175260"/>
                      <wp:effectExtent l="0" t="0" r="0" b="0"/>
                      <wp:wrapNone/>
                      <wp:docPr id="97" name="Frame97"/>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800100" cy="175260"/>
                      <wp:effectExtent l="0" t="0" r="0" b="0"/>
                      <wp:wrapNone/>
                      <wp:docPr id="98" name="Frame98"/>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95275" cy="175260"/>
                      <wp:effectExtent l="0" t="0" r="0" b="0"/>
                      <wp:wrapNone/>
                      <wp:docPr id="100" name="Frame100"/>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800100" cy="175260"/>
                      <wp:effectExtent l="0" t="0" r="0" b="0"/>
                      <wp:wrapNone/>
                      <wp:docPr id="101" name="Frame101"/>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102"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0025" cy="175260"/>
                      <wp:effectExtent l="0" t="0" r="0" b="0"/>
                      <wp:wrapNone/>
                      <wp:docPr id="103" name="Frame103"/>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57835" cy="175260"/>
                      <wp:effectExtent l="0" t="0" r="0" b="0"/>
                      <wp:wrapNone/>
                      <wp:docPr id="104" name="Frame10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5" name="Frame1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743585" cy="175260"/>
                      <wp:effectExtent l="0" t="0" r="0" b="0"/>
                      <wp:wrapNone/>
                      <wp:docPr id="106" name="Frame106"/>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to Manager</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3,828</w:t>
            </w:r>
          </w:p>
        </w:tc>
        <w:tc>
          <w:tcPr>
            <w:tcW w:w="109" w:type="dxa"/>
            <w:tcBorders/>
            <w:shd w:fill="CCEEFF" w:val="clear"/>
            <w:vAlign w:val="center"/>
          </w:tcPr>
          <w:p>
            <w:pPr>
              <w:pStyle w:val="TableContents"/>
              <w:bidi w:val="0"/>
              <w:spacing w:before="0" w:after="0"/>
              <w:ind w:left="0" w:right="0" w:hanging="0"/>
              <w:jc w:val="center"/>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40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Director Stock Compensation Expense </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109" w:type="dxa"/>
            <w:tcBorders/>
            <w:vAlign w:val="center"/>
          </w:tcPr>
          <w:p>
            <w:pPr>
              <w:pStyle w:val="TableContents"/>
              <w:bidi w:val="0"/>
              <w:spacing w:before="0" w:after="0"/>
              <w:ind w:left="0" w:right="0" w:hanging="0"/>
              <w:jc w:val="center"/>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&amp; Officer Insurance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109" w:type="dxa"/>
            <w:tcBorders/>
            <w:shd w:fill="CCEEFF" w:val="clear"/>
            <w:vAlign w:val="center"/>
          </w:tcPr>
          <w:p>
            <w:pPr>
              <w:pStyle w:val="TableContents"/>
              <w:bidi w:val="0"/>
              <w:spacing w:before="0" w:after="0"/>
              <w:ind w:left="0" w:right="0" w:hanging="0"/>
              <w:jc w:val="center"/>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General and Administrative Expense</w:t>
            </w:r>
          </w:p>
        </w:tc>
        <w:tc>
          <w:tcPr>
            <w:tcW w:w="109" w:type="dxa"/>
            <w:tcBorders/>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c>
          <w:tcPr>
            <w:tcW w:w="109" w:type="dxa"/>
            <w:tcBorders/>
            <w:vAlign w:val="center"/>
          </w:tcPr>
          <w:p>
            <w:pPr>
              <w:pStyle w:val="TableContents"/>
              <w:bidi w:val="0"/>
              <w:spacing w:before="0" w:after="0"/>
              <w:ind w:left="0" w:right="0" w:hanging="0"/>
              <w:jc w:val="righ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w:t>
            </w:r>
          </w:p>
        </w:tc>
        <w:tc>
          <w:tcPr>
            <w:tcW w:w="109"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5,784</w:t>
            </w:r>
          </w:p>
        </w:tc>
        <w:tc>
          <w:tcPr>
            <w:tcW w:w="109" w:type="dxa"/>
            <w:tcBorders/>
            <w:shd w:fill="CCEEFF" w:val="clear"/>
            <w:vAlign w:val="center"/>
          </w:tcPr>
          <w:p>
            <w:pPr>
              <w:pStyle w:val="TableContents"/>
              <w:bidi w:val="0"/>
              <w:spacing w:before="0" w:after="0"/>
              <w:ind w:left="0" w:right="0" w:hanging="0"/>
              <w:jc w:val="righ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5,027</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totaled $5.8 million and $5.0 million during the years ended December 31, 2022 and 2021, respectively. The $0.8 million increase is primarily attributable to growth in the Company’s equity base, which led to an increase in management fee expense of $0.6 million.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and amortization expense totaled $23.5 million and $15.9 million during the years ended December 31, 2022 and 2021, respectively. The $7.6 million increase in the depreciation and amortization expense is reflective of the Company’s expanded property portfolio.</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Gain on Disposition of Assets</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2022, the Company sold 16 properties for an aggregate sales price of $154.6 million, generating aggregate gains on sale of $33.8 million. During the year ended December 31, 2021, the Company sold three properties for an aggregate sales price of $28.3 million, generating aggregate gains on sale of $9.7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on Extinguishment of Debt</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Simultaneous with the Company entering into the 2022 Amended and Restated Credit Agreement, the Company’s then-existing revolving credit facility (the </w:t>
      </w:r>
      <w:r>
        <w:rPr>
          <w:rFonts w:ascii="Times New Roman;Times;serif" w:hAnsi="Times New Roman;Times;serif"/>
          <w:sz w:val="20"/>
          <w:shd w:fill="FFFFFF" w:val="clear"/>
        </w:rPr>
        <w:t>“Prior Revolving Credit Facility”) was terminated, which resulted in $0.3 million of unamortized deferred financing costs written off during the year ended December 31, 2022 with no such expense during the year ended December 31, 2021.</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expense totaled $9.5 million and $3.7 million during the years ended December 31, 2022 and 2021, respectively. </w:t>
      </w:r>
      <w:r>
        <w:rPr>
          <w:rFonts w:ascii="Times New Roman;Times;serif" w:hAnsi="Times New Roman;Times;serif"/>
          <w:sz w:val="20"/>
          <w:shd w:fill="FFFFFF" w:val="clear"/>
        </w:rPr>
        <w:t>The $5.8 million increase in interest expense is attributable to the higher average outstanding debt balance during the year ended December 31, 2022 as compared to the same period in 2021, as well as increasing rates on the Company’s variable rate Credit Facility indebtedness. The overall increase in the Company’s long-term debt was primarily utilized to fund the acquisition of properties during 2022 and 2021.</w:t>
      </w:r>
    </w:p>
    <w:p>
      <w:pPr>
        <w:pStyle w:val="TextBody"/>
        <w:bidi w:val="0"/>
        <w:spacing w:before="0" w:after="24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Income </w:t>
      </w:r>
    </w:p>
    <w:p>
      <w:pPr>
        <w:pStyle w:val="TextBody"/>
        <w:bidi w:val="0"/>
        <w:spacing w:before="0" w:after="0"/>
        <w:ind w:left="0" w:right="0" w:firstLine="360"/>
        <w:jc w:val="both"/>
        <w:rPr/>
      </w:pPr>
      <w:r>
        <w:rPr/>
        <w:t>​</w:t>
      </w:r>
    </w:p>
    <w:p>
      <w:pPr>
        <w:pStyle w:val="TextBody"/>
        <w:bidi w:val="0"/>
        <w:spacing w:before="0" w:after="20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Net income totaled $34.0 million and $11.5 million during the years ended December 31, 2022 and 2021, respectively. The increase in net income is attributable to the factors described above in addition to the $24.1 million increase in gain on disposition of assets during the year ended December 31, 2022. The increased gain on disposition of assets is the result of more disposition activity during the year ended December 31, 2022, with proceeds from such dispositions being reinvested into income properties through the like-kind exchange structure. The increase in gain on disposition of assets was partially offset by the $0.7 million loss on extinguishment of debt incurred during the year ended December 31, 2022, incurred as a result of the write off of unamortized loan costs in connection with the CMBS Loan defeasance and the termination of the Prior Revolving Credit Facility, as hereinafter defined in Note 12, “Long-Term Debt”.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Cash and Cash Equivalents and Restricted Cash. </w:t>
      </w:r>
      <w:r>
        <w:rPr>
          <w:rFonts w:ascii="Times New Roman;Times;serif" w:hAnsi="Times New Roman;Times;serif"/>
          <w:sz w:val="20"/>
        </w:rPr>
        <w:t>Cash totaled $13.7 million at December 31, 2023, including restricted cash of $9.7 million. See Note 2 “Summary of Significant Accounting Policies” under the heading Restricted Cash in the Notes to the Financial Statements for the Company’s disclosure related to its restricted cash balance at December 31, 2023.</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total cash balance at December 31, 2023, reflected net cash provided by our operating activities totaling $25.6 million during the year ended December 31, 2023, compared to net cash provided by operating activities totaling $24.6 million for the year ended December 31, 2022, an increase of $1.0 million. The increase of $1.0 million is primarily related to the cash reserves received from the borrowers associated with the Company’s commercial loans and investments, as well as increased interest income earned on deposits at financial institutions.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net cash used in investing activities totaled $13.6 million for the year ended December 31, 2023, compared to net cash used in investing activities of $38.8 million for the year ended December 31, 2022, a decrease of $25.2 million. The decrease in net cash used in investing activities of $25.2 million is primarily related to a net decrease in cash outflows of $60.6 million during the year ended December 31, 2023 related to the timing of income property acquisitions versus dispositions, which decrease in cash outflows was partially offset by $35.4 million in additional cash outflows related to investments in the Company’s commercial loans and investment portfolio for which there were no such outflows during the year ended December 31, 2022.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net cash used in financing activities totaled $11.4 million for the year ended December 31, 2023, compared to net cash provided by financing activities of $17.7 million for the year ended December 31, 2022, for a decrease in cash inflows from financing activities of $29.1 million. The decrease of $29.1 million is primarily related to a $9.0 million decrease in net proceeds from long-term debt during the year ended December 31, 2023 as well as $2.0 million less cash paid for loan fees the year ended December 31, 2023. These amounts were offset by $23.5 million less proceeds received from sales of common stock under the Company’s “at-the-market” equity offering programs during the year ended December 31, 2023 and $14.6 million more cash used to repurchase the Company’s common stock during the year ended December 31, 2023.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Long-Term Debt. </w:t>
      </w:r>
      <w:r>
        <w:rPr>
          <w:rFonts w:ascii="Times New Roman;Times;serif" w:hAnsi="Times New Roman;Times;serif"/>
          <w:sz w:val="20"/>
        </w:rPr>
        <w:t xml:space="preserve">As of December 31, 2023, the Company had $173.5 million of undrawn commitments available on its Credit Facility. See Note 12, “Long-Term Debt” </w:t>
      </w:r>
      <w:r>
        <w:rPr>
          <w:rFonts w:ascii="Times New Roman;Times;serif" w:hAnsi="Times New Roman;Times;serif"/>
          <w:sz w:val="20"/>
          <w:shd w:fill="FFFFFF" w:val="clear"/>
        </w:rPr>
        <w:t>in the Notes to the Financial Statements </w:t>
      </w:r>
      <w:r>
        <w:rPr>
          <w:rFonts w:ascii="Times New Roman;Times;serif" w:hAnsi="Times New Roman;Times;serif"/>
          <w:sz w:val="20"/>
        </w:rPr>
        <w:t xml:space="preserve">for the Company’s disclosure related to its long-term debt balance at December 31, 2023.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Acquisitions and Investments.</w:t>
      </w:r>
      <w:r>
        <w:rPr>
          <w:rFonts w:ascii="Times New Roman;Times;serif" w:hAnsi="Times New Roman;Times;serif"/>
          <w:sz w:val="20"/>
        </w:rPr>
        <w:t xml:space="preserve"> A</w:t>
      </w:r>
      <w:r>
        <w:rPr>
          <w:rFonts w:ascii="Times New Roman;Times;serif" w:hAnsi="Times New Roman;Times;serif"/>
          <w:sz w:val="20"/>
          <w:shd w:fill="FFFFFF" w:val="clear"/>
        </w:rPr>
        <w:t xml:space="preserve">s noted previously, the Company acquired 14 properties during the year ended December 31, 2023, for an aggregate purchase price of $82.9 million, as further described in Note 3 “Property Portfolio” in the Notes to the Financial Statements. The Company also invested in three commercial loans with a total funding commitment of $38.6 million. As of December 31, 2023, the Company’s commercial loan investments portfolio included two construction loans and one mortgage note with a total carrying value of $35.1 million. </w:t>
      </w:r>
      <w:r>
        <w:rPr>
          <w:rFonts w:ascii="Times New Roman;Times;serif" w:hAnsi="Times New Roman;Times;serif"/>
          <w:sz w:val="20"/>
        </w:rPr>
        <w:t xml:space="preserve">See Note 4, “Commercial Loans and Investments” </w:t>
      </w:r>
      <w:r>
        <w:rPr>
          <w:rFonts w:ascii="Times New Roman;Times;serif" w:hAnsi="Times New Roman;Times;serif"/>
          <w:sz w:val="20"/>
          <w:shd w:fill="FFFFFF" w:val="clear"/>
        </w:rPr>
        <w:t xml:space="preserve">in the Notes to the Financial Statements </w:t>
      </w:r>
      <w:r>
        <w:rPr>
          <w:rFonts w:ascii="Times New Roman;Times;serif" w:hAnsi="Times New Roman;Times;serif"/>
          <w:sz w:val="20"/>
        </w:rPr>
        <w:t>for additional disclosures related to the Company’s commercial loans and investments as of December 31,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Dispositions. </w:t>
      </w:r>
      <w:r>
        <w:rPr>
          <w:rFonts w:ascii="Times New Roman;Times;serif" w:hAnsi="Times New Roman;Times;serif"/>
          <w:sz w:val="20"/>
        </w:rPr>
        <w:t xml:space="preserve">During the year ended December 31, 2023, the Company sold 24 properties for a total sales price of $108.3 million, generating aggregate gains on sale of $9.3 million, </w:t>
      </w:r>
      <w:r>
        <w:rPr>
          <w:rFonts w:ascii="Times New Roman;Times;serif" w:hAnsi="Times New Roman;Times;serif"/>
          <w:sz w:val="20"/>
          <w:shd w:fill="FFFFFF" w:val="clear"/>
        </w:rPr>
        <w:t>as further described in Note 3 “Property Portfolio” in the Notes to the Financial Statements.</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i/>
          <w:sz w:val="20"/>
        </w:rPr>
        <w:t>Capital Expenditures.</w:t>
      </w:r>
      <w:r>
        <w:rPr>
          <w:rFonts w:ascii="Times New Roman;Times;serif" w:hAnsi="Times New Roman;Times;serif"/>
          <w:sz w:val="20"/>
        </w:rPr>
        <w:t xml:space="preserve"> As of December 31, 2023, the Company had no commitments related to capital expenditures. </w:t>
      </w:r>
    </w:p>
    <w:p>
      <w:pPr>
        <w:pStyle w:val="TextBody"/>
        <w:bidi w:val="0"/>
        <w:spacing w:before="4" w:after="4"/>
        <w:ind w:left="0" w:right="0" w:firstLine="36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The Company is committed to fund two construction loans as described in Note 4, “Commercial Loans and Investments” in the Notes to the Financial Statements. The unfunded portion of the construction loans totaled $3.0 million as of December 31, 2023.</w:t>
      </w:r>
    </w:p>
    <w:p>
      <w:pPr>
        <w:pStyle w:val="TextBody"/>
        <w:bidi w:val="0"/>
        <w:spacing w:before="4" w:after="4"/>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is contractually obligated under its various long-term debt agreements. In the aggregate, the Company is obligated under such agreements to repay $276.5 million on long-term basis, to be repaid in excess of one year, with no payments due within one year.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we will have sufficient liquidity to fund our operations, capital requirements, maintenance, and debt service requirements over the next twelve months and into the foreseeable future, with cash on hand, cash flow from our operations, proceeds from the completion of the sales of assets utilizing the reverse like-kind 1031 exchange structure, $109.5 million of availability under the 2022 ATM Program, and $173.5 million of undrawn commitments available on its existing $250.0 million Credit Facility, as of December 31, 2023.</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by utilizing the capital we raise and available borrowing capacity from the Credit Facility to increase our portfolio of income-producing properties, providing stabilized cash flows with strong risk-adjusted returns primarily in larger metropolitan areas and growth markets.</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Purchase Accounting for Acquisitions of Real Estate Subject to a Lease</w:t>
      </w:r>
      <w:r>
        <w:rPr>
          <w:rFonts w:ascii="Times New Roman;Times;serif" w:hAnsi="Times New Roman;Times;serif"/>
          <w:sz w:val="20"/>
        </w:rPr>
        <w:t xml:space="preserve">.  As required by GAAP,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14 properties for a combined purchase price of $82.9 million for the year ended December 31, 2023 and 51 properties for a combined purchase price of $187.4 million for the year ended December 31, 2022.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Note 2, “Summary of Significant Accounting Policies” in the Notes to the Financial Statements for further discussion of the Company’s accounting estimates and policies.</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sz w:val="20"/>
        </w:rPr>
      </w:pPr>
      <w:bookmarkStart w:id="58" w:name="ITEM7AQUANTITATIVEANDQUALITATIVEDISCLOSU"/>
      <w:bookmarkStart w:id="59" w:name="_45d6ad9c_0686_4319_affc_a8621cb42a25"/>
      <w:bookmarkEnd w:id="58"/>
      <w:bookmarkEnd w:id="59"/>
      <w:r>
        <w:rPr>
          <w:rFonts w:ascii="Times New Roman;Times;serif" w:hAnsi="Times New Roman;Times;serif"/>
          <w:b/>
          <w:sz w:val="20"/>
        </w:rPr>
        <w:t>ITEM 7A.</w:t>
      </w:r>
      <w:r>
        <w:rPr>
          <w:rFonts w:ascii="Times New Roman;Times;serif" w:hAnsi="Times New Roman;Times;serif"/>
          <w:sz w:val="20"/>
        </w:rPr>
        <w:t>            </w:t>
      </w:r>
      <w:r>
        <w:rPr>
          <w:rFonts w:ascii="Times New Roman;Times;serif" w:hAnsi="Times New Roman;Times;serif"/>
          <w:b/>
          <w:sz w:val="20"/>
        </w:rPr>
        <w:t>QUANTITATIVE AND QUALITATIVE DISCLOSURES ABOUT MARKET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 smaller reporting company as defined in Rule 12b-2 under the Securities Exchange Act of 1934. As a result, pursuant to Item 305(e) of Regulation S-K, we are not required to provide the information required by this Item.</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60" w:name="ITEM8FINANCIALSTATEMENTSANDSUPPLEMENTARY"/>
      <w:bookmarkStart w:id="61" w:name="_b48c7cb5_0ce0_4180_94ba_5ec6811df6a4"/>
      <w:bookmarkEnd w:id="60"/>
      <w:bookmarkEnd w:id="61"/>
      <w:r>
        <w:rPr>
          <w:rFonts w:ascii="Times New Roman;Times;serif" w:hAnsi="Times New Roman;Times;serif"/>
          <w:b/>
          <w:sz w:val="20"/>
        </w:rPr>
        <w:t>ITEM 8.</w:t>
      </w:r>
      <w:r>
        <w:rPr>
          <w:rFonts w:ascii="Times New Roman;Times;serif" w:hAnsi="Times New Roman;Times;serif"/>
          <w:sz w:val="20"/>
        </w:rPr>
        <w:t>            </w:t>
      </w:r>
      <w:r>
        <w:rPr>
          <w:rFonts w:ascii="Times New Roman;Times;serif" w:hAnsi="Times New Roman;Times;serif"/>
          <w:b/>
          <w:sz w:val="20"/>
        </w:rPr>
        <w:t>FINANCIAL STATEMENTS AND SUPPLEMENTARY DATA</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Consolidated Financial Statements appear beginning on page F-1 of this report. See Item 15 of this report.</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sz w:val="20"/>
        </w:rPr>
      </w:pPr>
      <w:bookmarkStart w:id="62" w:name="ITEM9CHANGESINANDDISAGREEMENTSWITHACCOUN"/>
      <w:bookmarkStart w:id="63" w:name="_921b05cd_6a41_4a89_9062_ab4feb724562"/>
      <w:bookmarkEnd w:id="62"/>
      <w:bookmarkEnd w:id="63"/>
      <w:r>
        <w:rPr>
          <w:rFonts w:ascii="Times New Roman;Times;serif" w:hAnsi="Times New Roman;Times;serif"/>
          <w:b/>
          <w:sz w:val="20"/>
        </w:rPr>
        <w:t>ITEM 9.</w:t>
      </w:r>
      <w:r>
        <w:rPr>
          <w:rFonts w:ascii="Times New Roman;Times;serif" w:hAnsi="Times New Roman;Times;serif"/>
          <w:sz w:val="20"/>
        </w:rPr>
        <w:t>            </w:t>
      </w:r>
      <w:r>
        <w:rPr>
          <w:rFonts w:ascii="Times New Roman;Times;serif" w:hAnsi="Times New Roman;Times;serif"/>
          <w:b/>
          <w:sz w:val="20"/>
        </w:rPr>
        <w:t>CHANGES IN AND DISAGREEMENTS WITH ACCOUNTANTS ON ACCOUNTING AND</w:t>
      </w:r>
      <w:r>
        <w:rPr>
          <w:rFonts w:ascii="Times New Roman;Times;serif" w:hAnsi="Times New Roman;Times;serif"/>
          <w:sz w:val="20"/>
        </w:rPr>
        <w:t xml:space="preserve"> </w:t>
      </w:r>
      <w:r>
        <w:rPr>
          <w:rFonts w:ascii="Times New Roman;Times;serif" w:hAnsi="Times New Roman;Times;serif"/>
          <w:b/>
          <w:sz w:val="20"/>
        </w:rPr>
        <w:t>FINANCIAL DISCLOSURE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have been no disagreements with our accountants on accounting and financial disclosures.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4" w:name="ITEM9ACONTROLSANDPROCEDURES_752806"/>
      <w:bookmarkStart w:id="65" w:name="_842a903d_3d74_4b49_bea2_61a229475c0d"/>
      <w:bookmarkEnd w:id="64"/>
      <w:bookmarkEnd w:id="65"/>
      <w:r>
        <w:rPr>
          <w:rFonts w:ascii="Times New Roman;Times;serif" w:hAnsi="Times New Roman;Times;serif"/>
          <w:b/>
          <w:sz w:val="20"/>
        </w:rPr>
        <w:t>ITEM 9A.</w:t>
      </w:r>
      <w:r>
        <w:rPr>
          <w:rFonts w:ascii="Times New Roman;Times;serif" w:hAnsi="Times New Roman;Times;serif"/>
          <w:sz w:val="20"/>
        </w:rPr>
        <w:t>          </w:t>
      </w:r>
      <w:r>
        <w:rPr>
          <w:rFonts w:ascii="Times New Roman;Times;serif" w:hAnsi="Times New Roman;Times;serif"/>
          <w:b/>
          <w:sz w:val="20"/>
        </w:rPr>
        <w:t>CONTROLS AND PROCEDURES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 Our internal control over financial reporting includes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receipts and expenditures are being made only in accordance with authorizations of our management and directors; and (3) provide reasonable assurance regarding prevention or timely detection of unauthorized acquisition, use, or disposition of assets that could have a material effect on our financial statements.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Under the supervision and with the participation of our management, including our CEO and our CFO, we evaluated the effectiveness of our internal control over financial reporting using the criteria set forth in the 2013 Internal Control-Integrated Framework issued by the Committee of Sponsoring Organizations of the Treadway Commission (COSO). Based on our assessment and those criteria, our management concluded that our internal control over financial reporting was effective as of December 31,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changes in the Company’s internal control over financial reporting (as defined in Rules 13a-15(f) or 15d-15(f) of the Exchange Act) during the period covered by this report that have materially affected, or are reasonably likely to materially affect, the Company’s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66" w:name="ITEM9BOTHERINFORMATION_64042"/>
      <w:bookmarkStart w:id="67" w:name="_24ed5366_f6a0_4b80_b616_3bb4204b5d52"/>
      <w:bookmarkEnd w:id="66"/>
      <w:bookmarkEnd w:id="67"/>
      <w:r>
        <w:rPr>
          <w:rFonts w:ascii="Times New Roman;Times;serif" w:hAnsi="Times New Roman;Times;serif"/>
          <w:b/>
          <w:sz w:val="20"/>
        </w:rPr>
        <w:t>ITEM 9B.</w:t>
      </w:r>
      <w:r>
        <w:rPr>
          <w:rFonts w:ascii="Times New Roman;Times;serif" w:hAnsi="Times New Roman;Times;serif"/>
          <w:sz w:val="20"/>
        </w:rPr>
        <w:t>          </w:t>
      </w:r>
      <w:r>
        <w:rPr>
          <w:rFonts w:ascii="Times New Roman;Times;serif" w:hAnsi="Times New Roman;Times;serif"/>
          <w:b/>
          <w:sz w:val="20"/>
        </w:rPr>
        <w:t>OTHER INFORMATION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sz w:val="20"/>
        </w:rPr>
      </w:pPr>
      <w:bookmarkStart w:id="68" w:name="DISCLOSUREREGARDINGFOREIGNJURISDICTIONST"/>
      <w:bookmarkStart w:id="69" w:name="_a54879cf_ed60_4954_927c_c576abb95095"/>
      <w:bookmarkEnd w:id="68"/>
      <w:bookmarkEnd w:id="69"/>
      <w:r>
        <w:rPr>
          <w:rFonts w:ascii="Times New Roman;Times;serif" w:hAnsi="Times New Roman;Times;serif"/>
          <w:b/>
          <w:sz w:val="20"/>
        </w:rPr>
        <w:t>ITEM 9C.</w:t>
      </w:r>
      <w:r>
        <w:rPr>
          <w:rFonts w:ascii="Times New Roman;Times;serif" w:hAnsi="Times New Roman;Times;serif"/>
          <w:sz w:val="20"/>
        </w:rPr>
        <w:t>          </w:t>
      </w:r>
      <w:r>
        <w:rPr>
          <w:rFonts w:ascii="Times New Roman;Times;serif" w:hAnsi="Times New Roman;Times;serif"/>
          <w:b/>
          <w:sz w:val="20"/>
        </w:rPr>
        <w:t>DISCLOSURE REGARDING FOREIGN JURISDICTIONS THAT PREVENT INSPECTIONS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0" w:name="PARTIII_476155"/>
      <w:bookmarkStart w:id="71" w:name="_bcd897b0_8057_4373_94db_b956b00ee35c"/>
      <w:bookmarkEnd w:id="70"/>
      <w:bookmarkEnd w:id="71"/>
      <w:r>
        <w:rPr>
          <w:rFonts w:ascii="Times New Roman;Times;serif" w:hAnsi="Times New Roman;Times;serif"/>
          <w:b/>
          <w:sz w:val="20"/>
        </w:rPr>
        <w:t>PART III</w:t>
      </w:r>
    </w:p>
    <w:p>
      <w:pPr>
        <w:pStyle w:val="TextBody"/>
        <w:bidi w:val="0"/>
        <w:spacing w:before="0" w:after="240"/>
        <w:ind w:left="0" w:right="0" w:hanging="0"/>
        <w:jc w:val="both"/>
        <w:rPr>
          <w:rFonts w:ascii="Times New Roman;Times;serif" w:hAnsi="Times New Roman;Times;serif"/>
          <w:sz w:val="20"/>
        </w:rPr>
      </w:pPr>
      <w:bookmarkStart w:id="72" w:name="ITEM10DIRECTORSEXECUTIVEOFFICERSANDCORPO"/>
      <w:bookmarkEnd w:id="72"/>
      <w:r>
        <w:rPr>
          <w:rFonts w:ascii="Times New Roman;Times;serif" w:hAnsi="Times New Roman;Times;serif"/>
          <w:b/>
          <w:sz w:val="20"/>
        </w:rPr>
        <w:t>ITEM 10.</w:t>
      </w:r>
      <w:r>
        <w:rPr>
          <w:rFonts w:ascii="Times New Roman;Times;serif" w:hAnsi="Times New Roman;Times;serif"/>
          <w:sz w:val="20"/>
        </w:rPr>
        <w:t>          </w:t>
      </w:r>
      <w:r>
        <w:rPr>
          <w:rFonts w:ascii="Times New Roman;Times;serif" w:hAnsi="Times New Roman;Times;serif"/>
          <w:b/>
          <w:sz w:val="20"/>
        </w:rPr>
        <w:t>DIRECTORS, EXECUTIVE OFFICERS, AND CORPORATE GOVERNANCE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Company’s definitive proxy statement for its 2024 annual stockholders’ meeting to be filed with the SEC within 120 days after the end of the registrant’s fiscal year ended December 31, 2023 (the “Proxy Statement”), which sections are incorporated herein by reference.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73" w:name="ITEM11EXECUTIVECOMPENSATION_918030"/>
      <w:bookmarkStart w:id="74" w:name="_f7dab85e_837f_4eec_bff3_e9f8dae1992c"/>
      <w:bookmarkEnd w:id="73"/>
      <w:bookmarkEnd w:id="74"/>
      <w:r>
        <w:rPr>
          <w:rFonts w:ascii="Times New Roman;Times;serif" w:hAnsi="Times New Roman;Times;serif"/>
          <w:b/>
          <w:sz w:val="20"/>
        </w:rPr>
        <w:t>ITEM 11.</w:t>
      </w:r>
      <w:r>
        <w:rPr>
          <w:rFonts w:ascii="Times New Roman;Times;serif" w:hAnsi="Times New Roman;Times;serif"/>
          <w:sz w:val="20"/>
        </w:rPr>
        <w:t>          </w:t>
      </w:r>
      <w:r>
        <w:rPr>
          <w:rFonts w:ascii="Times New Roman;Times;serif" w:hAnsi="Times New Roman;Times;serif"/>
          <w:b/>
          <w:sz w:val="20"/>
        </w:rPr>
        <w:t>EXECUTIVE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externally managed by our Manager and as such the Company does not incur compensation costs affiliated with our executive officers. Any additional information required to be set forth herein will be included in the Proxy Statement, which sections are incorporated herein by reference.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75" w:name="ITEM12SECURITYOWNERSHIPOFCERTAINBENEFICI"/>
      <w:bookmarkStart w:id="76" w:name="_cc077bdb_8063_4c87_8607_dbe57b6179a7"/>
      <w:bookmarkEnd w:id="75"/>
      <w:bookmarkEnd w:id="76"/>
      <w:r>
        <w:rPr>
          <w:rFonts w:ascii="Times New Roman;Times;serif" w:hAnsi="Times New Roman;Times;serif"/>
          <w:b/>
          <w:sz w:val="20"/>
        </w:rPr>
        <w:t>ITEM 12.</w:t>
      </w:r>
      <w:r>
        <w:rPr>
          <w:rFonts w:ascii="Times New Roman;Times;serif" w:hAnsi="Times New Roman;Times;serif"/>
          <w:sz w:val="20"/>
        </w:rPr>
        <w:t>          </w:t>
      </w:r>
      <w:r>
        <w:rPr>
          <w:rFonts w:ascii="Times New Roman;Times;serif" w:hAnsi="Times New Roman;Times;serif"/>
          <w:b/>
          <w:sz w:val="20"/>
        </w:rPr>
        <w:t>SECURITY OWNERSHIP OF CERTAIN BENEFICIAL OWNERS AND MANAGEMENT AND</w:t>
      </w:r>
      <w:r>
        <w:rPr>
          <w:rFonts w:ascii="Times New Roman;Times;serif" w:hAnsi="Times New Roman;Times;serif"/>
          <w:sz w:val="20"/>
        </w:rPr>
        <w:t xml:space="preserve"> </w:t>
      </w:r>
      <w:r>
        <w:rPr>
          <w:rFonts w:ascii="Times New Roman;Times;serif" w:hAnsi="Times New Roman;Times;serif"/>
          <w:b/>
          <w:sz w:val="20"/>
        </w:rPr>
        <w:t>RELATED STOCKHOLDER MATTERS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Proxy Statement, which sections are incorporated herein by reference.</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sz w:val="20"/>
        </w:rPr>
      </w:pPr>
      <w:bookmarkStart w:id="77" w:name="ITEM13CERTAINRELATIONSHIPSANDRELATEDTRAN"/>
      <w:bookmarkStart w:id="78" w:name="_4240d3e8_3fbc_44fd_a6d4_fdb8a916f03e"/>
      <w:bookmarkEnd w:id="77"/>
      <w:bookmarkEnd w:id="78"/>
      <w:r>
        <w:rPr>
          <w:rFonts w:ascii="Times New Roman;Times;serif" w:hAnsi="Times New Roman;Times;serif"/>
          <w:b/>
          <w:sz w:val="20"/>
        </w:rPr>
        <w:t>ITEM 13.</w:t>
      </w:r>
      <w:r>
        <w:rPr>
          <w:rFonts w:ascii="Times New Roman;Times;serif" w:hAnsi="Times New Roman;Times;serif"/>
          <w:sz w:val="20"/>
        </w:rPr>
        <w:t>          </w:t>
      </w:r>
      <w:r>
        <w:rPr>
          <w:rFonts w:ascii="Times New Roman;Times;serif" w:hAnsi="Times New Roman;Times;serif"/>
          <w:b/>
          <w:sz w:val="20"/>
        </w:rPr>
        <w:t>CERTAIN RELATIONSHIPS AND RELATED TRANSACTIONS, AND DIRECTOR</w:t>
      </w:r>
      <w:r>
        <w:rPr>
          <w:rFonts w:ascii="Times New Roman;Times;serif" w:hAnsi="Times New Roman;Times;serif"/>
          <w:sz w:val="20"/>
        </w:rPr>
        <w:t xml:space="preserve"> </w:t>
      </w:r>
      <w:r>
        <w:rPr>
          <w:rFonts w:ascii="Times New Roman;Times;serif" w:hAnsi="Times New Roman;Times;serif"/>
          <w:b/>
          <w:sz w:val="20"/>
        </w:rPr>
        <w:t>INDEPENDENCE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Proxy Statement, which sections are incorporated herein by reference.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79" w:name="ITEM14PRINCIPALACCOUNTANTFEESANDSERVICES"/>
      <w:bookmarkStart w:id="80" w:name="_0730c800_9339_4160_8db9_a82aa5d7a5bc"/>
      <w:bookmarkEnd w:id="79"/>
      <w:bookmarkEnd w:id="80"/>
      <w:r>
        <w:rPr>
          <w:rFonts w:ascii="Times New Roman;Times;serif" w:hAnsi="Times New Roman;Times;serif"/>
          <w:b/>
          <w:sz w:val="20"/>
        </w:rPr>
        <w:t>ITEM 14.</w:t>
      </w:r>
      <w:r>
        <w:rPr>
          <w:rFonts w:ascii="Times New Roman;Times;serif" w:hAnsi="Times New Roman;Times;serif"/>
          <w:sz w:val="20"/>
        </w:rPr>
        <w:t>          </w:t>
      </w:r>
      <w:r>
        <w:rPr>
          <w:rFonts w:ascii="Times New Roman;Times;serif" w:hAnsi="Times New Roman;Times;serif"/>
          <w:b/>
          <w:sz w:val="20"/>
        </w:rPr>
        <w:t>PRINCIPAL ACCOUNTANT FEES AND SERVICES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Proxy Statement, which section is incorporated herein by reference.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1" w:name="PARTIV_258754"/>
      <w:bookmarkStart w:id="82" w:name="_c8382e7f_e332_4cf7_a613_f37d1149780a"/>
      <w:bookmarkEnd w:id="81"/>
      <w:bookmarkEnd w:id="82"/>
      <w:r>
        <w:rPr>
          <w:rFonts w:ascii="Times New Roman;Times;serif" w:hAnsi="Times New Roman;Times;serif"/>
          <w:b/>
          <w:sz w:val="20"/>
        </w:rPr>
        <w:t>PART IV</w:t>
      </w:r>
    </w:p>
    <w:p>
      <w:pPr>
        <w:pStyle w:val="TextBody"/>
        <w:bidi w:val="0"/>
        <w:spacing w:before="0" w:after="240"/>
        <w:ind w:left="0" w:right="0" w:hanging="0"/>
        <w:jc w:val="both"/>
        <w:rPr>
          <w:rFonts w:ascii="Times New Roman;Times;serif" w:hAnsi="Times New Roman;Times;serif"/>
          <w:b/>
          <w:sz w:val="20"/>
        </w:rPr>
      </w:pPr>
      <w:bookmarkStart w:id="83" w:name="ITEM15EXHIBITSANDFINANCIALSTATEMENTSCHED"/>
      <w:bookmarkEnd w:id="83"/>
      <w:r>
        <w:rPr>
          <w:rFonts w:ascii="Times New Roman;Times;serif" w:hAnsi="Times New Roman;Times;serif"/>
          <w:b/>
          <w:sz w:val="20"/>
        </w:rPr>
        <w:t>ITEM 15.          EXHIBITS AND FINANCIAL STATEMENT SCHEDULES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 FINANCIAL STATEMENTS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financial statements are filed as part of this report:</w:t>
      </w:r>
    </w:p>
    <w:p>
      <w:pPr>
        <w:pStyle w:val="TextBody"/>
        <w:bidi w:val="0"/>
        <w:spacing w:before="0" w:after="240"/>
        <w:ind w:left="0" w:right="0" w:hanging="0"/>
        <w:jc w:val="both"/>
        <w:rPr/>
      </w:pPr>
      <w:r>
        <w:rPr/>
        <w:t>​</w:t>
      </w:r>
    </w:p>
    <w:tbl>
      <w:tblPr>
        <w:tblW w:w="9842" w:type="dxa"/>
        <w:jc w:val="left"/>
        <w:tblInd w:w="0" w:type="dxa"/>
        <w:tblLayout w:type="fixed"/>
        <w:tblCellMar>
          <w:top w:w="0" w:type="dxa"/>
          <w:left w:w="0" w:type="dxa"/>
          <w:bottom w:w="0" w:type="dxa"/>
          <w:right w:w="0" w:type="dxa"/>
        </w:tblCellMar>
      </w:tblPr>
      <w:tblGrid>
        <w:gridCol w:w="9421"/>
        <w:gridCol w:w="421"/>
      </w:tblGrid>
      <w:tr>
        <w:trPr/>
        <w:tc>
          <w:tcPr>
            <w:tcW w:w="9421" w:type="dxa"/>
            <w:tcBorders/>
            <w:vAlign w:val="center"/>
          </w:tcPr>
          <w:p>
            <w:pPr>
              <w:pStyle w:val="TableContents"/>
              <w:bidi w:val="0"/>
              <w:spacing w:before="0" w:after="283"/>
              <w:ind w:left="0" w:right="0" w:hanging="0"/>
              <w:jc w:val="left"/>
              <w:rPr>
                <w:sz w:val="4"/>
                <w:szCs w:val="4"/>
              </w:rPr>
            </w:pPr>
            <w:r>
              <w:rPr>
                <w:sz w:val="4"/>
                <w:szCs w:val="4"/>
              </w:rPr>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67335" cy="29210"/>
                      <wp:effectExtent l="0" t="0" r="0" b="0"/>
                      <wp:wrapNone/>
                      <wp:docPr id="107" name="Frame107"/>
                      <a:graphic xmlns:a="http://schemas.openxmlformats.org/drawingml/2006/main">
                        <a:graphicData uri="http://schemas.microsoft.com/office/word/2010/wordprocessingShape">
                          <wps:wsp>
                            <wps:cNvSpPr txBox="1"/>
                            <wps:spPr>
                              <a:xfrm>
                                <a:off x="0" y="0"/>
                                <a:ext cx="267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21" w:type="dxa"/>
            <w:tcBorders/>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Number 248)</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421" w:type="dxa"/>
            <w:tcBorders/>
            <w:vAlign w:val="center"/>
          </w:tcPr>
          <w:p>
            <w:pPr>
              <w:pStyle w:val="TableContents"/>
              <w:bidi w:val="0"/>
              <w:spacing w:before="0" w:after="0"/>
              <w:ind w:left="0" w:right="0" w:hanging="0"/>
              <w:jc w:val="left"/>
              <w:rPr/>
            </w:pPr>
            <w:hyperlink w:anchor="CONSOLIDATEDANDCOMBINEDBALANCESHEETS_133">
              <w:r>
                <w:rPr>
                  <w:rStyle w:val="InternetLink"/>
                  <w:rFonts w:ascii="Times New Roman;Times;serif" w:hAnsi="Times New Roman;Times;serif"/>
                  <w:b w:val="false"/>
                  <w:i w:val="false"/>
                  <w:caps w:val="false"/>
                  <w:smallCaps w:val="false"/>
                  <w:sz w:val="20"/>
                </w:rPr>
                <w:t>Consolidated Balance Sheets as of December 31, 2023 and 2022</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F-3</w:t>
            </w:r>
          </w:p>
        </w:tc>
      </w:tr>
      <w:tr>
        <w:trPr/>
        <w:tc>
          <w:tcPr>
            <w:tcW w:w="9421" w:type="dxa"/>
            <w:tcBorders/>
            <w:vAlign w:val="center"/>
          </w:tcPr>
          <w:p>
            <w:pPr>
              <w:pStyle w:val="TableContents"/>
              <w:pBdr/>
              <w:bidi w:val="0"/>
              <w:spacing w:before="0" w:after="0"/>
              <w:ind w:left="0" w:right="0" w:hanging="0"/>
              <w:jc w:val="left"/>
              <w:rPr/>
            </w:pPr>
            <w:hyperlink w:anchor="CONSOLIDATEDANDCOMBINEDSTATEMENTSOFOPERA">
              <w:r>
                <w:rPr>
                  <w:rStyle w:val="InternetLink"/>
                  <w:rFonts w:ascii="Times New Roman;Times;serif" w:hAnsi="Times New Roman;Times;serif"/>
                  <w:b w:val="false"/>
                  <w:i w:val="false"/>
                  <w:caps w:val="false"/>
                  <w:smallCaps w:val="false"/>
                  <w:sz w:val="20"/>
                </w:rPr>
                <w:t>Consolidated Statements of Operations for the years ended December 31, 2023, 2022, and 2021</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421" w:type="dxa"/>
            <w:tcBorders/>
            <w:vAlign w:val="center"/>
          </w:tcPr>
          <w:p>
            <w:pPr>
              <w:pStyle w:val="TableContents"/>
              <w:pBdr/>
              <w:bidi w:val="0"/>
              <w:spacing w:before="0" w:after="0"/>
              <w:ind w:left="0" w:right="0" w:hanging="0"/>
              <w:jc w:val="left"/>
              <w:rPr/>
            </w:pPr>
            <w:hyperlink w:anchor="CONSOLIDATEDSTATEMENTSOFCOMPINCOME">
              <w:r>
                <w:rPr>
                  <w:rStyle w:val="InternetLink"/>
                  <w:rFonts w:ascii="Times New Roman;Times;serif" w:hAnsi="Times New Roman;Times;serif"/>
                  <w:b w:val="false"/>
                  <w:i w:val="false"/>
                  <w:caps w:val="false"/>
                  <w:smallCaps w:val="false"/>
                  <w:sz w:val="20"/>
                </w:rPr>
                <w:t>Consolidated Statements of Comprehensive Income (Loss) for the years ended December 31, 2023, 2022, and 2021</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421" w:type="dxa"/>
            <w:tcBorders/>
            <w:vAlign w:val="center"/>
          </w:tcPr>
          <w:p>
            <w:pPr>
              <w:pStyle w:val="TableContents"/>
              <w:pBdr/>
              <w:bidi w:val="0"/>
              <w:spacing w:before="0" w:after="0"/>
              <w:ind w:left="0" w:right="0" w:hanging="0"/>
              <w:jc w:val="left"/>
              <w:rPr/>
            </w:pPr>
            <w:hyperlink w:anchor="CONSOLIDATEDANDCOMBINEDSTATEMENTSOFEQUIT">
              <w:r>
                <w:rPr>
                  <w:rStyle w:val="InternetLink"/>
                  <w:rFonts w:ascii="Times New Roman;Times;serif" w:hAnsi="Times New Roman;Times;serif"/>
                  <w:b w:val="false"/>
                  <w:i w:val="false"/>
                  <w:caps w:val="false"/>
                  <w:smallCaps w:val="false"/>
                  <w:sz w:val="20"/>
                </w:rPr>
                <w:t xml:space="preserve">Consolidated Statements of Stockholders’ Equity for the years ended December 31, 2023, 2022, and 2021 </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421" w:type="dxa"/>
            <w:tcBorders/>
            <w:vAlign w:val="center"/>
          </w:tcPr>
          <w:p>
            <w:pPr>
              <w:pStyle w:val="TableContents"/>
              <w:pBdr/>
              <w:bidi w:val="0"/>
              <w:spacing w:before="0" w:after="0"/>
              <w:ind w:left="0" w:right="0" w:hanging="0"/>
              <w:jc w:val="left"/>
              <w:rPr/>
            </w:pPr>
            <w:hyperlink w:anchor="CONSOLIDATEDANDCOMBINEDSTATEMENTSOFCASHF">
              <w:r>
                <w:rPr>
                  <w:rStyle w:val="InternetLink"/>
                  <w:rFonts w:ascii="Times New Roman;Times;serif" w:hAnsi="Times New Roman;Times;serif"/>
                  <w:b w:val="false"/>
                  <w:i w:val="false"/>
                  <w:caps w:val="false"/>
                  <w:smallCaps w:val="false"/>
                  <w:sz w:val="20"/>
                </w:rPr>
                <w:t xml:space="preserve">Consolidated Statements of Cash Flows for the years ended December 31, 2023, 2022, and 2021 </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421" w:type="dxa"/>
            <w:tcBorders/>
            <w:vAlign w:val="center"/>
          </w:tcPr>
          <w:p>
            <w:pPr>
              <w:pStyle w:val="TableContents"/>
              <w:pBdr/>
              <w:bidi w:val="0"/>
              <w:spacing w:before="0" w:after="0"/>
              <w:ind w:left="0" w:right="0" w:hanging="0"/>
              <w:jc w:val="left"/>
              <w:rPr/>
            </w:pPr>
            <w:hyperlink w:anchor="NOTESTOCONSOLIDATEDANDCOMBINEDFINANCIALS">
              <w:r>
                <w:rPr>
                  <w:rStyle w:val="InternetLink"/>
                  <w:rFonts w:ascii="Times New Roman;Times;serif" w:hAnsi="Times New Roman;Times;serif"/>
                  <w:b w:val="false"/>
                  <w:i w:val="false"/>
                  <w:caps w:val="false"/>
                  <w:smallCaps w:val="false"/>
                  <w:sz w:val="20"/>
                </w:rPr>
                <w:t xml:space="preserve">Notes to Consolidated Financial Statements </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 FINANCIAL STATEMENT SCHEDULES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Schedules are omitted because of the absence of conditions under which they are required, materiality, or because the required information is given in the financial statements or notes thereof.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3. EXHIBITS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06"/>
        <w:gridCol w:w="326"/>
        <w:gridCol w:w="9173"/>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48310" cy="189865"/>
                      <wp:effectExtent l="0" t="0" r="0" b="0"/>
                      <wp:wrapNone/>
                      <wp:docPr id="108" name="Frame108"/>
                      <a:graphic xmlns:a="http://schemas.openxmlformats.org/drawingml/2006/main">
                        <a:graphicData uri="http://schemas.microsoft.com/office/word/2010/wordprocessingShape">
                          <wps:wsp>
                            <wps:cNvSpPr txBox="1"/>
                            <wps:spPr>
                              <a:xfrm>
                                <a:off x="0" y="0"/>
                                <a:ext cx="448310" cy="189865"/>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HIDDEN_ROW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HIDDEN_ROW</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824855" cy="29210"/>
                      <wp:effectExtent l="0" t="0" r="0" b="0"/>
                      <wp:wrapNone/>
                      <wp:docPr id="109" name="Frame109"/>
                      <a:graphic xmlns:a="http://schemas.openxmlformats.org/drawingml/2006/main">
                        <a:graphicData uri="http://schemas.microsoft.com/office/word/2010/wordprocessingShape">
                          <wps:wsp>
                            <wps:cNvSpPr txBox="1"/>
                            <wps:spPr>
                              <a:xfrm>
                                <a:off x="0" y="0"/>
                                <a:ext cx="5824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 </w:t>
            </w:r>
            <w:r>
              <w:rPr>
                <w:rFonts w:ascii="Times New Roman;Times;serif" w:hAnsi="Times New Roman;Times;serif"/>
                <w:sz w:val="16"/>
              </w:rPr>
              <w:br/>
            </w: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center"/>
              <w:rPr/>
            </w:pPr>
            <w:r>
              <w:rPr/>
              <w:t>    </w:t>
            </w:r>
          </w:p>
        </w:tc>
        <w:tc>
          <w:tcPr>
            <w:tcW w:w="91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center"/>
              <w:rPr/>
            </w:pPr>
            <w:r>
              <w:rPr/>
              <w:t>​</w:t>
            </w:r>
          </w:p>
        </w:tc>
        <w:tc>
          <w:tcPr>
            <w:tcW w:w="9173"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Articles of Amendment and Restatement of Alpine Income Property Trust, Inc. (incorporated by reference to Exhibit 3.1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Third Amended and Restated Bylaws of Alpine Income Property Trust, Inc. (incorporated by reference to Exhibit 3.1 to the Company’s Current Report on Form 8-K filed on February 3, 2023).</w:t>
              </w:r>
            </w:hyperlink>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Description of the Registrant’s Securities (incorporated by reference to Exhibit 4.1 to the Company’s Annual Report on Form 10-K filed on February 9, 2023).</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Specimen Common Stock Certificate of Alpine Income Property Trust, Inc. (incorporated by reference to Exhibit 4.1 to the Registrant’s Registration Statement on Form S-11/A (File No. 333-234304) filed with the Commission on October 29,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Stock Purchase Agreement, dated November 21, 2019, between Alpine Income Property Trust, Inc. and Consolidated-Tomoka Land Co. (incorporated by reference to Exhibit 10.1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Registration Rights Agreement, dated November 26, 2019, between Alpine Income Property Trust, Inc. and Consolidated-Tomoka Land Co. (incorporated by reference to Exhibit 10.2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Amended and Restated Agreement of Limited Partnership, dated November 26, 2019, among Alpine Income Property GP, LLC, Alpine Income Property Trust, Inc., Consolidated-Tomoka Land Co. and Indigo Group Ltd. (incorporated by reference to Exhibit 10.3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Tax Protection Agreement, dated November 26, 2019, among Alpine Income Property Trust, Inc., Alpine Income Property OP, LP, Consolidated-Tomoka Land Co. and Indigo Group Ltd. (incorporated by reference to Exhibit 10.4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Management Agreement, dated November 26, 2019, among Alpine Income Property Trust, Inc., Alpine Income Property OP, LP and Alpine Income Property Manager, LLC (incorporated by reference to Exhibit 10.5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Exclusivity and Right of First Offer Agreement, dated November 26, 2019, between Consolidated-Tomoka Land Co. and Alpine Income Property Trust, Inc. (incorporated by reference to Exhibit 10.6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Indemnification Agreement, dated November 21, 2019, between Alpine Income Property Trust, Inc. and John P. Albright (incorporated by reference to Exhibit 10.8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Indemnification Agreement, dated November 21, 2019, between Alpine Income Property Trust, Inc. and Steven R. Greathouse (incorporated by reference to Exhibit 10.10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Indemnification Agreement, dated November 21, 2019, between Alpine Income Property Trust, Inc. and Daniel E. Smith (incorporated by reference to Exhibit 10.11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Indemnification Agreement, dated November 21, 2019, between Alpine Income Property Trust, Inc. and Mark O. Decker, Jr. (incorporated by reference to Exhibit 10.12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109"/>
        <w:gridCol w:w="9510"/>
      </w:tblGrid>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Indemnification Agreement, dated November 21, 2019, between Alpine Income Property Trust, Inc. and M. Carson Good (incorporated by reference to Exhibit 10.13 to the Company’s Current Report on Form 8-K filed on December 3, 2019).*</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Indemnification Agreement, dated November 21, 2019, between Alpine Income Property Trust, Inc. and Andrew C. Richardson (incorporated by reference to Exhibit 10.14 to the Company’s Current Report on Form 8-K filed on December 3, 2019).*</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Indemnification Agreement, dated November 21, 2019, between Alpine Income Property Trust, Inc. and Jeffrey S. Yarckin (incorporated by reference to Exhibit 10.15 to the Company’s Current Report on Form 8-K filed on December 3, 2019).*</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hyperlink r:id="rId19">
              <w:r>
                <w:rPr>
                  <w:rStyle w:val="InternetLink"/>
                  <w:rFonts w:ascii="Times New Roman;Times;serif" w:hAnsi="Times New Roman;Times;serif"/>
                  <w:b w:val="false"/>
                  <w:i w:val="false"/>
                  <w:caps w:val="false"/>
                  <w:smallCaps w:val="false"/>
                  <w:sz w:val="20"/>
                </w:rPr>
                <w:t>Indemnification Agreement, dated February 10, 2021, between Alpine Income Property Trust, Inc. and Rachel E. Wein (incorporated by reference to Exhibit 10.1 to the Company’s Current Report on Form 8-K filed on February 11, 2021).*</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20">
              <w:r>
                <w:rPr>
                  <w:rStyle w:val="InternetLink"/>
                  <w:rFonts w:ascii="Times New Roman;Times;serif" w:hAnsi="Times New Roman;Times;serif"/>
                  <w:b w:val="false"/>
                  <w:i w:val="false"/>
                  <w:caps w:val="false"/>
                  <w:smallCaps w:val="false"/>
                  <w:sz w:val="20"/>
                </w:rPr>
                <w:t>Alpine Income Property Trust, Inc. 2019 Individual Equity Incentive Plan (incorporated by reference to Exhibit 10.1 to the Company’s Registration Statement on Form S-8 (File No. 333-235256) filed on November 25, 2019).*</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Alpine Income Property Trust, Inc. 2019 Manager Equity Incentive Plan (incorporated by reference to Exhibit 10.17 to the Company’s Current Report on Form 8-K filed on December 3, 2019).*</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22">
              <w:r>
                <w:rPr>
                  <w:rStyle w:val="InternetLink"/>
                  <w:rFonts w:ascii="Times New Roman;Times;serif" w:hAnsi="Times New Roman;Times;serif"/>
                  <w:b w:val="false"/>
                  <w:i w:val="false"/>
                  <w:caps w:val="false"/>
                  <w:smallCaps w:val="false"/>
                  <w:sz w:val="20"/>
                </w:rPr>
                <w:t>Form of Non-Employee Director Restricted Stock Award Agreement under the Alpine Income Property Trust, Inc. 2019 Individual Equity Incentive Plan (incorporated by reference to Exhibit 10.11 to the Registrant’s Registration Statement on Form S-11/A (File No. 333-234304) filed with the Commission on November 7, 2019).*</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23">
              <w:r>
                <w:rPr>
                  <w:rStyle w:val="InternetLink"/>
                  <w:rFonts w:ascii="Times New Roman;Times;serif" w:hAnsi="Times New Roman;Times;serif"/>
                  <w:b w:val="false"/>
                  <w:i w:val="false"/>
                  <w:caps w:val="false"/>
                  <w:smallCaps w:val="false"/>
                  <w:sz w:val="20"/>
                </w:rPr>
                <w:t>Credit Agreement, dated as of May 21, 2021, among Alpine Income Property, OP, LP, Alpine Income Property Trust, Inc., the other Guarantors from time to time parties thereto, Truist Bank, N.A., Bank of Montreal, Raymond James Bank, N.A. and Stifel Bank (incorporated by reference to Exhibit 10.2 to the Company’s Current Report on Form 8-K filed on May 25, 2021)</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24">
              <w:r>
                <w:rPr>
                  <w:rStyle w:val="InternetLink"/>
                  <w:rFonts w:ascii="Times New Roman;Times;serif" w:hAnsi="Times New Roman;Times;serif"/>
                  <w:b w:val="false"/>
                  <w:i w:val="false"/>
                  <w:caps w:val="false"/>
                  <w:smallCaps w:val="false"/>
                  <w:sz w:val="20"/>
                </w:rPr>
                <w:t>Amendment, Increase and Joinder to Credit Agreement, dated as of April 14, 2022, among Alpine Income Property, OP, LP, Alpine Income Property Trust, Inc., the other Guarantors from time to time parties thereto, Truist Bank, N.A., and certain other lenders named therein (incorporated by reference to Exhibit 10.2 to the Company’s Current Report on Form 8-K filed on April 18, 2022).</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25">
              <w:r>
                <w:rPr>
                  <w:rStyle w:val="InternetLink"/>
                  <w:rFonts w:ascii="Times New Roman;Times;serif" w:hAnsi="Times New Roman;Times;serif"/>
                  <w:b w:val="false"/>
                  <w:i w:val="false"/>
                  <w:caps w:val="false"/>
                  <w:smallCaps w:val="false"/>
                  <w:sz w:val="20"/>
                </w:rPr>
                <w:t>Amended and Restated Credit Agreement, dated as of September 30, 2022, among Alpine Income Property, OP, LP, Alpine Income Property Trust, Inc., the other Guarantors from time to time parties thereto, KeyBank National Association, and certain other lenders named therein (incorporated by reference to Exhibit 10.1 to the Company’s Current Report on Form 8-K filed on October 6, 2022).</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26">
              <w:r>
                <w:rPr>
                  <w:rStyle w:val="InternetLink"/>
                  <w:rFonts w:ascii="Times New Roman;Times;serif" w:hAnsi="Times New Roman;Times;serif"/>
                  <w:b w:val="false"/>
                  <w:i w:val="false"/>
                  <w:caps w:val="false"/>
                  <w:smallCaps w:val="false"/>
                  <w:sz w:val="20"/>
                </w:rPr>
                <w:t>Second Amendment to the 2026 Term Loan Agreement, dated as of October 5, 2022, among Alpine Income Property, OP, LP, Alpine Income Property Trust, Inc., the other Guarantors from time to time parties thereto, Truist Bank, N.A., and certain other lenders named therein (incorporated by reference to Exhibit 10.2 to the Company’s Quarterly Report on Form 10-Q filed on October 20, 2022).</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w:anchor="pine-20231231xex21d1.htm">
              <w:r>
                <w:rPr>
                  <w:rStyle w:val="InternetLink"/>
                  <w:rFonts w:ascii="Times New Roman;Times;serif" w:hAnsi="Times New Roman;Times;serif"/>
                  <w:b w:val="false"/>
                  <w:i w:val="false"/>
                  <w:caps w:val="false"/>
                  <w:smallCaps w:val="false"/>
                  <w:sz w:val="20"/>
                </w:rPr>
                <w:t>List of Subsidiaries of the Registrant. †</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w:anchor="pine-20231231xex23d1.htm">
              <w:r>
                <w:rPr>
                  <w:rStyle w:val="InternetLink"/>
                  <w:rFonts w:ascii="Times New Roman;Times;serif" w:hAnsi="Times New Roman;Times;serif"/>
                  <w:b w:val="false"/>
                  <w:i w:val="false"/>
                  <w:caps w:val="false"/>
                  <w:smallCaps w:val="false"/>
                  <w:sz w:val="20"/>
                </w:rPr>
                <w:t>Consent of Grant Thornton LLP. †</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w:anchor="pine-20231231xex31d1.htm">
              <w:r>
                <w:rPr>
                  <w:rStyle w:val="InternetLink"/>
                  <w:rFonts w:ascii="Times New Roman;Times;serif" w:hAnsi="Times New Roman;Times;serif"/>
                  <w:b w:val="false"/>
                  <w:i w:val="false"/>
                  <w:caps w:val="false"/>
                  <w:smallCaps w:val="false"/>
                  <w:sz w:val="20"/>
                </w:rPr>
                <w:t>Certificate of John P. Albright, President and Chief Executive Officer, pursuant to Section 302 of the Sarbanes-Oxley Act of 2002. †</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w:anchor="pine-20231231xex31d2.htm">
              <w:r>
                <w:rPr>
                  <w:rStyle w:val="InternetLink"/>
                  <w:rFonts w:ascii="Times New Roman;Times;serif" w:hAnsi="Times New Roman;Times;serif"/>
                  <w:b w:val="false"/>
                  <w:i w:val="false"/>
                  <w:caps w:val="false"/>
                  <w:smallCaps w:val="false"/>
                  <w:sz w:val="20"/>
                </w:rPr>
                <w:t>Certificate of Matthew M. Partridge, Senior Vice President, Chief Financial Officer and Treasurer, pursuant to Section 302 of the Sarbanes-Oxley Act of 2002. †</w:t>
              </w:r>
            </w:hyperlink>
          </w:p>
        </w:tc>
      </w:tr>
      <w:tr>
        <w:trPr/>
        <w:tc>
          <w:tcPr>
            <w:tcW w:w="58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 </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w:anchor="pine-20231231xex32d1.htm">
              <w:r>
                <w:rPr>
                  <w:rStyle w:val="InternetLink"/>
                  <w:rFonts w:ascii="Times New Roman;Times;serif" w:hAnsi="Times New Roman;Times;serif"/>
                  <w:b w:val="false"/>
                  <w:i w:val="false"/>
                  <w:caps w:val="false"/>
                  <w:smallCaps w:val="false"/>
                  <w:sz w:val="20"/>
                </w:rPr>
                <w:t>Certificate of John P. Albright, President and Chief Executive Officer, pursuant to 18 U.S.C. Section 1350, as adopted pursuant to Section 906 of the Sarbanes-Oxley Act of 2002. ††</w:t>
              </w:r>
            </w:hyperlink>
          </w:p>
        </w:tc>
      </w:tr>
      <w:tr>
        <w:trPr/>
        <w:tc>
          <w:tcPr>
            <w:tcW w:w="58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 </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122"/>
        <w:gridCol w:w="109"/>
        <w:gridCol w:w="8974"/>
      </w:tblGrid>
      <w:tr>
        <w:trPr/>
        <w:tc>
          <w:tcPr>
            <w:tcW w:w="11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both"/>
              <w:rPr/>
            </w:pPr>
            <w:hyperlink w:anchor="pine-20231231xex32d2.htm">
              <w:r>
                <w:rPr>
                  <w:rStyle w:val="InternetLink"/>
                  <w:rFonts w:ascii="Times New Roman;Times;serif" w:hAnsi="Times New Roman;Times;serif"/>
                  <w:b w:val="false"/>
                  <w:i w:val="false"/>
                  <w:caps w:val="false"/>
                  <w:smallCaps w:val="false"/>
                  <w:sz w:val="20"/>
                </w:rPr>
                <w:t>Certificate of Matthew M. Partridge, Senior Vice President, Chief Financial Officer and Treasurer, pursuant to 18 U.S.C. Section 1350, as adopted pursuant to Section 906 of the Sarbanes-Oxley Act of 2002. ††</w:t>
              </w:r>
            </w:hyperlink>
          </w:p>
        </w:tc>
      </w:tr>
      <w:tr>
        <w:trPr/>
        <w:tc>
          <w:tcPr>
            <w:tcW w:w="1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both"/>
              <w:rPr/>
            </w:pPr>
            <w:r>
              <w:rPr/>
              <w:t>​</w:t>
            </w:r>
          </w:p>
        </w:tc>
      </w:tr>
      <w:tr>
        <w:trPr/>
        <w:tc>
          <w:tcPr>
            <w:tcW w:w="11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both"/>
              <w:rPr/>
            </w:pPr>
            <w:hyperlink w:anchor="pine-20231231xex97d1.htm">
              <w:r>
                <w:rPr>
                  <w:rStyle w:val="InternetLink"/>
                  <w:rFonts w:ascii="Times New Roman;Times;serif" w:hAnsi="Times New Roman;Times;serif"/>
                  <w:b w:val="false"/>
                  <w:i w:val="false"/>
                  <w:caps w:val="false"/>
                  <w:smallCaps w:val="false"/>
                  <w:sz w:val="20"/>
                </w:rPr>
                <w:t>Policy Relating to Recovery of Erroneously Awarded Compensation. †*</w:t>
              </w:r>
            </w:hyperlink>
          </w:p>
        </w:tc>
      </w:tr>
      <w:tr>
        <w:trPr/>
        <w:tc>
          <w:tcPr>
            <w:tcW w:w="1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left"/>
              <w:rPr/>
            </w:pPr>
            <w:r>
              <w:rPr/>
              <w:t>​</w:t>
            </w:r>
          </w:p>
        </w:tc>
      </w:tr>
      <w:tr>
        <w:trPr/>
        <w:tc>
          <w:tcPr>
            <w:tcW w:w="11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101.INS</w:t>
            </w:r>
          </w:p>
        </w:tc>
        <w:tc>
          <w:tcPr>
            <w:tcW w:w="109" w:type="dxa"/>
            <w:tcBorders/>
            <w:vAlign w:val="center"/>
          </w:tcPr>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1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left"/>
              <w:rPr/>
            </w:pPr>
            <w:r>
              <w:rPr/>
              <w:t>​</w:t>
            </w:r>
          </w:p>
        </w:tc>
      </w:tr>
      <w:tr>
        <w:trPr/>
        <w:tc>
          <w:tcPr>
            <w:tcW w:w="11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101.SCH</w:t>
            </w:r>
          </w:p>
        </w:tc>
        <w:tc>
          <w:tcPr>
            <w:tcW w:w="109" w:type="dxa"/>
            <w:tcBorders/>
            <w:vAlign w:val="center"/>
          </w:tcPr>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left"/>
              <w:rPr/>
            </w:pPr>
            <w:r>
              <w:rPr/>
              <w:t>​</w:t>
            </w:r>
          </w:p>
        </w:tc>
      </w:tr>
      <w:tr>
        <w:trPr/>
        <w:tc>
          <w:tcPr>
            <w:tcW w:w="11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101.CAL</w:t>
            </w:r>
          </w:p>
        </w:tc>
        <w:tc>
          <w:tcPr>
            <w:tcW w:w="109" w:type="dxa"/>
            <w:tcBorders/>
            <w:vAlign w:val="center"/>
          </w:tcPr>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1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left"/>
              <w:rPr/>
            </w:pPr>
            <w:r>
              <w:rPr/>
              <w:t>​</w:t>
            </w:r>
          </w:p>
        </w:tc>
      </w:tr>
      <w:tr>
        <w:trPr/>
        <w:tc>
          <w:tcPr>
            <w:tcW w:w="11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101.DEF</w:t>
            </w:r>
          </w:p>
        </w:tc>
        <w:tc>
          <w:tcPr>
            <w:tcW w:w="109" w:type="dxa"/>
            <w:tcBorders/>
            <w:vAlign w:val="center"/>
          </w:tcPr>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Definition Linkbase Document</w:t>
            </w:r>
          </w:p>
        </w:tc>
      </w:tr>
      <w:tr>
        <w:trPr/>
        <w:tc>
          <w:tcPr>
            <w:tcW w:w="1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left"/>
              <w:rPr/>
            </w:pPr>
            <w:r>
              <w:rPr/>
              <w:t>​</w:t>
            </w:r>
          </w:p>
        </w:tc>
      </w:tr>
      <w:tr>
        <w:trPr/>
        <w:tc>
          <w:tcPr>
            <w:tcW w:w="11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101.LAB</w:t>
            </w:r>
          </w:p>
        </w:tc>
        <w:tc>
          <w:tcPr>
            <w:tcW w:w="109" w:type="dxa"/>
            <w:tcBorders/>
            <w:vAlign w:val="center"/>
          </w:tcPr>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1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left"/>
              <w:rPr/>
            </w:pPr>
            <w:r>
              <w:rPr/>
              <w:t>​</w:t>
            </w:r>
          </w:p>
        </w:tc>
      </w:tr>
      <w:tr>
        <w:trPr/>
        <w:tc>
          <w:tcPr>
            <w:tcW w:w="11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101.PRE</w:t>
            </w:r>
          </w:p>
        </w:tc>
        <w:tc>
          <w:tcPr>
            <w:tcW w:w="109" w:type="dxa"/>
            <w:tcBorders/>
            <w:vAlign w:val="center"/>
          </w:tcPr>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left"/>
              <w:rPr/>
            </w:pPr>
            <w:r>
              <w:rPr/>
              <w:t>​</w:t>
            </w:r>
          </w:p>
        </w:tc>
      </w:tr>
      <w:tr>
        <w:trPr/>
        <w:tc>
          <w:tcPr>
            <w:tcW w:w="11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104</w:t>
            </w:r>
          </w:p>
        </w:tc>
        <w:tc>
          <w:tcPr>
            <w:tcW w:w="109" w:type="dxa"/>
            <w:tcBorders/>
            <w:vAlign w:val="center"/>
          </w:tcPr>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pBdr/>
        <w:bidi w:val="0"/>
        <w:spacing w:before="0" w:after="0"/>
        <w:ind w:left="0" w:right="0" w:hanging="360"/>
        <w:jc w:val="left"/>
        <w:rPr/>
      </w:pPr>
      <w:r>
        <w:rPr/>
        <w:t>† </w:t>
      </w:r>
      <w:r>
        <w:rPr>
          <w:rFonts w:ascii="Times New Roman;Times;serif" w:hAnsi="Times New Roman;Times;serif"/>
          <w:sz w:val="20"/>
        </w:rPr>
        <w:t>Filed Herewith</w:t>
      </w:r>
    </w:p>
    <w:p>
      <w:pPr>
        <w:pStyle w:val="TextBody"/>
        <w:pBdr/>
        <w:bidi w:val="0"/>
        <w:spacing w:before="0" w:after="0"/>
        <w:ind w:left="0" w:right="0" w:hanging="360"/>
        <w:jc w:val="left"/>
        <w:rPr/>
      </w:pPr>
      <w:r>
        <w:rPr/>
        <w:t>††  </w:t>
      </w:r>
      <w:r>
        <w:rPr>
          <w:rFonts w:ascii="Times New Roman;Times;serif" w:hAnsi="Times New Roman;Times;serif"/>
          <w:sz w:val="20"/>
        </w:rPr>
        <w:t>Furnished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Management Contract or Compensatory Plan or Arrangement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  Portions of this exhibit have been redacted in compliance with Regulation S-K Item 601(b)(10). The omitted information is not material and is the type of information that the Company customarily and actually treats as private and confidential.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4" w:name="SIGNATURES_747870"/>
      <w:bookmarkStart w:id="85" w:name="_e0b86993_23b5_4f3e_99f5_16c26c5adacc"/>
      <w:bookmarkEnd w:id="84"/>
      <w:bookmarkEnd w:id="85"/>
      <w:r>
        <w:rPr>
          <w:rFonts w:ascii="Times New Roman;Times;serif" w:hAnsi="Times New Roman;Times;serif"/>
          <w:b/>
          <w:sz w:val="20"/>
        </w:rPr>
        <w:t>SIGNATURES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240"/>
        <w:ind w:left="0" w:right="0" w:hanging="0"/>
        <w:jc w:val="both"/>
        <w:rPr/>
      </w:pPr>
      <w:r>
        <w:rPr/>
        <w:t>​</w:t>
      </w:r>
    </w:p>
    <w:tbl>
      <w:tblPr>
        <w:tblW w:w="5776" w:type="dxa"/>
        <w:jc w:val="left"/>
        <w:tblInd w:w="0" w:type="dxa"/>
        <w:tblLayout w:type="fixed"/>
        <w:tblCellMar>
          <w:top w:w="0" w:type="dxa"/>
          <w:left w:w="0" w:type="dxa"/>
          <w:bottom w:w="0" w:type="dxa"/>
          <w:right w:w="0" w:type="dxa"/>
        </w:tblCellMar>
      </w:tblPr>
      <w:tblGrid>
        <w:gridCol w:w="1981"/>
        <w:gridCol w:w="412"/>
        <w:gridCol w:w="3383"/>
      </w:tblGrid>
      <w:tr>
        <w:trPr/>
        <w:tc>
          <w:tcPr>
            <w:tcW w:w="1981" w:type="dxa"/>
            <w:tcBorders/>
            <w:vAlign w:val="center"/>
          </w:tcPr>
          <w:p>
            <w:pPr>
              <w:pStyle w:val="TableContents"/>
              <w:bidi w:val="0"/>
              <w:spacing w:before="0" w:after="0"/>
              <w:ind w:left="0" w:right="0" w:hanging="0"/>
              <w:jc w:val="left"/>
              <w:rPr/>
            </w:pPr>
            <w:r>
              <w:rPr/>
              <w:t> </w:t>
            </w:r>
          </w:p>
        </w:tc>
        <w:tc>
          <w:tcPr>
            <w:tcW w:w="37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ALPINE INCOME PROPERTY TRUST, INC.</w:t>
            </w:r>
          </w:p>
        </w:tc>
      </w:tr>
      <w:tr>
        <w:trPr/>
        <w:tc>
          <w:tcPr>
            <w:tcW w:w="1981"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383"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8, 2024</w:t>
            </w:r>
          </w:p>
        </w:tc>
        <w:tc>
          <w:tcPr>
            <w:tcW w:w="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83"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JOHN P. ALBRIGHT</w:t>
            </w:r>
          </w:p>
        </w:tc>
      </w:tr>
      <w:tr>
        <w:trPr/>
        <w:tc>
          <w:tcPr>
            <w:tcW w:w="1981"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38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John P. Albright</w:t>
            </w:r>
          </w:p>
        </w:tc>
      </w:tr>
      <w:tr>
        <w:trPr/>
        <w:tc>
          <w:tcPr>
            <w:tcW w:w="1981"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38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352"/>
        <w:gridCol w:w="146"/>
        <w:gridCol w:w="6072"/>
        <w:gridCol w:w="146"/>
        <w:gridCol w:w="2489"/>
      </w:tblGrid>
      <w:tr>
        <w:trPr/>
        <w:tc>
          <w:tcPr>
            <w:tcW w:w="1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8, 2024</w:t>
            </w:r>
          </w:p>
        </w:tc>
        <w:tc>
          <w:tcPr>
            <w:tcW w:w="146" w:type="dxa"/>
            <w:tcBorders/>
            <w:vAlign w:val="center"/>
          </w:tcPr>
          <w:p>
            <w:pPr>
              <w:pStyle w:val="TableContents"/>
              <w:bidi w:val="0"/>
              <w:spacing w:before="0" w:after="0"/>
              <w:ind w:left="0" w:right="0" w:hanging="0"/>
              <w:jc w:val="left"/>
              <w:rPr/>
            </w:pPr>
            <w:r>
              <w:rPr/>
              <w:t>​</w:t>
            </w:r>
          </w:p>
        </w:tc>
        <w:tc>
          <w:tcPr>
            <w:tcW w:w="60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 (Principal Executive Officer), and Director</w:t>
            </w:r>
          </w:p>
        </w:tc>
        <w:tc>
          <w:tcPr>
            <w:tcW w:w="146" w:type="dxa"/>
            <w:tcBorders/>
            <w:vAlign w:val="center"/>
          </w:tcPr>
          <w:p>
            <w:pPr>
              <w:pStyle w:val="TableContents"/>
              <w:bidi w:val="0"/>
              <w:spacing w:before="0" w:after="0"/>
              <w:ind w:left="0" w:right="0" w:hanging="0"/>
              <w:jc w:val="left"/>
              <w:rPr/>
            </w:pPr>
            <w:r>
              <w:rPr/>
              <w:t>​</w:t>
            </w:r>
          </w:p>
        </w:tc>
        <w:tc>
          <w:tcPr>
            <w:tcW w:w="24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r>
      <w:tr>
        <w:trPr/>
        <w:tc>
          <w:tcPr>
            <w:tcW w:w="135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7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8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John P. Albright</w:t>
            </w:r>
          </w:p>
          <w:p>
            <w:pPr>
              <w:pStyle w:val="TableContents"/>
              <w:bidi w:val="0"/>
              <w:spacing w:before="0" w:after="0"/>
              <w:ind w:left="0" w:right="0" w:hanging="0"/>
              <w:jc w:val="left"/>
              <w:rPr/>
            </w:pPr>
            <w:r>
              <w:rPr/>
              <w:t>​</w:t>
            </w:r>
          </w:p>
        </w:tc>
      </w:tr>
      <w:tr>
        <w:trPr/>
        <w:tc>
          <w:tcPr>
            <w:tcW w:w="1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8, 2024</w:t>
            </w:r>
          </w:p>
        </w:tc>
        <w:tc>
          <w:tcPr>
            <w:tcW w:w="146" w:type="dxa"/>
            <w:tcBorders/>
            <w:vAlign w:val="center"/>
          </w:tcPr>
          <w:p>
            <w:pPr>
              <w:pStyle w:val="TableContents"/>
              <w:bidi w:val="0"/>
              <w:spacing w:before="0" w:after="0"/>
              <w:ind w:left="0" w:right="0" w:hanging="0"/>
              <w:jc w:val="left"/>
              <w:rPr/>
            </w:pPr>
            <w:r>
              <w:rPr/>
              <w:t>​</w:t>
            </w:r>
          </w:p>
        </w:tc>
        <w:tc>
          <w:tcPr>
            <w:tcW w:w="60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Chief Financial Officer, and Treasurer (Principal Financial Officer)</w:t>
            </w:r>
          </w:p>
        </w:tc>
        <w:tc>
          <w:tcPr>
            <w:tcW w:w="146" w:type="dxa"/>
            <w:tcBorders/>
            <w:vAlign w:val="center"/>
          </w:tcPr>
          <w:p>
            <w:pPr>
              <w:pStyle w:val="TableContents"/>
              <w:bidi w:val="0"/>
              <w:spacing w:before="0" w:after="0"/>
              <w:ind w:left="0" w:right="0" w:hanging="0"/>
              <w:jc w:val="left"/>
              <w:rPr/>
            </w:pPr>
            <w:r>
              <w:rPr/>
              <w:t>​</w:t>
            </w:r>
          </w:p>
        </w:tc>
        <w:tc>
          <w:tcPr>
            <w:tcW w:w="24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M. PARTRIDGE</w:t>
            </w:r>
          </w:p>
        </w:tc>
      </w:tr>
      <w:tr>
        <w:trPr/>
        <w:tc>
          <w:tcPr>
            <w:tcW w:w="135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pBdr/>
              <w:bidi w:val="0"/>
              <w:spacing w:before="0" w:after="0"/>
              <w:ind w:left="0" w:right="0" w:hanging="0"/>
              <w:jc w:val="left"/>
              <w:rPr/>
            </w:pPr>
            <w:r>
              <w:rPr/>
              <w:t>​</w:t>
            </w:r>
          </w:p>
        </w:tc>
        <w:tc>
          <w:tcPr>
            <w:tcW w:w="6072" w:type="dxa"/>
            <w:tcBorders/>
            <w:vAlign w:val="center"/>
          </w:tcPr>
          <w:p>
            <w:pPr>
              <w:pStyle w:val="TableContents"/>
              <w:pBdr/>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8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Matthew M. Partridge</w:t>
            </w:r>
          </w:p>
          <w:p>
            <w:pPr>
              <w:pStyle w:val="TableContents"/>
              <w:bidi w:val="0"/>
              <w:spacing w:before="0" w:after="0"/>
              <w:ind w:left="0" w:right="0" w:hanging="0"/>
              <w:jc w:val="left"/>
              <w:rPr/>
            </w:pPr>
            <w:r>
              <w:rPr/>
              <w:t>​</w:t>
            </w:r>
          </w:p>
        </w:tc>
      </w:tr>
      <w:tr>
        <w:trPr/>
        <w:tc>
          <w:tcPr>
            <w:tcW w:w="1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8, 2024</w:t>
            </w:r>
          </w:p>
        </w:tc>
        <w:tc>
          <w:tcPr>
            <w:tcW w:w="146" w:type="dxa"/>
            <w:tcBorders/>
            <w:vAlign w:val="center"/>
          </w:tcPr>
          <w:p>
            <w:pPr>
              <w:pStyle w:val="TableContents"/>
              <w:pBdr/>
              <w:bidi w:val="0"/>
              <w:spacing w:before="0" w:after="0"/>
              <w:ind w:left="0" w:right="0" w:hanging="0"/>
              <w:jc w:val="left"/>
              <w:rPr/>
            </w:pPr>
            <w:r>
              <w:rPr/>
              <w:t>​</w:t>
            </w:r>
          </w:p>
        </w:tc>
        <w:tc>
          <w:tcPr>
            <w:tcW w:w="60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Chief Accounting Officer (Principal Accounting Officer)</w:t>
            </w:r>
          </w:p>
        </w:tc>
        <w:tc>
          <w:tcPr>
            <w:tcW w:w="146" w:type="dxa"/>
            <w:tcBorders/>
            <w:vAlign w:val="center"/>
          </w:tcPr>
          <w:p>
            <w:pPr>
              <w:pStyle w:val="TableContents"/>
              <w:bidi w:val="0"/>
              <w:spacing w:before="0" w:after="0"/>
              <w:ind w:left="0" w:right="0" w:hanging="0"/>
              <w:jc w:val="left"/>
              <w:rPr/>
            </w:pPr>
            <w:r>
              <w:rPr/>
              <w:t>​</w:t>
            </w:r>
          </w:p>
        </w:tc>
        <w:tc>
          <w:tcPr>
            <w:tcW w:w="24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M. VORAKOUN</w:t>
            </w:r>
          </w:p>
        </w:tc>
      </w:tr>
      <w:tr>
        <w:trPr/>
        <w:tc>
          <w:tcPr>
            <w:tcW w:w="135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7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8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Lisa M. Vorakoun</w:t>
            </w:r>
          </w:p>
          <w:p>
            <w:pPr>
              <w:pStyle w:val="TableContents"/>
              <w:bidi w:val="0"/>
              <w:spacing w:before="0" w:after="0"/>
              <w:ind w:left="0" w:right="0" w:hanging="0"/>
              <w:jc w:val="left"/>
              <w:rPr/>
            </w:pPr>
            <w:r>
              <w:rPr/>
              <w:t>​</w:t>
            </w:r>
          </w:p>
        </w:tc>
      </w:tr>
      <w:tr>
        <w:trPr/>
        <w:tc>
          <w:tcPr>
            <w:tcW w:w="1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8, 2024</w:t>
            </w:r>
          </w:p>
        </w:tc>
        <w:tc>
          <w:tcPr>
            <w:tcW w:w="146" w:type="dxa"/>
            <w:tcBorders/>
            <w:vAlign w:val="center"/>
          </w:tcPr>
          <w:p>
            <w:pPr>
              <w:pStyle w:val="TableContents"/>
              <w:bidi w:val="0"/>
              <w:spacing w:before="0" w:after="0"/>
              <w:ind w:left="0" w:right="0" w:hanging="0"/>
              <w:jc w:val="left"/>
              <w:rPr/>
            </w:pPr>
            <w:r>
              <w:rPr/>
              <w:t> </w:t>
            </w:r>
          </w:p>
        </w:tc>
        <w:tc>
          <w:tcPr>
            <w:tcW w:w="60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Director</w:t>
            </w:r>
          </w:p>
        </w:tc>
        <w:tc>
          <w:tcPr>
            <w:tcW w:w="146" w:type="dxa"/>
            <w:tcBorders/>
            <w:vAlign w:val="center"/>
          </w:tcPr>
          <w:p>
            <w:pPr>
              <w:pStyle w:val="TableContents"/>
              <w:bidi w:val="0"/>
              <w:spacing w:before="0" w:after="0"/>
              <w:ind w:left="0" w:right="0" w:hanging="0"/>
              <w:jc w:val="left"/>
              <w:rPr/>
            </w:pPr>
            <w:r>
              <w:rPr/>
              <w:t> </w:t>
            </w:r>
          </w:p>
        </w:tc>
        <w:tc>
          <w:tcPr>
            <w:tcW w:w="24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C. RICHARDSON</w:t>
            </w:r>
          </w:p>
        </w:tc>
      </w:tr>
      <w:tr>
        <w:trPr/>
        <w:tc>
          <w:tcPr>
            <w:tcW w:w="135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7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8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Andrew C. Richardson</w:t>
            </w:r>
          </w:p>
          <w:p>
            <w:pPr>
              <w:pStyle w:val="TableContents"/>
              <w:bidi w:val="0"/>
              <w:spacing w:before="0" w:after="0"/>
              <w:ind w:left="0" w:right="0" w:hanging="0"/>
              <w:jc w:val="left"/>
              <w:rPr/>
            </w:pPr>
            <w:r>
              <w:rPr/>
              <w:t>​</w:t>
            </w:r>
          </w:p>
        </w:tc>
      </w:tr>
      <w:tr>
        <w:trPr/>
        <w:tc>
          <w:tcPr>
            <w:tcW w:w="1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8, 2024</w:t>
            </w:r>
          </w:p>
        </w:tc>
        <w:tc>
          <w:tcPr>
            <w:tcW w:w="146" w:type="dxa"/>
            <w:tcBorders/>
            <w:vAlign w:val="center"/>
          </w:tcPr>
          <w:p>
            <w:pPr>
              <w:pStyle w:val="TableContents"/>
              <w:bidi w:val="0"/>
              <w:spacing w:before="0" w:after="0"/>
              <w:ind w:left="0" w:right="0" w:hanging="0"/>
              <w:jc w:val="left"/>
              <w:rPr/>
            </w:pPr>
            <w:r>
              <w:rPr/>
              <w:t>​</w:t>
            </w:r>
          </w:p>
        </w:tc>
        <w:tc>
          <w:tcPr>
            <w:tcW w:w="60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6" w:type="dxa"/>
            <w:tcBorders/>
            <w:vAlign w:val="center"/>
          </w:tcPr>
          <w:p>
            <w:pPr>
              <w:pStyle w:val="TableContents"/>
              <w:bidi w:val="0"/>
              <w:spacing w:before="0" w:after="0"/>
              <w:ind w:left="0" w:right="0" w:hanging="0"/>
              <w:jc w:val="left"/>
              <w:rPr/>
            </w:pPr>
            <w:r>
              <w:rPr/>
              <w:t>​</w:t>
            </w:r>
          </w:p>
        </w:tc>
        <w:tc>
          <w:tcPr>
            <w:tcW w:w="24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MARK O. DECKER, JR.</w:t>
            </w:r>
          </w:p>
        </w:tc>
      </w:tr>
      <w:tr>
        <w:trPr/>
        <w:tc>
          <w:tcPr>
            <w:tcW w:w="135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7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8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Mark O. Decker, Jr</w:t>
            </w:r>
            <w:r>
              <w:rPr>
                <w:rFonts w:ascii="Times New Roman;Times;serif" w:hAnsi="Times New Roman;Times;serif"/>
                <w:sz w:val="20"/>
              </w:rPr>
              <w:t>.</w:t>
            </w:r>
          </w:p>
          <w:p>
            <w:pPr>
              <w:pStyle w:val="TableContents"/>
              <w:bidi w:val="0"/>
              <w:spacing w:before="0" w:after="0"/>
              <w:ind w:left="0" w:right="0" w:hanging="0"/>
              <w:jc w:val="left"/>
              <w:rPr/>
            </w:pPr>
            <w:r>
              <w:rPr/>
              <w:t>​</w:t>
            </w:r>
          </w:p>
        </w:tc>
      </w:tr>
      <w:tr>
        <w:trPr/>
        <w:tc>
          <w:tcPr>
            <w:tcW w:w="1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8, 2024</w:t>
            </w:r>
          </w:p>
        </w:tc>
        <w:tc>
          <w:tcPr>
            <w:tcW w:w="146" w:type="dxa"/>
            <w:tcBorders/>
            <w:vAlign w:val="center"/>
          </w:tcPr>
          <w:p>
            <w:pPr>
              <w:pStyle w:val="TableContents"/>
              <w:bidi w:val="0"/>
              <w:spacing w:before="0" w:after="0"/>
              <w:ind w:left="0" w:right="0" w:hanging="0"/>
              <w:jc w:val="left"/>
              <w:rPr/>
            </w:pPr>
            <w:r>
              <w:rPr/>
              <w:t>​</w:t>
            </w:r>
          </w:p>
        </w:tc>
        <w:tc>
          <w:tcPr>
            <w:tcW w:w="60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6" w:type="dxa"/>
            <w:tcBorders/>
            <w:vAlign w:val="center"/>
          </w:tcPr>
          <w:p>
            <w:pPr>
              <w:pStyle w:val="TableContents"/>
              <w:bidi w:val="0"/>
              <w:spacing w:before="0" w:after="0"/>
              <w:ind w:left="0" w:right="0" w:hanging="0"/>
              <w:jc w:val="left"/>
              <w:rPr/>
            </w:pPr>
            <w:r>
              <w:rPr/>
              <w:t>​</w:t>
            </w:r>
          </w:p>
        </w:tc>
        <w:tc>
          <w:tcPr>
            <w:tcW w:w="24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 CARSON GOOD</w:t>
            </w:r>
          </w:p>
        </w:tc>
      </w:tr>
      <w:tr>
        <w:trPr/>
        <w:tc>
          <w:tcPr>
            <w:tcW w:w="135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7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8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 Carson Good</w:t>
            </w:r>
          </w:p>
          <w:p>
            <w:pPr>
              <w:pStyle w:val="TableContents"/>
              <w:bidi w:val="0"/>
              <w:spacing w:before="0" w:after="0"/>
              <w:ind w:left="0" w:right="0" w:hanging="0"/>
              <w:jc w:val="left"/>
              <w:rPr/>
            </w:pPr>
            <w:r>
              <w:rPr/>
              <w:t>​</w:t>
            </w:r>
          </w:p>
        </w:tc>
      </w:tr>
      <w:tr>
        <w:trPr/>
        <w:tc>
          <w:tcPr>
            <w:tcW w:w="1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8, 2024</w:t>
            </w:r>
          </w:p>
        </w:tc>
        <w:tc>
          <w:tcPr>
            <w:tcW w:w="146" w:type="dxa"/>
            <w:tcBorders/>
            <w:vAlign w:val="center"/>
          </w:tcPr>
          <w:p>
            <w:pPr>
              <w:pStyle w:val="TableContents"/>
              <w:bidi w:val="0"/>
              <w:spacing w:before="0" w:after="0"/>
              <w:ind w:left="0" w:right="0" w:hanging="0"/>
              <w:jc w:val="left"/>
              <w:rPr/>
            </w:pPr>
            <w:r>
              <w:rPr/>
              <w:t>​</w:t>
            </w:r>
          </w:p>
        </w:tc>
        <w:tc>
          <w:tcPr>
            <w:tcW w:w="60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6" w:type="dxa"/>
            <w:tcBorders/>
            <w:vAlign w:val="center"/>
          </w:tcPr>
          <w:p>
            <w:pPr>
              <w:pStyle w:val="TableContents"/>
              <w:bidi w:val="0"/>
              <w:spacing w:before="0" w:after="0"/>
              <w:ind w:left="0" w:right="0" w:hanging="0"/>
              <w:jc w:val="left"/>
              <w:rPr/>
            </w:pPr>
            <w:r>
              <w:rPr/>
              <w:t>​</w:t>
            </w:r>
          </w:p>
        </w:tc>
        <w:tc>
          <w:tcPr>
            <w:tcW w:w="24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S. YARCKIN</w:t>
            </w:r>
          </w:p>
        </w:tc>
      </w:tr>
      <w:tr>
        <w:trPr/>
        <w:tc>
          <w:tcPr>
            <w:tcW w:w="135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7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8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Jeffrey S. Yarckin</w:t>
            </w:r>
          </w:p>
          <w:p>
            <w:pPr>
              <w:pStyle w:val="TableContents"/>
              <w:bidi w:val="0"/>
              <w:spacing w:before="0" w:after="0"/>
              <w:ind w:left="0" w:right="0" w:hanging="0"/>
              <w:jc w:val="left"/>
              <w:rPr/>
            </w:pPr>
            <w:r>
              <w:rPr/>
              <w:t>​</w:t>
            </w:r>
          </w:p>
        </w:tc>
      </w:tr>
      <w:tr>
        <w:trPr/>
        <w:tc>
          <w:tcPr>
            <w:tcW w:w="1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8, 2024</w:t>
            </w:r>
          </w:p>
        </w:tc>
        <w:tc>
          <w:tcPr>
            <w:tcW w:w="146" w:type="dxa"/>
            <w:tcBorders/>
            <w:vAlign w:val="center"/>
          </w:tcPr>
          <w:p>
            <w:pPr>
              <w:pStyle w:val="TableContents"/>
              <w:bidi w:val="0"/>
              <w:spacing w:before="0" w:after="0"/>
              <w:ind w:left="0" w:right="0" w:hanging="0"/>
              <w:jc w:val="left"/>
              <w:rPr/>
            </w:pPr>
            <w:r>
              <w:rPr/>
              <w:t>​</w:t>
            </w:r>
          </w:p>
        </w:tc>
        <w:tc>
          <w:tcPr>
            <w:tcW w:w="60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6" w:type="dxa"/>
            <w:tcBorders/>
            <w:vAlign w:val="center"/>
          </w:tcPr>
          <w:p>
            <w:pPr>
              <w:pStyle w:val="TableContents"/>
              <w:bidi w:val="0"/>
              <w:spacing w:before="0" w:after="0"/>
              <w:ind w:left="0" w:right="0" w:hanging="0"/>
              <w:jc w:val="left"/>
              <w:rPr/>
            </w:pPr>
            <w:r>
              <w:rPr/>
              <w:t>​</w:t>
            </w:r>
          </w:p>
        </w:tc>
        <w:tc>
          <w:tcPr>
            <w:tcW w:w="24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RACHEL E. WEIN</w:t>
            </w:r>
          </w:p>
        </w:tc>
      </w:tr>
      <w:tr>
        <w:trPr/>
        <w:tc>
          <w:tcPr>
            <w:tcW w:w="135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7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8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Rachel E. Wein</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6" w:name="_7e999397_5268_433f_9eed_3271819909da"/>
      <w:bookmarkEnd w:id="86"/>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FINANCIAL STATEMENTS</w:t>
      </w:r>
    </w:p>
    <w:p>
      <w:pPr>
        <w:pStyle w:val="TextBody"/>
        <w:bidi w:val="0"/>
        <w:spacing w:before="0" w:after="240"/>
        <w:ind w:left="0" w:right="0" w:hanging="0"/>
        <w:jc w:val="both"/>
        <w:rPr/>
      </w:pPr>
      <w:r>
        <w:rPr/>
        <w:t>​</w:t>
      </w:r>
    </w:p>
    <w:tbl>
      <w:tblPr>
        <w:tblW w:w="9842" w:type="dxa"/>
        <w:jc w:val="left"/>
        <w:tblInd w:w="0" w:type="dxa"/>
        <w:tblLayout w:type="fixed"/>
        <w:tblCellMar>
          <w:top w:w="0" w:type="dxa"/>
          <w:left w:w="0" w:type="dxa"/>
          <w:bottom w:w="0" w:type="dxa"/>
          <w:right w:w="0" w:type="dxa"/>
        </w:tblCellMar>
      </w:tblPr>
      <w:tblGrid>
        <w:gridCol w:w="9421"/>
        <w:gridCol w:w="421"/>
      </w:tblGrid>
      <w:tr>
        <w:trPr/>
        <w:tc>
          <w:tcPr>
            <w:tcW w:w="9421" w:type="dxa"/>
            <w:tcBorders/>
            <w:vAlign w:val="center"/>
          </w:tcPr>
          <w:p>
            <w:pPr>
              <w:pStyle w:val="TableContents"/>
              <w:bidi w:val="0"/>
              <w:spacing w:before="0" w:after="283"/>
              <w:ind w:left="0" w:right="0" w:hanging="0"/>
              <w:jc w:val="left"/>
              <w:rPr>
                <w:sz w:val="4"/>
                <w:szCs w:val="4"/>
              </w:rPr>
            </w:pPr>
            <w:r>
              <w:rPr>
                <w:sz w:val="4"/>
                <w:szCs w:val="4"/>
              </w:rPr>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67335" cy="29210"/>
                      <wp:effectExtent l="0" t="0" r="0" b="0"/>
                      <wp:wrapNone/>
                      <wp:docPr id="110" name="Frame110"/>
                      <a:graphic xmlns:a="http://schemas.openxmlformats.org/drawingml/2006/main">
                        <a:graphicData uri="http://schemas.microsoft.com/office/word/2010/wordprocessingShape">
                          <wps:wsp>
                            <wps:cNvSpPr txBox="1"/>
                            <wps:spPr>
                              <a:xfrm>
                                <a:off x="0" y="0"/>
                                <a:ext cx="267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21" w:type="dxa"/>
            <w:tcBorders/>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421" w:type="dxa"/>
            <w:tcBorders/>
            <w:vAlign w:val="center"/>
          </w:tcPr>
          <w:p>
            <w:pPr>
              <w:pStyle w:val="TableContents"/>
              <w:bidi w:val="0"/>
              <w:spacing w:before="0" w:after="0"/>
              <w:ind w:left="0" w:right="0" w:hanging="0"/>
              <w:jc w:val="left"/>
              <w:rPr/>
            </w:pPr>
            <w:hyperlink w:anchor="CONSOLIDATEDANDCOMBINEDBALANCESHEETS_133">
              <w:r>
                <w:rPr>
                  <w:rStyle w:val="InternetLink"/>
                  <w:rFonts w:ascii="Times New Roman;Times;serif" w:hAnsi="Times New Roman;Times;serif"/>
                  <w:b w:val="false"/>
                  <w:i w:val="false"/>
                  <w:caps w:val="false"/>
                  <w:smallCaps w:val="false"/>
                  <w:sz w:val="20"/>
                </w:rPr>
                <w:t>Consolidated Balance Sheets as of December 31, 2023 and 2022</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F-3</w:t>
            </w:r>
          </w:p>
        </w:tc>
      </w:tr>
      <w:tr>
        <w:trPr/>
        <w:tc>
          <w:tcPr>
            <w:tcW w:w="9421" w:type="dxa"/>
            <w:tcBorders/>
            <w:vAlign w:val="center"/>
          </w:tcPr>
          <w:p>
            <w:pPr>
              <w:pStyle w:val="TableContents"/>
              <w:pBdr/>
              <w:bidi w:val="0"/>
              <w:spacing w:before="0" w:after="0"/>
              <w:ind w:left="0" w:right="0" w:hanging="0"/>
              <w:jc w:val="left"/>
              <w:rPr/>
            </w:pPr>
            <w:hyperlink w:anchor="CONSOLIDATEDANDCOMBINEDSTATEMENTSOFOPERA">
              <w:r>
                <w:rPr>
                  <w:rStyle w:val="InternetLink"/>
                  <w:rFonts w:ascii="Times New Roman;Times;serif" w:hAnsi="Times New Roman;Times;serif"/>
                  <w:b w:val="false"/>
                  <w:i w:val="false"/>
                  <w:caps w:val="false"/>
                  <w:smallCaps w:val="false"/>
                  <w:sz w:val="20"/>
                </w:rPr>
                <w:t>Consolidated Statements of Operations for the years ended December 31, 2023, 2022, and 2021</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421" w:type="dxa"/>
            <w:tcBorders/>
            <w:vAlign w:val="center"/>
          </w:tcPr>
          <w:p>
            <w:pPr>
              <w:pStyle w:val="TableContents"/>
              <w:pBdr/>
              <w:bidi w:val="0"/>
              <w:spacing w:before="0" w:after="0"/>
              <w:ind w:left="0" w:right="0" w:hanging="0"/>
              <w:jc w:val="left"/>
              <w:rPr/>
            </w:pPr>
            <w:hyperlink w:anchor="CONSOLIDATEDSTATEMENTSOFCOMPINCOME">
              <w:r>
                <w:rPr>
                  <w:rStyle w:val="InternetLink"/>
                  <w:rFonts w:ascii="Times New Roman;Times;serif" w:hAnsi="Times New Roman;Times;serif"/>
                  <w:b w:val="false"/>
                  <w:i w:val="false"/>
                  <w:caps w:val="false"/>
                  <w:smallCaps w:val="false"/>
                  <w:sz w:val="20"/>
                </w:rPr>
                <w:t>Consolidated Statements of Comprehensive Income (Loss) for the years ended December 31, 2023, 2022, and 2021</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421" w:type="dxa"/>
            <w:tcBorders/>
            <w:vAlign w:val="center"/>
          </w:tcPr>
          <w:p>
            <w:pPr>
              <w:pStyle w:val="TableContents"/>
              <w:pBdr/>
              <w:bidi w:val="0"/>
              <w:spacing w:before="0" w:after="0"/>
              <w:ind w:left="0" w:right="0" w:hanging="0"/>
              <w:jc w:val="left"/>
              <w:rPr/>
            </w:pPr>
            <w:hyperlink w:anchor="CONSOLIDATEDANDCOMBINEDSTATEMENTSOFEQUIT">
              <w:r>
                <w:rPr>
                  <w:rStyle w:val="InternetLink"/>
                  <w:rFonts w:ascii="Times New Roman;Times;serif" w:hAnsi="Times New Roman;Times;serif"/>
                  <w:b w:val="false"/>
                  <w:i w:val="false"/>
                  <w:caps w:val="false"/>
                  <w:smallCaps w:val="false"/>
                  <w:sz w:val="20"/>
                </w:rPr>
                <w:t xml:space="preserve">Consolidated Statements of Stockholders’ Equity for the years ended December 31, 2023, 2022, and 2021 </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421" w:type="dxa"/>
            <w:tcBorders/>
            <w:vAlign w:val="center"/>
          </w:tcPr>
          <w:p>
            <w:pPr>
              <w:pStyle w:val="TableContents"/>
              <w:pBdr/>
              <w:bidi w:val="0"/>
              <w:spacing w:before="0" w:after="0"/>
              <w:ind w:left="0" w:right="0" w:hanging="0"/>
              <w:jc w:val="left"/>
              <w:rPr/>
            </w:pPr>
            <w:hyperlink w:anchor="CONSOLIDATEDANDCOMBINEDSTATEMENTSOFCASHF">
              <w:r>
                <w:rPr>
                  <w:rStyle w:val="InternetLink"/>
                  <w:rFonts w:ascii="Times New Roman;Times;serif" w:hAnsi="Times New Roman;Times;serif"/>
                  <w:b w:val="false"/>
                  <w:i w:val="false"/>
                  <w:caps w:val="false"/>
                  <w:smallCaps w:val="false"/>
                  <w:sz w:val="20"/>
                </w:rPr>
                <w:t xml:space="preserve">Consolidated Statements of Cash Flows for the years ended December 31, 2023, 2022, and 2021 </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421" w:type="dxa"/>
            <w:tcBorders/>
            <w:vAlign w:val="center"/>
          </w:tcPr>
          <w:p>
            <w:pPr>
              <w:pStyle w:val="TableContents"/>
              <w:pBdr/>
              <w:bidi w:val="0"/>
              <w:spacing w:before="0" w:after="0"/>
              <w:ind w:left="0" w:right="0" w:hanging="0"/>
              <w:jc w:val="left"/>
              <w:rPr/>
            </w:pPr>
            <w:hyperlink w:anchor="NOTESTOCONSOLIDATEDANDCOMBINEDFINANCIALS">
              <w:r>
                <w:rPr>
                  <w:rStyle w:val="InternetLink"/>
                  <w:rFonts w:ascii="Times New Roman;Times;serif" w:hAnsi="Times New Roman;Times;serif"/>
                  <w:b w:val="false"/>
                  <w:i w:val="false"/>
                  <w:caps w:val="false"/>
                  <w:smallCaps w:val="false"/>
                  <w:sz w:val="20"/>
                </w:rPr>
                <w:t xml:space="preserve">Notes to Consolidated Financial Statements </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7" w:name="ReportofIndependentRegisteredPublicAccou"/>
      <w:bookmarkStart w:id="88" w:name="_16cb9412_2ca4_463e_891f_f2c02061dd65"/>
      <w:bookmarkEnd w:id="87"/>
      <w:bookmarkEnd w:id="88"/>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Board of Directors and Stockholders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Alpine Income Property Trust, Inc.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Opinion on the financial statements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audited the accompanying consolidated balance sheets of Alpine Income Property Trust, Inc. (a Maryland corporation) and subsidiaries (the “Company”) as of December 31, 2023 and 2022, the related consolidated statements of operations, comprehensive income (loss),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Basis for opinion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Grant Thornton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2019.</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Orlando, Florida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8,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9" w:name="_4274d9b8_4f55_45ba_944d_db5706f93a91"/>
      <w:bookmarkEnd w:id="89"/>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bookmarkStart w:id="90" w:name="CONSOLIDATEDANDCOMBINEDBALANCESHEETS_133"/>
      <w:bookmarkEnd w:id="90"/>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1" w:name="Tc_64qnn0ELvkijs4GGPP8jgA_35_4"/>
      <w:bookmarkStart w:id="92" w:name="Tc_jUKO6wfQO0SFa2xeiAKYjQ_35_1"/>
      <w:bookmarkStart w:id="93" w:name="Tc_jz8TL_-skkWR16qj008ucQ_35_0"/>
      <w:bookmarkStart w:id="94" w:name="Tc_-KCmxwoaJUWn3QqlLckThg_34_0"/>
      <w:bookmarkStart w:id="95" w:name="Tc_soGqHV5QTEynW8Pv_hcagw_33_0"/>
      <w:bookmarkStart w:id="96" w:name="Tc_K6QJ1-VyNUyYxKesjG6SiA_32_0"/>
      <w:bookmarkStart w:id="97" w:name="Tc_ZedgJI7J00iotEwWorIDNw_31_0"/>
      <w:bookmarkStart w:id="98" w:name="Tc_G_vt2NOpJEKYiOryhmxFmA_30_0"/>
      <w:bookmarkStart w:id="99" w:name="Tc_LW0TEzlbV0OyecGhbikFgw_29_0"/>
      <w:bookmarkStart w:id="100" w:name="Tc_JDufJ0uNFUGm9xNPQZjXYg_28_0"/>
      <w:bookmarkStart w:id="101" w:name="Tc_PI9Mkc0h2keniktWEDNKnQ_27_0"/>
      <w:bookmarkStart w:id="102" w:name="Tc_pPWOyDiuXk2M0UKnlu6OIw_26_0"/>
      <w:bookmarkStart w:id="103" w:name="Tc_32kTERC0tEaPkLTQzJD4oQ_25_0"/>
      <w:bookmarkStart w:id="104" w:name="Tc_eDAoR-MQv0qGBAmbQl_QqQ_24_0"/>
      <w:bookmarkStart w:id="105" w:name="Tc_FUu-B77iBUGm5jrszNVKrA_23_0"/>
      <w:bookmarkStart w:id="106" w:name="Tc_8c5WJdloIk6YHyvHkNAMpg_22_0"/>
      <w:bookmarkStart w:id="107" w:name="Tc_aUmYaDKNfEqQN1QAX7PhTQ_21_0"/>
      <w:bookmarkStart w:id="108" w:name="Tc_LebIUXXJQU-y_ibycfGKUg_20_4"/>
      <w:bookmarkStart w:id="109" w:name="Tc_Dl-soUumrEOATSYpAMASmw_20_1"/>
      <w:bookmarkStart w:id="110" w:name="Tc_ta56iQ1yG02wumKBxNZHrQ_20_0"/>
      <w:bookmarkStart w:id="111" w:name="Tc_YCYz-I21c0Ga3qTvyw5LaQ_19_0"/>
      <w:bookmarkStart w:id="112" w:name="Tc_muumxAyBlES_tDP2uHgmPQ_18_0"/>
      <w:bookmarkStart w:id="113" w:name="Tc_hAiMWBs5IkOSQaYLc4k4NQ_17_4"/>
      <w:bookmarkStart w:id="114" w:name="Tc_nxkzkOv14E-Z3iLcrJCXug_17_1"/>
      <w:bookmarkStart w:id="115" w:name="Tc_752tS7LUREy0eOav62ewZg_17_0"/>
      <w:bookmarkStart w:id="116" w:name="Tc_I4RBjM5dyUOqvLPT_DLwVg_16_0"/>
      <w:bookmarkStart w:id="117" w:name="Tc_lQFwWN8DH0mLYYobQ3902Q_15_0"/>
      <w:bookmarkStart w:id="118" w:name="Tc_BeiiSf52ak6dhgfsmYIwaQ_14_0"/>
      <w:bookmarkStart w:id="119" w:name="Tc_Ai8EJ8aaH0mSZd9TQuZ55w_13_0"/>
      <w:bookmarkStart w:id="120" w:name="Tc_LeoE4nbvUUKVL4YaeD712A_12_0"/>
      <w:bookmarkStart w:id="121" w:name="Tc_EuIAg1oWs0G22AaQKa8rnw_11_5"/>
      <w:bookmarkStart w:id="122" w:name="Tc_DRB2WycLXE2Z90acvccN5g_11_0"/>
      <w:bookmarkStart w:id="123" w:name="Tc_zi1aShL9PU6itIIFGbrrpg_10_5"/>
      <w:bookmarkStart w:id="124" w:name="Tc_6KVeA1_rlUmzxDMP1hdgKw_10_0"/>
      <w:bookmarkStart w:id="125" w:name="Tc_foyD5NBVZEevXusEZNEqWA_9_0"/>
      <w:bookmarkStart w:id="126" w:name="Tc_CoHCqyrPukCaikbARhMHbw_8_0"/>
      <w:bookmarkStart w:id="127" w:name="Tc_nLUuxZ5AtUqfLDqae6i9Tg_7_0"/>
      <w:bookmarkStart w:id="128" w:name="Tc_ja4xu9b23kG1jRRoXyGz8Q_6_0"/>
      <w:bookmarkStart w:id="129" w:name="Tc_7uDUv06Gp0CvU7y1pBwxgA_5_4"/>
      <w:bookmarkStart w:id="130" w:name="Tc_xp-pHGo400aYaC3fiEYKqQ_5_1"/>
      <w:bookmarkStart w:id="131" w:name="Tc_wozZJg0V5kqrUyYybUppQg_5_0"/>
      <w:bookmarkStart w:id="132" w:name="Tc_2wNTUcjNsESV0M-CHIk8ng_4_0"/>
      <w:bookmarkStart w:id="133" w:name="Tc_rMT57J5pjUSsKcoIbQAOww_3_0"/>
      <w:bookmarkStart w:id="134" w:name="Tc_uZZIEUAvn0erQSvhEfOqMg_2_4"/>
      <w:bookmarkStart w:id="135" w:name="Tc_DEhoFdf2l0uPLOVVzU124Q_2_1"/>
      <w:bookmarkStart w:id="136" w:name="Tc_Yw_fe34Q1ECrAK9p10UlbA_1_1"/>
      <w:bookmarkStart w:id="137" w:name="_b0056d4c_cb36_4a01_9596_2b6cb8577d93"/>
      <w:bookmarkStart w:id="138" w:name="Tc_64qnn0ELvkijs4GGPP8jgA_35_4"/>
      <w:bookmarkStart w:id="139" w:name="Tc_jUKO6wfQO0SFa2xeiAKYjQ_35_1"/>
      <w:bookmarkStart w:id="140" w:name="Tc_jz8TL_-skkWR16qj008ucQ_35_0"/>
      <w:bookmarkStart w:id="141" w:name="Tc_-KCmxwoaJUWn3QqlLckThg_34_0"/>
      <w:bookmarkStart w:id="142" w:name="Tc_soGqHV5QTEynW8Pv_hcagw_33_0"/>
      <w:bookmarkStart w:id="143" w:name="Tc_K6QJ1-VyNUyYxKesjG6SiA_32_0"/>
      <w:bookmarkStart w:id="144" w:name="Tc_ZedgJI7J00iotEwWorIDNw_31_0"/>
      <w:bookmarkStart w:id="145" w:name="Tc_G_vt2NOpJEKYiOryhmxFmA_30_0"/>
      <w:bookmarkStart w:id="146" w:name="Tc_LW0TEzlbV0OyecGhbikFgw_29_0"/>
      <w:bookmarkStart w:id="147" w:name="Tc_JDufJ0uNFUGm9xNPQZjXYg_28_0"/>
      <w:bookmarkStart w:id="148" w:name="Tc_PI9Mkc0h2keniktWEDNKnQ_27_0"/>
      <w:bookmarkStart w:id="149" w:name="Tc_pPWOyDiuXk2M0UKnlu6OIw_26_0"/>
      <w:bookmarkStart w:id="150" w:name="Tc_32kTERC0tEaPkLTQzJD4oQ_25_0"/>
      <w:bookmarkStart w:id="151" w:name="Tc_eDAoR-MQv0qGBAmbQl_QqQ_24_0"/>
      <w:bookmarkStart w:id="152" w:name="Tc_FUu-B77iBUGm5jrszNVKrA_23_0"/>
      <w:bookmarkStart w:id="153" w:name="Tc_8c5WJdloIk6YHyvHkNAMpg_22_0"/>
      <w:bookmarkStart w:id="154" w:name="Tc_aUmYaDKNfEqQN1QAX7PhTQ_21_0"/>
      <w:bookmarkStart w:id="155" w:name="Tc_LebIUXXJQU-y_ibycfGKUg_20_4"/>
      <w:bookmarkStart w:id="156" w:name="Tc_Dl-soUumrEOATSYpAMASmw_20_1"/>
      <w:bookmarkStart w:id="157" w:name="Tc_ta56iQ1yG02wumKBxNZHrQ_20_0"/>
      <w:bookmarkStart w:id="158" w:name="Tc_YCYz-I21c0Ga3qTvyw5LaQ_19_0"/>
      <w:bookmarkStart w:id="159" w:name="Tc_muumxAyBlES_tDP2uHgmPQ_18_0"/>
      <w:bookmarkStart w:id="160" w:name="Tc_hAiMWBs5IkOSQaYLc4k4NQ_17_4"/>
      <w:bookmarkStart w:id="161" w:name="Tc_nxkzkOv14E-Z3iLcrJCXug_17_1"/>
      <w:bookmarkStart w:id="162" w:name="Tc_752tS7LUREy0eOav62ewZg_17_0"/>
      <w:bookmarkStart w:id="163" w:name="Tc_I4RBjM5dyUOqvLPT_DLwVg_16_0"/>
      <w:bookmarkStart w:id="164" w:name="Tc_lQFwWN8DH0mLYYobQ3902Q_15_0"/>
      <w:bookmarkStart w:id="165" w:name="Tc_BeiiSf52ak6dhgfsmYIwaQ_14_0"/>
      <w:bookmarkStart w:id="166" w:name="Tc_Ai8EJ8aaH0mSZd9TQuZ55w_13_0"/>
      <w:bookmarkStart w:id="167" w:name="Tc_LeoE4nbvUUKVL4YaeD712A_12_0"/>
      <w:bookmarkStart w:id="168" w:name="Tc_EuIAg1oWs0G22AaQKa8rnw_11_5"/>
      <w:bookmarkStart w:id="169" w:name="Tc_DRB2WycLXE2Z90acvccN5g_11_0"/>
      <w:bookmarkStart w:id="170" w:name="Tc_zi1aShL9PU6itIIFGbrrpg_10_5"/>
      <w:bookmarkStart w:id="171" w:name="Tc_6KVeA1_rlUmzxDMP1hdgKw_10_0"/>
      <w:bookmarkStart w:id="172" w:name="Tc_foyD5NBVZEevXusEZNEqWA_9_0"/>
      <w:bookmarkStart w:id="173" w:name="Tc_CoHCqyrPukCaikbARhMHbw_8_0"/>
      <w:bookmarkStart w:id="174" w:name="Tc_nLUuxZ5AtUqfLDqae6i9Tg_7_0"/>
      <w:bookmarkStart w:id="175" w:name="Tc_ja4xu9b23kG1jRRoXyGz8Q_6_0"/>
      <w:bookmarkStart w:id="176" w:name="Tc_7uDUv06Gp0CvU7y1pBwxgA_5_4"/>
      <w:bookmarkStart w:id="177" w:name="Tc_xp-pHGo400aYaC3fiEYKqQ_5_1"/>
      <w:bookmarkStart w:id="178" w:name="Tc_wozZJg0V5kqrUyYybUppQg_5_0"/>
      <w:bookmarkStart w:id="179" w:name="Tc_2wNTUcjNsESV0M-CHIk8ng_4_0"/>
      <w:bookmarkStart w:id="180" w:name="Tc_rMT57J5pjUSsKcoIbQAOww_3_0"/>
      <w:bookmarkStart w:id="181" w:name="Tc_uZZIEUAvn0erQSvhEfOqMg_2_4"/>
      <w:bookmarkStart w:id="182" w:name="Tc_DEhoFdf2l0uPLOVVzU124Q_2_1"/>
      <w:bookmarkStart w:id="183" w:name="Tc_Yw_fe34Q1ECrAK9p10UlbA_1_1"/>
      <w:bookmarkStart w:id="184" w:name="_b0056d4c_cb36_4a01_9596_2b6cb8577d93"/>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tbl>
      <w:tblPr>
        <w:tblW w:w="10205" w:type="dxa"/>
        <w:jc w:val="left"/>
        <w:tblInd w:w="0" w:type="dxa"/>
        <w:tblLayout w:type="fixed"/>
        <w:tblCellMar>
          <w:top w:w="0" w:type="dxa"/>
          <w:left w:w="0" w:type="dxa"/>
          <w:bottom w:w="0" w:type="dxa"/>
          <w:right w:w="0" w:type="dxa"/>
        </w:tblCellMar>
      </w:tblPr>
      <w:tblGrid>
        <w:gridCol w:w="6990"/>
        <w:gridCol w:w="301"/>
        <w:gridCol w:w="1119"/>
        <w:gridCol w:w="326"/>
        <w:gridCol w:w="281"/>
        <w:gridCol w:w="1188"/>
      </w:tblGrid>
      <w:tr>
        <w:trPr/>
        <w:tc>
          <w:tcPr>
            <w:tcW w:w="6990"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91135" cy="175260"/>
                      <wp:effectExtent l="0" t="0" r="0" b="0"/>
                      <wp:wrapNone/>
                      <wp:docPr id="111" name="Frame111"/>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710565" cy="175260"/>
                      <wp:effectExtent l="0" t="0" r="0" b="0"/>
                      <wp:wrapNone/>
                      <wp:docPr id="112" name="Frame112"/>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78435" cy="175260"/>
                      <wp:effectExtent l="0" t="0" r="0" b="0"/>
                      <wp:wrapNone/>
                      <wp:docPr id="114" name="Frame11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754380" cy="175260"/>
                      <wp:effectExtent l="0" t="0" r="0" b="0"/>
                      <wp:wrapNone/>
                      <wp:docPr id="115" name="Frame115"/>
                      <a:graphic xmlns:a="http://schemas.openxmlformats.org/drawingml/2006/main">
                        <a:graphicData uri="http://schemas.microsoft.com/office/word/2010/wordprocessingShape">
                          <wps:wsp>
                            <wps:cNvSpPr txBox="1"/>
                            <wps:spPr>
                              <a:xfrm>
                                <a:off x="0" y="0"/>
                                <a:ext cx="754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90" w:type="dxa"/>
            <w:tcBorders/>
            <w:vAlign w:val="center"/>
          </w:tcPr>
          <w:p>
            <w:pPr>
              <w:pStyle w:val="TableContents"/>
              <w:bidi w:val="0"/>
              <w:spacing w:before="0" w:after="0"/>
              <w:ind w:left="0" w:right="0" w:hanging="0"/>
              <w:jc w:val="left"/>
              <w:rPr/>
            </w:pPr>
            <w:r>
              <w:rPr/>
              <w:t>​</w:t>
            </w:r>
          </w:p>
        </w:tc>
        <w:tc>
          <w:tcPr>
            <w:tcW w:w="32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990" w:type="dxa"/>
            <w:tcBorders/>
            <w:vAlign w:val="center"/>
          </w:tcPr>
          <w:p>
            <w:pPr>
              <w:pStyle w:val="TableContents"/>
              <w:bidi w:val="0"/>
              <w:spacing w:before="0" w:after="0"/>
              <w:ind w:left="0" w:right="0" w:hanging="0"/>
              <w:jc w:val="left"/>
              <w:rPr/>
            </w:pPr>
            <w:r>
              <w:rPr/>
              <w:t>​</w:t>
            </w:r>
          </w:p>
        </w:tc>
        <w:tc>
          <w:tcPr>
            <w:tcW w:w="14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0"/>
              <w:ind w:left="0" w:right="0" w:hanging="0"/>
              <w:jc w:val="center"/>
              <w:rPr/>
            </w:pPr>
            <w:r>
              <w:rPr/>
              <w:t>    </w:t>
            </w:r>
          </w:p>
        </w:tc>
        <w:tc>
          <w:tcPr>
            <w:tcW w:w="14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6990"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20" w:type="dxa"/>
            <w:gridSpan w:val="2"/>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69" w:type="dxa"/>
            <w:gridSpan w:val="2"/>
            <w:tcBorders/>
            <w:shd w:fill="CCEEFF" w:val="clear"/>
            <w:vAlign w:val="center"/>
          </w:tcPr>
          <w:p>
            <w:pPr>
              <w:pStyle w:val="TableContents"/>
              <w:bidi w:val="0"/>
              <w:spacing w:before="0" w:after="0"/>
              <w:ind w:left="0" w:right="0" w:hanging="0"/>
              <w:jc w:val="center"/>
              <w:rPr/>
            </w:pPr>
            <w:r>
              <w:rPr/>
              <w:t>​</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pPr>
            <w:r>
              <w:rPr/>
              <w:t>​</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149,314</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176,857</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Improvements, at Cost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328,993</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322,510</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at Cost</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478,307</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499,367</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(34,714)</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(22,313)</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443,593</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477,054</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pPr>
            <w:r>
              <w:rPr/>
              <w:t>—</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35,080</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pPr>
            <w:r>
              <w:rPr/>
              <w:t>—</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9,018</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9,712</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49,292</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60,432</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17,045</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21,233</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564,560</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573,431</w:t>
            </w:r>
          </w:p>
        </w:tc>
      </w:tr>
      <w:tr>
        <w:trPr/>
        <w:tc>
          <w:tcPr>
            <w:tcW w:w="699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pPr>
            <w:r>
              <w:rPr/>
              <w:t>​</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pPr>
            <w:r>
              <w:rPr/>
              <w:t>​</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5,197</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4,411</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Rent and Deferred Revenue</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3,166</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5,050</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275,677</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267,116</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288,947</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278,056</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Contingencies—See Note 19</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pPr>
            <w:r>
              <w:rPr/>
              <w:t>​</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pPr>
            <w:r>
              <w:rPr/>
              <w:t>​</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per share, 100 million shares authorized, no shares issued and outstanding as of December 31, 2023 and December 31, 2022</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per share, 500 million shares authorized, 13,659,207 shares issued and outstanding as of December 31, 2023 and 13,394,677 shares issued and outstanding as of December 31, 2022</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243,690</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236,841</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 (Dividends in Excess of Net Income)</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10,042</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9,275</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14,601</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250,743</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261,618</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24,870</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33,757</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275,613</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295,375</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564,560</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573,431</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5" w:name="_45106b57_69f4_4d0f_9bf6_45d39d07b174"/>
      <w:bookmarkEnd w:id="185"/>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bookmarkStart w:id="186" w:name="CONSOLIDATEDANDCOMBINEDSTATEMENTSOFOPERA"/>
      <w:bookmarkEnd w:id="186"/>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firstLine="360"/>
        <w:jc w:val="both"/>
        <w:rPr/>
      </w:pPr>
      <w:r>
        <w:rPr/>
        <w:t>​</w:t>
      </w:r>
    </w:p>
    <w:p>
      <w:pPr>
        <w:pStyle w:val="Normal"/>
        <w:bidi w:val="0"/>
        <w:spacing w:before="0" w:after="0"/>
        <w:jc w:val="left"/>
        <w:rPr>
          <w:sz w:val="4"/>
          <w:szCs w:val="4"/>
        </w:rPr>
      </w:pPr>
      <w:r>
        <w:rPr>
          <w:sz w:val="4"/>
          <w:szCs w:val="4"/>
        </w:rPr>
      </w:r>
      <w:bookmarkStart w:id="187" w:name="Tc_34re7gVk0Eebk-FxIwm7RQ_30_0"/>
      <w:bookmarkStart w:id="188" w:name="Tc_oTHNCtJvMkiM5TIVxzN3rw_29_0"/>
      <w:bookmarkStart w:id="189" w:name="Tc_nWAaRDaKiE-EEuqWaCGWmQ_28_0"/>
      <w:bookmarkStart w:id="190" w:name="Tc_eTk2SUgcakur9PL9bD1-OQ_26_8"/>
      <w:bookmarkStart w:id="191" w:name="Tc_w45-6iIsrEqsG6g_d1rkJg_26_5"/>
      <w:bookmarkStart w:id="192" w:name="Tc_JZ5zSIQcvUSMRtY-_RvYdg_26_2"/>
      <w:bookmarkStart w:id="193" w:name="Tc_Po3rHMORL0ea-ON6yKNmzw_26_0"/>
      <w:bookmarkStart w:id="194" w:name="Tc_YG-yu4bGyU6JJ_mFUD5-KQ_25_8"/>
      <w:bookmarkStart w:id="195" w:name="Tc_bDJLGwofsUqWkupKClQ_Zw_25_5"/>
      <w:bookmarkStart w:id="196" w:name="Tc_9-3gY5rJ4EG6m3PyFKtcOA_25_2"/>
      <w:bookmarkStart w:id="197" w:name="Tc_CJm9PjlAhkSKO52GN3GT5A_25_0"/>
      <w:bookmarkStart w:id="198" w:name="Tc_6MI-K_wxAkOjM3VL30E0Cw_24_0"/>
      <w:bookmarkStart w:id="199" w:name="Tc_Vg1gmoBVJkGrX0vFtk8i7w_23_0"/>
      <w:bookmarkStart w:id="200" w:name="Tc_7aJYs9P3xU2QKKybiXBhwg_21_8"/>
      <w:bookmarkStart w:id="201" w:name="Tc_SsRg1B96LEmGeVX8Jf_xuw_21_5"/>
      <w:bookmarkStart w:id="202" w:name="Tc_biiDbAvZq0CaFf7wSPWCSA_21_2"/>
      <w:bookmarkStart w:id="203" w:name="Tc_vjj2E3YmrEq8_YCwYAiMsA_21_0"/>
      <w:bookmarkStart w:id="204" w:name="Tc__Z8tT_J_OE-VZ-z9ESK3yQ_20_0"/>
      <w:bookmarkStart w:id="205" w:name="Tc_mxBdcOPq6UaPuXC2OK03hw_19_0"/>
      <w:bookmarkStart w:id="206" w:name="Tc_wrV6IYBNYUuHztaYpXaHyQ_18_0"/>
      <w:bookmarkStart w:id="207" w:name="Tc_m-9IuT-kukedXH671ThU3Q_17_0"/>
      <w:bookmarkStart w:id="208" w:name="Tc_xnnsLCw5fUGCxrMmCYcC9A_16_0"/>
      <w:bookmarkStart w:id="209" w:name="Tc_3taLUKA18EyMJB8Qrpps4A_15_9"/>
      <w:bookmarkStart w:id="210" w:name="Tc_lX80t1GM7Ea1wL6HalR4iw_15_0"/>
      <w:bookmarkStart w:id="211" w:name="Tc_folhJs18iEy-Af9wjNlqbQ_14_0"/>
      <w:bookmarkStart w:id="212" w:name="Tc_680dM7BrUkigUx_8z5NcYg_13_0"/>
      <w:bookmarkStart w:id="213" w:name="Tc_a489am55gUixY0rwcP4OVg_12_0"/>
      <w:bookmarkStart w:id="214" w:name="Tc_cFF4qky0BkK0slBigYunQA_11_9"/>
      <w:bookmarkStart w:id="215" w:name="Tc_5jNIwgX4I06c1J_0ElJcyw_11_6"/>
      <w:bookmarkStart w:id="216" w:name="Tc_KZWJ2HAC7EuQH6CwmZaHCA_11_0"/>
      <w:bookmarkStart w:id="217" w:name="Tc_pVR2zyYrHUygacPW1uwQLQ_10_0"/>
      <w:bookmarkStart w:id="218" w:name="Tc_kw7lKWb3NU6Zgah86n-LJA_9_0"/>
      <w:bookmarkStart w:id="219" w:name="Tc_gU1ZvVEfmEGMOIjorZsJbg_8_0"/>
      <w:bookmarkStart w:id="220" w:name="Tc_jIfBzL04R0mf45Q2Ex--4w_7_0"/>
      <w:bookmarkStart w:id="221" w:name="Tc_wAkfQYVfN0Cs3RueGTfYuw_6_9"/>
      <w:bookmarkStart w:id="222" w:name="Tc_O5iOdqarkUuIIY_SrkQAmg_6_6"/>
      <w:bookmarkStart w:id="223" w:name="Tc_yNvJlaw8b0-o4bRm9zhdfA_6_0"/>
      <w:bookmarkStart w:id="224" w:name="Tc_A49RZJ3ROkq3gyxn6w0CDw_5_9"/>
      <w:bookmarkStart w:id="225" w:name="Tc_4e1MngRD2EGfa-RERplOxg_5_6"/>
      <w:bookmarkStart w:id="226" w:name="Tc_neEDIp0PzEyMu05aHN7owA_5_0"/>
      <w:bookmarkStart w:id="227" w:name="Tc__bSVv_HQLEWftSQxRDC2Cg_4_8"/>
      <w:bookmarkStart w:id="228" w:name="Tc_93WoVJr8M06URtDzjVobgg_4_5"/>
      <w:bookmarkStart w:id="229" w:name="Tc_3QdILjr2EEOeZOgwsQ6-kg_4_2"/>
      <w:bookmarkStart w:id="230" w:name="Tc_4eehAgypbEy5yqdvF2_j0A_4_0"/>
      <w:bookmarkStart w:id="231" w:name="Tc_ytjqXaIe1E6jagJhXixp-A_3_0"/>
      <w:bookmarkStart w:id="232" w:name="Tc_xPSZyNdBkkuL-2wR8mpjlA_2_8"/>
      <w:bookmarkStart w:id="233" w:name="Tc_kMq3lZVXjkiolDXn_k_nuQ_2_5"/>
      <w:bookmarkStart w:id="234" w:name="Tc_Xz3nwMlO9k-m5pvjZ-tPUg_2_2"/>
      <w:bookmarkStart w:id="235" w:name="Tc_btgn_0VKkEGJS8w5lz9uuw_1_2"/>
      <w:bookmarkStart w:id="236" w:name="_2b4acae7_a989_407c_815f_9e4734cec68d"/>
      <w:bookmarkStart w:id="237" w:name="Tc_34re7gVk0Eebk-FxIwm7RQ_30_0"/>
      <w:bookmarkStart w:id="238" w:name="Tc_oTHNCtJvMkiM5TIVxzN3rw_29_0"/>
      <w:bookmarkStart w:id="239" w:name="Tc_nWAaRDaKiE-EEuqWaCGWmQ_28_0"/>
      <w:bookmarkStart w:id="240" w:name="Tc_eTk2SUgcakur9PL9bD1-OQ_26_8"/>
      <w:bookmarkStart w:id="241" w:name="Tc_w45-6iIsrEqsG6g_d1rkJg_26_5"/>
      <w:bookmarkStart w:id="242" w:name="Tc_JZ5zSIQcvUSMRtY-_RvYdg_26_2"/>
      <w:bookmarkStart w:id="243" w:name="Tc_Po3rHMORL0ea-ON6yKNmzw_26_0"/>
      <w:bookmarkStart w:id="244" w:name="Tc_YG-yu4bGyU6JJ_mFUD5-KQ_25_8"/>
      <w:bookmarkStart w:id="245" w:name="Tc_bDJLGwofsUqWkupKClQ_Zw_25_5"/>
      <w:bookmarkStart w:id="246" w:name="Tc_9-3gY5rJ4EG6m3PyFKtcOA_25_2"/>
      <w:bookmarkStart w:id="247" w:name="Tc_CJm9PjlAhkSKO52GN3GT5A_25_0"/>
      <w:bookmarkStart w:id="248" w:name="Tc_6MI-K_wxAkOjM3VL30E0Cw_24_0"/>
      <w:bookmarkStart w:id="249" w:name="Tc_Vg1gmoBVJkGrX0vFtk8i7w_23_0"/>
      <w:bookmarkStart w:id="250" w:name="Tc_7aJYs9P3xU2QKKybiXBhwg_21_8"/>
      <w:bookmarkStart w:id="251" w:name="Tc_SsRg1B96LEmGeVX8Jf_xuw_21_5"/>
      <w:bookmarkStart w:id="252" w:name="Tc_biiDbAvZq0CaFf7wSPWCSA_21_2"/>
      <w:bookmarkStart w:id="253" w:name="Tc_vjj2E3YmrEq8_YCwYAiMsA_21_0"/>
      <w:bookmarkStart w:id="254" w:name="Tc__Z8tT_J_OE-VZ-z9ESK3yQ_20_0"/>
      <w:bookmarkStart w:id="255" w:name="Tc_mxBdcOPq6UaPuXC2OK03hw_19_0"/>
      <w:bookmarkStart w:id="256" w:name="Tc_wrV6IYBNYUuHztaYpXaHyQ_18_0"/>
      <w:bookmarkStart w:id="257" w:name="Tc_m-9IuT-kukedXH671ThU3Q_17_0"/>
      <w:bookmarkStart w:id="258" w:name="Tc_xnnsLCw5fUGCxrMmCYcC9A_16_0"/>
      <w:bookmarkStart w:id="259" w:name="Tc_3taLUKA18EyMJB8Qrpps4A_15_9"/>
      <w:bookmarkStart w:id="260" w:name="Tc_lX80t1GM7Ea1wL6HalR4iw_15_0"/>
      <w:bookmarkStart w:id="261" w:name="Tc_folhJs18iEy-Af9wjNlqbQ_14_0"/>
      <w:bookmarkStart w:id="262" w:name="Tc_680dM7BrUkigUx_8z5NcYg_13_0"/>
      <w:bookmarkStart w:id="263" w:name="Tc_a489am55gUixY0rwcP4OVg_12_0"/>
      <w:bookmarkStart w:id="264" w:name="Tc_cFF4qky0BkK0slBigYunQA_11_9"/>
      <w:bookmarkStart w:id="265" w:name="Tc_5jNIwgX4I06c1J_0ElJcyw_11_6"/>
      <w:bookmarkStart w:id="266" w:name="Tc_KZWJ2HAC7EuQH6CwmZaHCA_11_0"/>
      <w:bookmarkStart w:id="267" w:name="Tc_pVR2zyYrHUygacPW1uwQLQ_10_0"/>
      <w:bookmarkStart w:id="268" w:name="Tc_kw7lKWb3NU6Zgah86n-LJA_9_0"/>
      <w:bookmarkStart w:id="269" w:name="Tc_gU1ZvVEfmEGMOIjorZsJbg_8_0"/>
      <w:bookmarkStart w:id="270" w:name="Tc_jIfBzL04R0mf45Q2Ex--4w_7_0"/>
      <w:bookmarkStart w:id="271" w:name="Tc_wAkfQYVfN0Cs3RueGTfYuw_6_9"/>
      <w:bookmarkStart w:id="272" w:name="Tc_O5iOdqarkUuIIY_SrkQAmg_6_6"/>
      <w:bookmarkStart w:id="273" w:name="Tc_yNvJlaw8b0-o4bRm9zhdfA_6_0"/>
      <w:bookmarkStart w:id="274" w:name="Tc_A49RZJ3ROkq3gyxn6w0CDw_5_9"/>
      <w:bookmarkStart w:id="275" w:name="Tc_4e1MngRD2EGfa-RERplOxg_5_6"/>
      <w:bookmarkStart w:id="276" w:name="Tc_neEDIp0PzEyMu05aHN7owA_5_0"/>
      <w:bookmarkStart w:id="277" w:name="Tc__bSVv_HQLEWftSQxRDC2Cg_4_8"/>
      <w:bookmarkStart w:id="278" w:name="Tc_93WoVJr8M06URtDzjVobgg_4_5"/>
      <w:bookmarkStart w:id="279" w:name="Tc_3QdILjr2EEOeZOgwsQ6-kg_4_2"/>
      <w:bookmarkStart w:id="280" w:name="Tc_4eehAgypbEy5yqdvF2_j0A_4_0"/>
      <w:bookmarkStart w:id="281" w:name="Tc_ytjqXaIe1E6jagJhXixp-A_3_0"/>
      <w:bookmarkStart w:id="282" w:name="Tc_xPSZyNdBkkuL-2wR8mpjlA_2_8"/>
      <w:bookmarkStart w:id="283" w:name="Tc_kMq3lZVXjkiolDXn_k_nuQ_2_5"/>
      <w:bookmarkStart w:id="284" w:name="Tc_Xz3nwMlO9k-m5pvjZ-tPUg_2_2"/>
      <w:bookmarkStart w:id="285" w:name="Tc_btgn_0VKkEGJS8w5lz9uuw_1_2"/>
      <w:bookmarkStart w:id="286" w:name="_2b4acae7_a989_407c_815f_9e4734cec68d"/>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tbl>
      <w:tblPr>
        <w:tblW w:w="10205" w:type="dxa"/>
        <w:jc w:val="left"/>
        <w:tblInd w:w="0" w:type="dxa"/>
        <w:tblLayout w:type="fixed"/>
        <w:tblCellMar>
          <w:top w:w="0" w:type="dxa"/>
          <w:left w:w="0" w:type="dxa"/>
          <w:bottom w:w="0" w:type="dxa"/>
          <w:right w:w="0" w:type="dxa"/>
        </w:tblCellMar>
      </w:tblPr>
      <w:tblGrid>
        <w:gridCol w:w="4784"/>
        <w:gridCol w:w="109"/>
        <w:gridCol w:w="283"/>
        <w:gridCol w:w="1397"/>
        <w:gridCol w:w="109"/>
        <w:gridCol w:w="283"/>
        <w:gridCol w:w="1397"/>
        <w:gridCol w:w="109"/>
        <w:gridCol w:w="269"/>
        <w:gridCol w:w="1465"/>
      </w:tblGrid>
      <w:tr>
        <w:trPr/>
        <w:tc>
          <w:tcPr>
            <w:tcW w:w="47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79705" cy="175260"/>
                      <wp:effectExtent l="0" t="0" r="0" b="0"/>
                      <wp:wrapNone/>
                      <wp:docPr id="117" name="Frame117"/>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887095" cy="175260"/>
                      <wp:effectExtent l="0" t="0" r="0" b="0"/>
                      <wp:wrapNone/>
                      <wp:docPr id="118" name="Frame118"/>
                      <a:graphic xmlns:a="http://schemas.openxmlformats.org/drawingml/2006/main">
                        <a:graphicData uri="http://schemas.microsoft.com/office/word/2010/wordprocessingShape">
                          <wps:wsp>
                            <wps:cNvSpPr txBox="1"/>
                            <wps:spPr>
                              <a:xfrm>
                                <a:off x="0" y="0"/>
                                <a:ext cx="887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9"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79705" cy="175260"/>
                      <wp:effectExtent l="0" t="0" r="0" b="0"/>
                      <wp:wrapNone/>
                      <wp:docPr id="120" name="Frame120"/>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887095" cy="175260"/>
                      <wp:effectExtent l="0" t="0" r="0" b="0"/>
                      <wp:wrapNone/>
                      <wp:docPr id="121" name="Frame121"/>
                      <a:graphic xmlns:a="http://schemas.openxmlformats.org/drawingml/2006/main">
                        <a:graphicData uri="http://schemas.microsoft.com/office/word/2010/wordprocessingShape">
                          <wps:wsp>
                            <wps:cNvSpPr txBox="1"/>
                            <wps:spPr>
                              <a:xfrm>
                                <a:off x="0" y="0"/>
                                <a:ext cx="887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70815" cy="175260"/>
                      <wp:effectExtent l="0" t="0" r="0" b="0"/>
                      <wp:wrapNone/>
                      <wp:docPr id="123" name="Frame123"/>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930275" cy="175260"/>
                      <wp:effectExtent l="0" t="0" r="0" b="0"/>
                      <wp:wrapNone/>
                      <wp:docPr id="124" name="Frame124"/>
                      <a:graphic xmlns:a="http://schemas.openxmlformats.org/drawingml/2006/main">
                        <a:graphicData uri="http://schemas.microsoft.com/office/word/2010/wordprocessingShape">
                          <wps:wsp>
                            <wps:cNvSpPr txBox="1"/>
                            <wps:spPr>
                              <a:xfrm>
                                <a:off x="0" y="0"/>
                                <a:ext cx="930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84"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53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7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center"/>
              <w:rPr/>
            </w:pPr>
            <w:r>
              <w:rPr/>
              <w:t>​</w:t>
            </w:r>
          </w:p>
        </w:tc>
        <w:tc>
          <w:tcPr>
            <w:tcW w:w="17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47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center"/>
              <w:rPr/>
            </w:pPr>
            <w:r>
              <w:rPr/>
              <w:t>​</w:t>
            </w:r>
          </w:p>
        </w:tc>
        <w:tc>
          <w:tcPr>
            <w:tcW w:w="139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center"/>
              <w:rPr/>
            </w:pPr>
            <w:r>
              <w:rPr/>
              <w:t>​</w:t>
            </w:r>
          </w:p>
        </w:tc>
        <w:tc>
          <w:tcPr>
            <w:tcW w:w="139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center"/>
              <w:rPr/>
            </w:pPr>
            <w:r>
              <w:rPr/>
              <w:t>​</w:t>
            </w:r>
          </w:p>
        </w:tc>
        <w:tc>
          <w:tcPr>
            <w:tcW w:w="1465" w:type="dxa"/>
            <w:tcBorders/>
            <w:shd w:fill="CCEEFF" w:val="clear"/>
            <w:vAlign w:val="center"/>
          </w:tcPr>
          <w:p>
            <w:pPr>
              <w:pStyle w:val="TableContents"/>
              <w:bidi w:val="0"/>
              <w:spacing w:before="0" w:after="0"/>
              <w:ind w:left="0" w:right="0" w:hanging="0"/>
              <w:jc w:val="center"/>
              <w:rPr/>
            </w:pPr>
            <w:r>
              <w:rPr/>
              <w:t>​</w:t>
            </w:r>
          </w:p>
        </w:tc>
      </w:tr>
      <w:tr>
        <w:trPr/>
        <w:tc>
          <w:tcPr>
            <w:tcW w:w="4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44,967</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45,191</w:t>
            </w:r>
          </w:p>
        </w:tc>
        <w:tc>
          <w:tcPr>
            <w:tcW w:w="109"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30,126</w:t>
            </w:r>
          </w:p>
        </w:tc>
      </w:tr>
      <w:tr>
        <w:trPr/>
        <w:tc>
          <w:tcPr>
            <w:tcW w:w="47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1465" w:type="dxa"/>
            <w:tcBorders/>
            <w:shd w:fill="CCEEFF" w:val="clear"/>
            <w:vAlign w:val="center"/>
          </w:tcPr>
          <w:p>
            <w:pPr>
              <w:pStyle w:val="TableContents"/>
              <w:bidi w:val="0"/>
              <w:spacing w:before="0" w:after="0"/>
              <w:ind w:left="0" w:right="0" w:hanging="0"/>
              <w:jc w:val="right"/>
              <w:rPr/>
            </w:pPr>
            <w:r>
              <w:rPr/>
              <w:t>—</w:t>
            </w:r>
          </w:p>
        </w:tc>
      </w:tr>
      <w:tr>
        <w:trPr/>
        <w:tc>
          <w:tcPr>
            <w:tcW w:w="4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7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45,644</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45,191</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30,126</w:t>
            </w:r>
          </w:p>
        </w:tc>
      </w:tr>
      <w:tr>
        <w:trPr/>
        <w:tc>
          <w:tcPr>
            <w:tcW w:w="4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1465" w:type="dxa"/>
            <w:tcBorders/>
            <w:vAlign w:val="center"/>
          </w:tcPr>
          <w:p>
            <w:pPr>
              <w:pStyle w:val="TableContents"/>
              <w:bidi w:val="0"/>
              <w:spacing w:before="0" w:after="0"/>
              <w:ind w:left="0" w:right="0" w:hanging="0"/>
              <w:jc w:val="right"/>
              <w:rPr/>
            </w:pPr>
            <w:r>
              <w:rPr/>
              <w:t>​</w:t>
            </w:r>
          </w:p>
        </w:tc>
      </w:tr>
      <w:tr>
        <w:trPr/>
        <w:tc>
          <w:tcPr>
            <w:tcW w:w="47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6,580</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5,435</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3,673</w:t>
            </w:r>
          </w:p>
        </w:tc>
      </w:tr>
      <w:tr>
        <w:trPr/>
        <w:tc>
          <w:tcPr>
            <w:tcW w:w="4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6,301</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5,784</w:t>
            </w:r>
          </w:p>
        </w:tc>
        <w:tc>
          <w:tcPr>
            <w:tcW w:w="109"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14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5,027</w:t>
            </w:r>
          </w:p>
        </w:tc>
      </w:tr>
      <w:tr>
        <w:trPr/>
        <w:tc>
          <w:tcPr>
            <w:tcW w:w="47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3,220</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1465" w:type="dxa"/>
            <w:tcBorders/>
            <w:shd w:fill="CCEEFF" w:val="clear"/>
            <w:vAlign w:val="center"/>
          </w:tcPr>
          <w:p>
            <w:pPr>
              <w:pStyle w:val="TableContents"/>
              <w:bidi w:val="0"/>
              <w:spacing w:before="0" w:after="0"/>
              <w:ind w:left="0" w:right="0" w:hanging="0"/>
              <w:jc w:val="right"/>
              <w:rPr/>
            </w:pPr>
            <w:r>
              <w:rPr/>
              <w:t>—</w:t>
            </w:r>
          </w:p>
        </w:tc>
      </w:tr>
      <w:tr>
        <w:trPr/>
        <w:tc>
          <w:tcPr>
            <w:tcW w:w="4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25,758</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23,564</w:t>
            </w:r>
          </w:p>
        </w:tc>
        <w:tc>
          <w:tcPr>
            <w:tcW w:w="109"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15,939</w:t>
            </w:r>
          </w:p>
        </w:tc>
      </w:tr>
      <w:tr>
        <w:trPr/>
        <w:tc>
          <w:tcPr>
            <w:tcW w:w="47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41,859</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34,783</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24,639</w:t>
            </w:r>
          </w:p>
        </w:tc>
      </w:tr>
      <w:tr>
        <w:trPr/>
        <w:tc>
          <w:tcPr>
            <w:tcW w:w="4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9,334</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33,801</w:t>
            </w:r>
          </w:p>
        </w:tc>
        <w:tc>
          <w:tcPr>
            <w:tcW w:w="109"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14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9,675</w:t>
            </w:r>
          </w:p>
        </w:tc>
      </w:tr>
      <w:tr>
        <w:trPr/>
        <w:tc>
          <w:tcPr>
            <w:tcW w:w="47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Extinguishment of Debt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Operations</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13,142</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43,482</w:t>
            </w:r>
          </w:p>
        </w:tc>
        <w:tc>
          <w:tcPr>
            <w:tcW w:w="109"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14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15,162</w:t>
            </w:r>
          </w:p>
        </w:tc>
      </w:tr>
      <w:tr>
        <w:trPr/>
        <w:tc>
          <w:tcPr>
            <w:tcW w:w="47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(10,165)</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(9,539)</w:t>
            </w:r>
          </w:p>
        </w:tc>
        <w:tc>
          <w:tcPr>
            <w:tcW w:w="109"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(3,702)</w:t>
            </w:r>
          </w:p>
        </w:tc>
      </w:tr>
      <w:tr>
        <w:trPr/>
        <w:tc>
          <w:tcPr>
            <w:tcW w:w="47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3,266</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33,955</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11,462</w:t>
            </w:r>
          </w:p>
        </w:tc>
      </w:tr>
      <w:tr>
        <w:trPr/>
        <w:tc>
          <w:tcPr>
            <w:tcW w:w="4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Income Attributable to Noncontrolling Interest</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(4,235)</w:t>
            </w:r>
          </w:p>
        </w:tc>
        <w:tc>
          <w:tcPr>
            <w:tcW w:w="109"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r>
      <w:tr>
        <w:trPr/>
        <w:tc>
          <w:tcPr>
            <w:tcW w:w="47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Alpine Income Property Trust, Inc.</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29,720</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9,964</w:t>
            </w:r>
          </w:p>
        </w:tc>
      </w:tr>
      <w:tr>
        <w:trPr/>
        <w:tc>
          <w:tcPr>
            <w:tcW w:w="47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1465" w:type="dxa"/>
            <w:tcBorders/>
            <w:vAlign w:val="center"/>
          </w:tcPr>
          <w:p>
            <w:pPr>
              <w:pStyle w:val="TableContents"/>
              <w:bidi w:val="0"/>
              <w:spacing w:before="0" w:after="0"/>
              <w:ind w:left="0" w:right="0" w:hanging="0"/>
              <w:jc w:val="right"/>
              <w:rPr/>
            </w:pPr>
            <w:r>
              <w:rPr/>
              <w:t>​</w:t>
            </w:r>
          </w:p>
        </w:tc>
      </w:tr>
      <w:tr>
        <w:trPr/>
        <w:tc>
          <w:tcPr>
            <w:tcW w:w="478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1465" w:type="dxa"/>
            <w:tcBorders/>
            <w:shd w:fill="CCEEFF" w:val="clear"/>
            <w:vAlign w:val="center"/>
          </w:tcPr>
          <w:p>
            <w:pPr>
              <w:pStyle w:val="TableContents"/>
              <w:bidi w:val="0"/>
              <w:spacing w:before="0" w:after="0"/>
              <w:ind w:left="0" w:right="0" w:hanging="0"/>
              <w:jc w:val="right"/>
              <w:rPr/>
            </w:pPr>
            <w:r>
              <w:rPr/>
              <w:t>​</w:t>
            </w:r>
          </w:p>
        </w:tc>
      </w:tr>
      <w:tr>
        <w:trPr/>
        <w:tc>
          <w:tcPr>
            <w:tcW w:w="4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Alpine Income Property Trust, Inc.</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1465" w:type="dxa"/>
            <w:tcBorders/>
            <w:vAlign w:val="center"/>
          </w:tcPr>
          <w:p>
            <w:pPr>
              <w:pStyle w:val="TableContents"/>
              <w:bidi w:val="0"/>
              <w:spacing w:before="0" w:after="0"/>
              <w:ind w:left="0" w:right="0" w:hanging="0"/>
              <w:jc w:val="right"/>
              <w:rPr/>
            </w:pPr>
            <w:r>
              <w:rPr/>
              <w:t>​</w:t>
            </w:r>
          </w:p>
        </w:tc>
      </w:tr>
      <w:tr>
        <w:trPr/>
        <w:tc>
          <w:tcPr>
            <w:tcW w:w="47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4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109"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0.89</w:t>
            </w:r>
          </w:p>
        </w:tc>
      </w:tr>
      <w:tr>
        <w:trPr/>
        <w:tc>
          <w:tcPr>
            <w:tcW w:w="478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1465" w:type="dxa"/>
            <w:tcBorders/>
            <w:shd w:fill="CCEEFF" w:val="clear"/>
            <w:vAlign w:val="center"/>
          </w:tcPr>
          <w:p>
            <w:pPr>
              <w:pStyle w:val="TableContents"/>
              <w:bidi w:val="0"/>
              <w:spacing w:before="0" w:after="0"/>
              <w:ind w:left="0" w:right="0" w:hanging="0"/>
              <w:jc w:val="left"/>
              <w:rPr/>
            </w:pPr>
            <w:r>
              <w:rPr/>
              <w:t>​</w:t>
            </w:r>
          </w:p>
        </w:tc>
      </w:tr>
      <w:tr>
        <w:trPr/>
        <w:tc>
          <w:tcPr>
            <w:tcW w:w="4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1465" w:type="dxa"/>
            <w:tcBorders/>
            <w:vAlign w:val="center"/>
          </w:tcPr>
          <w:p>
            <w:pPr>
              <w:pStyle w:val="TableContents"/>
              <w:bidi w:val="0"/>
              <w:spacing w:before="0" w:after="0"/>
              <w:ind w:left="0" w:right="0" w:hanging="0"/>
              <w:jc w:val="right"/>
              <w:rPr/>
            </w:pPr>
            <w:r>
              <w:rPr/>
              <w:t>​</w:t>
            </w:r>
          </w:p>
        </w:tc>
      </w:tr>
      <w:tr>
        <w:trPr/>
        <w:tc>
          <w:tcPr>
            <w:tcW w:w="47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13,925,362</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11,976,001</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9,781,066</w:t>
            </w:r>
          </w:p>
        </w:tc>
      </w:tr>
      <w:tr>
        <w:trPr/>
        <w:tc>
          <w:tcPr>
            <w:tcW w:w="4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15,560,524</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13,679,495</w:t>
            </w:r>
          </w:p>
        </w:tc>
        <w:tc>
          <w:tcPr>
            <w:tcW w:w="109"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146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11,246,227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7" w:name="_2816529a_8a62_4c00_8081_351813b5d701"/>
      <w:bookmarkStart w:id="288" w:name="CONSOLIDATEDSTATEMENTSOFCOMPINCOME"/>
      <w:bookmarkEnd w:id="287"/>
      <w:bookmarkEnd w:id="288"/>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firstLine="360"/>
        <w:jc w:val="both"/>
        <w:rPr/>
      </w:pPr>
      <w:r>
        <w:rPr/>
        <w:t>​</w:t>
      </w:r>
    </w:p>
    <w:p>
      <w:pPr>
        <w:pStyle w:val="Normal"/>
        <w:bidi w:val="0"/>
        <w:spacing w:before="0" w:after="0"/>
        <w:jc w:val="left"/>
        <w:rPr>
          <w:sz w:val="4"/>
          <w:szCs w:val="4"/>
        </w:rPr>
      </w:pPr>
      <w:r>
        <w:rPr>
          <w:sz w:val="4"/>
          <w:szCs w:val="4"/>
        </w:rPr>
      </w:r>
      <w:bookmarkStart w:id="289" w:name="Tc_iUXU312g2EiLd5GayNwcsA_12_8"/>
      <w:bookmarkStart w:id="290" w:name="Tc_ntrbXOpZIUmcxoYfei5kXw_12_5"/>
      <w:bookmarkStart w:id="291" w:name="Tc_orQDEhNN-UKGGCKt2Ch_Tw_12_2"/>
      <w:bookmarkStart w:id="292" w:name="Tc_zMfV4LP1PEuv6EilT5nPkg_12_0"/>
      <w:bookmarkStart w:id="293" w:name="Tc_tGMzJzB2zEWeIX8bvcaVtg_11_0"/>
      <w:bookmarkStart w:id="294" w:name="Tc_ulUSecTARE2ayuS313mKuw_10_0"/>
      <w:bookmarkStart w:id="295" w:name="Tc_pXzHcRpgJke3PqO5p_luTg_9_0"/>
      <w:bookmarkStart w:id="296" w:name="Tc_q-n4LCTRIkqFwv_RRXzkHA_8_0"/>
      <w:bookmarkStart w:id="297" w:name="Tc_PcAKg_aHGkykU169uEFE-Q_7_0"/>
      <w:bookmarkStart w:id="298" w:name="Tc_Y8vdi01mSU-PTpqMdPnZLg_6_0"/>
      <w:bookmarkStart w:id="299" w:name="Tc_FSkpWSxtokSzeNAtpcDG4w_5_0"/>
      <w:bookmarkStart w:id="300" w:name="Tc_31PyIwZ6xE-z4qQNd5hOiw_4_0"/>
      <w:bookmarkStart w:id="301" w:name="Tc_YZPOQEGc2U-B1VxcB_L1sA_3_8"/>
      <w:bookmarkStart w:id="302" w:name="Tc_EQEA-5wgyUO1O3m2KVKYmQ_3_5"/>
      <w:bookmarkStart w:id="303" w:name="Tc_Mxa-NDddKUWMIfoRLUXLhA_3_2"/>
      <w:bookmarkStart w:id="304" w:name="Tc_XVaXPQiTLU2N_8zbNn1t0Q_3_0"/>
      <w:bookmarkStart w:id="305" w:name="Tc_0jdYYJpzX0CiuCHtIYbspA_2_8"/>
      <w:bookmarkStart w:id="306" w:name="Tc_XnLxjM-GjUCqbPHd9t69BQ_2_5"/>
      <w:bookmarkStart w:id="307" w:name="Tc_BCw89kzI-U-XWDt9iDAaRA_2_2"/>
      <w:bookmarkStart w:id="308" w:name="Tc_r6EDiGrrg0S2KDePFIaUVQ_1_2"/>
      <w:bookmarkStart w:id="309" w:name="_7102ad09_2f1a_45f8_b3a6_e09025e8de78"/>
      <w:bookmarkStart w:id="310" w:name="Tc_iUXU312g2EiLd5GayNwcsA_12_8"/>
      <w:bookmarkStart w:id="311" w:name="Tc_ntrbXOpZIUmcxoYfei5kXw_12_5"/>
      <w:bookmarkStart w:id="312" w:name="Tc_orQDEhNN-UKGGCKt2Ch_Tw_12_2"/>
      <w:bookmarkStart w:id="313" w:name="Tc_zMfV4LP1PEuv6EilT5nPkg_12_0"/>
      <w:bookmarkStart w:id="314" w:name="Tc_tGMzJzB2zEWeIX8bvcaVtg_11_0"/>
      <w:bookmarkStart w:id="315" w:name="Tc_ulUSecTARE2ayuS313mKuw_10_0"/>
      <w:bookmarkStart w:id="316" w:name="Tc_pXzHcRpgJke3PqO5p_luTg_9_0"/>
      <w:bookmarkStart w:id="317" w:name="Tc_q-n4LCTRIkqFwv_RRXzkHA_8_0"/>
      <w:bookmarkStart w:id="318" w:name="Tc_PcAKg_aHGkykU169uEFE-Q_7_0"/>
      <w:bookmarkStart w:id="319" w:name="Tc_Y8vdi01mSU-PTpqMdPnZLg_6_0"/>
      <w:bookmarkStart w:id="320" w:name="Tc_FSkpWSxtokSzeNAtpcDG4w_5_0"/>
      <w:bookmarkStart w:id="321" w:name="Tc_31PyIwZ6xE-z4qQNd5hOiw_4_0"/>
      <w:bookmarkStart w:id="322" w:name="Tc_YZPOQEGc2U-B1VxcB_L1sA_3_8"/>
      <w:bookmarkStart w:id="323" w:name="Tc_EQEA-5wgyUO1O3m2KVKYmQ_3_5"/>
      <w:bookmarkStart w:id="324" w:name="Tc_Mxa-NDddKUWMIfoRLUXLhA_3_2"/>
      <w:bookmarkStart w:id="325" w:name="Tc_XVaXPQiTLU2N_8zbNn1t0Q_3_0"/>
      <w:bookmarkStart w:id="326" w:name="Tc_0jdYYJpzX0CiuCHtIYbspA_2_8"/>
      <w:bookmarkStart w:id="327" w:name="Tc_XnLxjM-GjUCqbPHd9t69BQ_2_5"/>
      <w:bookmarkStart w:id="328" w:name="Tc_BCw89kzI-U-XWDt9iDAaRA_2_2"/>
      <w:bookmarkStart w:id="329" w:name="Tc_r6EDiGrrg0S2KDePFIaUVQ_1_2"/>
      <w:bookmarkStart w:id="330" w:name="_7102ad09_2f1a_45f8_b3a6_e09025e8de78"/>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tbl>
      <w:tblPr>
        <w:tblW w:w="10205" w:type="dxa"/>
        <w:jc w:val="left"/>
        <w:tblInd w:w="0" w:type="dxa"/>
        <w:tblLayout w:type="fixed"/>
        <w:tblCellMar>
          <w:top w:w="0" w:type="dxa"/>
          <w:left w:w="0" w:type="dxa"/>
          <w:bottom w:w="0" w:type="dxa"/>
          <w:right w:w="0" w:type="dxa"/>
        </w:tblCellMar>
      </w:tblPr>
      <w:tblGrid>
        <w:gridCol w:w="5145"/>
        <w:gridCol w:w="109"/>
        <w:gridCol w:w="397"/>
        <w:gridCol w:w="1193"/>
        <w:gridCol w:w="109"/>
        <w:gridCol w:w="377"/>
        <w:gridCol w:w="1214"/>
        <w:gridCol w:w="109"/>
        <w:gridCol w:w="327"/>
        <w:gridCol w:w="1225"/>
      </w:tblGrid>
      <w:tr>
        <w:trPr/>
        <w:tc>
          <w:tcPr>
            <w:tcW w:w="5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267075" cy="175260"/>
                      <wp:effectExtent l="0" t="0" r="0" b="0"/>
                      <wp:wrapNone/>
                      <wp:docPr id="125" name="Frame125"/>
                      <a:graphic xmlns:a="http://schemas.openxmlformats.org/drawingml/2006/main">
                        <a:graphicData uri="http://schemas.microsoft.com/office/word/2010/wordprocessingShape">
                          <wps:wsp>
                            <wps:cNvSpPr txBox="1"/>
                            <wps:spPr>
                              <a:xfrm>
                                <a:off x="0" y="0"/>
                                <a:ext cx="3267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6" name="Frame1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52095" cy="175260"/>
                      <wp:effectExtent l="0" t="0" r="0" b="0"/>
                      <wp:wrapNone/>
                      <wp:docPr id="127" name="Frame127"/>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57555" cy="175260"/>
                      <wp:effectExtent l="0" t="0" r="0" b="0"/>
                      <wp:wrapNone/>
                      <wp:docPr id="128" name="Frame128"/>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39395" cy="175260"/>
                      <wp:effectExtent l="0" t="0" r="0" b="0"/>
                      <wp:wrapNone/>
                      <wp:docPr id="130" name="Frame130"/>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70890" cy="175260"/>
                      <wp:effectExtent l="0" t="0" r="0" b="0"/>
                      <wp:wrapNone/>
                      <wp:docPr id="131" name="Frame131"/>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9215" cy="175260"/>
                      <wp:effectExtent l="0" t="0" r="0" b="0"/>
                      <wp:wrapNone/>
                      <wp:docPr id="132" name="Frame1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645" cy="175260"/>
                      <wp:effectExtent l="0" t="0" r="0" b="0"/>
                      <wp:wrapNone/>
                      <wp:docPr id="133" name="Frame13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777875" cy="175260"/>
                      <wp:effectExtent l="0" t="0" r="0" b="0"/>
                      <wp:wrapNone/>
                      <wp:docPr id="134" name="Frame134"/>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45" w:type="dxa"/>
            <w:tcBorders/>
            <w:vAlign w:val="center"/>
          </w:tcPr>
          <w:p>
            <w:pPr>
              <w:pStyle w:val="TableContents"/>
              <w:bidi w:val="0"/>
              <w:spacing w:before="0" w:after="0"/>
              <w:ind w:left="0" w:right="0" w:hanging="0"/>
              <w:jc w:val="left"/>
              <w:rPr>
                <w:color w:val="0000FF"/>
              </w:rPr>
            </w:pPr>
            <w:r>
              <w:rPr>
                <w:color w:val="0000FF"/>
              </w:rPr>
              <w:t>​</w:t>
            </w:r>
          </w:p>
        </w:tc>
        <w:tc>
          <w:tcPr>
            <w:tcW w:w="109" w:type="dxa"/>
            <w:tcBorders/>
            <w:vAlign w:val="center"/>
          </w:tcPr>
          <w:p>
            <w:pPr>
              <w:pStyle w:val="TableContents"/>
              <w:bidi w:val="0"/>
              <w:spacing w:before="0" w:after="0"/>
              <w:ind w:left="0" w:right="0" w:hanging="0"/>
              <w:jc w:val="left"/>
              <w:rPr/>
            </w:pPr>
            <w:r>
              <w:rPr/>
              <w:t>​</w:t>
            </w:r>
          </w:p>
        </w:tc>
        <w:tc>
          <w:tcPr>
            <w:tcW w:w="495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51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center"/>
              <w:rPr/>
            </w:pPr>
            <w:r>
              <w:rPr/>
              <w:t>​</w:t>
            </w:r>
          </w:p>
        </w:tc>
        <w:tc>
          <w:tcPr>
            <w:tcW w:w="15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109" w:type="dxa"/>
            <w:tcBorders/>
            <w:shd w:fill="CCEEFF" w:val="clear"/>
            <w:vAlign w:val="center"/>
          </w:tcPr>
          <w:p>
            <w:pPr>
              <w:pStyle w:val="TableContents"/>
              <w:bidi w:val="0"/>
              <w:spacing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3,266</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33,955</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11,462</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right"/>
              <w:rPr/>
            </w:pPr>
            <w:r>
              <w:rPr/>
              <w:t>​</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Hedging Derivative -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(3,778)</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12,679</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2,403</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109" w:type="dxa"/>
            <w:tcBorders/>
            <w:vAlign w:val="center"/>
          </w:tcPr>
          <w:p>
            <w:pPr>
              <w:pStyle w:val="TableContents"/>
              <w:bidi w:val="0"/>
              <w:spacing w:before="0" w:after="0"/>
              <w:ind w:left="0" w:right="0" w:hanging="0"/>
              <w:jc w:val="left"/>
              <w:rPr/>
            </w:pPr>
            <w:r>
              <w:rPr/>
              <w:t>​</w:t>
            </w:r>
          </w:p>
        </w:tc>
        <w:tc>
          <w:tcPr>
            <w:tcW w:w="3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(3,778)</w:t>
            </w:r>
          </w:p>
        </w:tc>
        <w:tc>
          <w:tcPr>
            <w:tcW w:w="109" w:type="dxa"/>
            <w:tcBorders/>
            <w:vAlign w:val="center"/>
          </w:tcPr>
          <w:p>
            <w:pPr>
              <w:pStyle w:val="TableContents"/>
              <w:bidi w:val="0"/>
              <w:spacing w:before="0" w:after="0"/>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12,679</w:t>
            </w:r>
          </w:p>
        </w:tc>
        <w:tc>
          <w:tcPr>
            <w:tcW w:w="109"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2,403</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(512)</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46,634</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13,865</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Comprehensive Income Attributable to Noncontrolling Interest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left"/>
              <w:rPr/>
            </w:pPr>
            <w:r>
              <w:rPr/>
              <w:t>​</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(349)</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(4,235)</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(1,498)</w:t>
            </w:r>
          </w:p>
        </w:tc>
      </w:tr>
      <w:tr>
        <w:trPr/>
        <w:tc>
          <w:tcPr>
            <w:tcW w:w="514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Comprehensive Income Attributable to Noncontrolling Interest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3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(1,548)</w:t>
            </w:r>
          </w:p>
        </w:tc>
        <w:tc>
          <w:tcPr>
            <w:tcW w:w="109" w:type="dxa"/>
            <w:tcBorders/>
            <w:vAlign w:val="center"/>
          </w:tcPr>
          <w:p>
            <w:pPr>
              <w:pStyle w:val="TableContents"/>
              <w:bidi w:val="0"/>
              <w:spacing w:before="0" w:after="0"/>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1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Attributable to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(1,897)</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(4,235)</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(1,498)</w:t>
            </w:r>
          </w:p>
        </w:tc>
      </w:tr>
      <w:tr>
        <w:trPr/>
        <w:tc>
          <w:tcPr>
            <w:tcW w:w="5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Alpine Income Property Trust, Inc.</w:t>
            </w:r>
          </w:p>
        </w:tc>
        <w:tc>
          <w:tcPr>
            <w:tcW w:w="109" w:type="dxa"/>
            <w:tcBorders/>
            <w:vAlign w:val="center"/>
          </w:tcPr>
          <w:p>
            <w:pPr>
              <w:pStyle w:val="TableContents"/>
              <w:bidi w:val="0"/>
              <w:spacing w:before="0" w:after="0"/>
              <w:ind w:left="0" w:right="0" w:hanging="0"/>
              <w:jc w:val="left"/>
              <w:rPr/>
            </w:pPr>
            <w:r>
              <w:rPr/>
              <w:t>​</w:t>
            </w:r>
          </w:p>
        </w:tc>
        <w:tc>
          <w:tcPr>
            <w:tcW w:w="3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(2,409)</w:t>
            </w:r>
          </w:p>
        </w:tc>
        <w:tc>
          <w:tcPr>
            <w:tcW w:w="109" w:type="dxa"/>
            <w:tcBorders/>
            <w:vAlign w:val="center"/>
          </w:tcPr>
          <w:p>
            <w:pPr>
              <w:pStyle w:val="TableContents"/>
              <w:bidi w:val="0"/>
              <w:spacing w:before="0" w:after="0"/>
              <w:ind w:left="0" w:right="0" w:hanging="0"/>
              <w:jc w:val="left"/>
              <w:rPr/>
            </w:pPr>
            <w:r>
              <w:rPr/>
              <w:t>​</w:t>
            </w:r>
          </w:p>
        </w:tc>
        <w:tc>
          <w:tcPr>
            <w:tcW w:w="3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2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42,399</w:t>
            </w:r>
          </w:p>
        </w:tc>
        <w:tc>
          <w:tcPr>
            <w:tcW w:w="109" w:type="dxa"/>
            <w:tcBorders/>
            <w:vAlign w:val="center"/>
          </w:tcPr>
          <w:p>
            <w:pPr>
              <w:pStyle w:val="TableContents"/>
              <w:bidi w:val="0"/>
              <w:spacing w:before="0" w:after="0"/>
              <w:ind w:left="0" w:right="0" w:hanging="0"/>
              <w:jc w:val="left"/>
              <w:rPr/>
            </w:pPr>
            <w:r>
              <w:rPr/>
              <w:t>​</w:t>
            </w:r>
          </w:p>
        </w:tc>
        <w:tc>
          <w:tcPr>
            <w:tcW w:w="3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22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12,367</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For the year ended December 31, 2023, the $1.5</w:t>
            </w:r>
            <w:r>
              <w:rPr>
                <w:caps w:val="false"/>
                <w:smallCaps w:val="false"/>
              </w:rPr>
              <w:t xml:space="preserve"> </w:t>
            </w:r>
            <w:r>
              <w:rPr>
                <w:rFonts w:ascii="Times New Roman;Times;serif" w:hAnsi="Times New Roman;Times;serif"/>
                <w:b w:val="false"/>
                <w:i w:val="false"/>
                <w:caps w:val="false"/>
                <w:smallCaps w:val="false"/>
                <w:sz w:val="16"/>
              </w:rPr>
              <w:t>million of other comprehensive income attributable to the noncontrolling interest includes approximately $1.8</w:t>
            </w:r>
            <w:r>
              <w:rPr>
                <w:caps w:val="false"/>
                <w:smallCaps w:val="false"/>
              </w:rPr>
              <w:t xml:space="preserve"> </w:t>
            </w:r>
            <w:r>
              <w:rPr>
                <w:rFonts w:ascii="Times New Roman;Times;serif" w:hAnsi="Times New Roman;Times;serif"/>
                <w:b w:val="false"/>
                <w:i w:val="false"/>
                <w:caps w:val="false"/>
                <w:smallCaps w:val="false"/>
                <w:sz w:val="16"/>
              </w:rPr>
              <w:t>million of other comprehensive income which represents the cumulative amount that should have been attributed to the noncontrolling interest through December 31, 2022.</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6"/>
        </w:rPr>
      </w:pPr>
      <w:bookmarkStart w:id="331" w:name="_8def33ae_7faa_47be_a401_d54d4847b7be"/>
      <w:bookmarkEnd w:id="331"/>
      <w:r>
        <w:rPr>
          <w:rFonts w:ascii="Times New Roman;Times;serif" w:hAnsi="Times New Roman;Times;serif"/>
          <w:b/>
          <w:sz w:val="16"/>
        </w:rPr>
        <w:t>ALPINE INCOME PROPERTY TRUST, INC.</w:t>
      </w:r>
    </w:p>
    <w:p>
      <w:pPr>
        <w:pStyle w:val="TextBody"/>
        <w:bidi w:val="0"/>
        <w:spacing w:before="0" w:after="0"/>
        <w:ind w:left="0" w:right="0" w:hanging="0"/>
        <w:jc w:val="center"/>
        <w:rPr>
          <w:rFonts w:ascii="Times New Roman;Times;serif" w:hAnsi="Times New Roman;Times;serif"/>
          <w:b/>
          <w:sz w:val="16"/>
        </w:rPr>
      </w:pPr>
      <w:bookmarkStart w:id="332" w:name="CONSOLIDATEDANDCOMBINEDSTATEMENTSOFEQUIT"/>
      <w:bookmarkEnd w:id="332"/>
      <w:r>
        <w:rPr>
          <w:rFonts w:ascii="Times New Roman;Times;serif" w:hAnsi="Times New Roman;Times;serif"/>
          <w:b/>
          <w:sz w:val="16"/>
        </w:rPr>
        <w:t>CONSOLIDATED STATEMENTS OF STOCKHOLDERS’ EQUITY</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 share data)</w:t>
      </w:r>
    </w:p>
    <w:p>
      <w:pPr>
        <w:pStyle w:val="TextBody"/>
        <w:bidi w:val="0"/>
        <w:spacing w:before="0" w:after="240"/>
        <w:ind w:left="0" w:right="0" w:hanging="0"/>
        <w:jc w:val="both"/>
        <w:rPr/>
      </w:pPr>
      <w:r>
        <w:rPr/>
        <w:t>​</w:t>
      </w:r>
    </w:p>
    <w:p>
      <w:pPr>
        <w:pStyle w:val="TextBody"/>
        <w:bidi w:val="0"/>
        <w:spacing w:before="0" w:after="240"/>
        <w:ind w:left="0" w:right="0" w:firstLine="360"/>
        <w:jc w:val="both"/>
        <w:rPr/>
      </w:pPr>
      <w:r>
        <w:rPr/>
        <w:t>​</w:t>
      </w:r>
    </w:p>
    <w:p>
      <w:pPr>
        <w:pStyle w:val="Normal"/>
        <w:bidi w:val="0"/>
        <w:spacing w:before="0" w:after="0"/>
        <w:jc w:val="left"/>
        <w:rPr>
          <w:sz w:val="4"/>
          <w:szCs w:val="4"/>
        </w:rPr>
      </w:pPr>
      <w:r>
        <w:rPr>
          <w:sz w:val="4"/>
          <w:szCs w:val="4"/>
        </w:rPr>
      </w:r>
      <w:bookmarkStart w:id="333" w:name="Tc_tdHER4gwuEGhCvMceNh6BQ_23_20"/>
      <w:bookmarkStart w:id="334" w:name="Tc_fQ8r-8rDTEuPbZIaHpX2LA_23_17"/>
      <w:bookmarkStart w:id="335" w:name="Tc_dQ07j5Bw4UqREq7nOSymYA_23_14"/>
      <w:bookmarkStart w:id="336" w:name="Tc_rxhO8Iq2gEKFZMVnXcNr-Q_23_11"/>
      <w:bookmarkStart w:id="337" w:name="Tc_iHvExSZlBUWEJsocwPjY6w_23_8"/>
      <w:bookmarkStart w:id="338" w:name="Tc_ZEd8gWuYy0OXpDL0WDyZ5g_23_5"/>
      <w:bookmarkStart w:id="339" w:name="Tc_zSusri7_YUWxiIk-8ZDYdg_23_2"/>
      <w:bookmarkStart w:id="340" w:name="Tc_YGCIGpo_UUqB1gxWk_wtPQ_23_0"/>
      <w:bookmarkStart w:id="341" w:name="Tc_VKgDamKelEqN0xdFAa8pFg_22_9"/>
      <w:bookmarkStart w:id="342" w:name="Tc_cIaTyMPo10u3Mt1YIoCG3g_22_6"/>
      <w:bookmarkStart w:id="343" w:name="Tc_nQlXPkuDo0WL0etHS3ZwMA_22_3"/>
      <w:bookmarkStart w:id="344" w:name="Tc_3_2_1LZhlUGT9tt1uZWA0g_22_0"/>
      <w:bookmarkStart w:id="345" w:name="Tc_HAu651p8jUecoirQIIExmw_21_12"/>
      <w:bookmarkStart w:id="346" w:name="Tc_7_FCy-Dj5UyoVM6_P0AcJQ_21_6"/>
      <w:bookmarkStart w:id="347" w:name="Tc_6ZLGaT9pREKiA7YA16kF2g_21_3"/>
      <w:bookmarkStart w:id="348" w:name="Tc_aj0hNsR3FUyEM8llvxRvkw_21_0"/>
      <w:bookmarkStart w:id="349" w:name="Tc_A0CTwZS8xkudavEiOLRLow_20_18"/>
      <w:bookmarkStart w:id="350" w:name="Tc_TDz69gbASEWkI_qgn3pMxA_20_12"/>
      <w:bookmarkStart w:id="351" w:name="Tc_DHByb8PEukObej2xMJu93Q_20_9"/>
      <w:bookmarkStart w:id="352" w:name="Tc_ewIwuNa-BEqzgpdNjU3hGA_20_0"/>
      <w:bookmarkStart w:id="353" w:name="Tc_znn_2CgLi0KXkT77D0qLkw_19_18"/>
      <w:bookmarkStart w:id="354" w:name="Tc_7W8kY1WLt0CpSutkczDOJg_19_12"/>
      <w:bookmarkStart w:id="355" w:name="Tc_Wlx68MrRJEySUNIc-PGJUA_19_9"/>
      <w:bookmarkStart w:id="356" w:name="Tc_iCVGWNampUaZgUrlsN_0Ew_19_3"/>
      <w:bookmarkStart w:id="357" w:name="Tc_8rvbpwrX-0Kyptn5YvR8Cw_19_0"/>
      <w:bookmarkStart w:id="358" w:name="Tc_eS6w3pmx706LbgFIqI9oQw_18_18"/>
      <w:bookmarkStart w:id="359" w:name="Tc_8e-e8B8NREiwKFH1YxaGEg_18_12"/>
      <w:bookmarkStart w:id="360" w:name="Tc_YTaE8aFu3Eq7I3kUpkG4mw_18_9"/>
      <w:bookmarkStart w:id="361" w:name="Tc_DOOyaeEvskGAYU7nMxuGZw_18_0"/>
      <w:bookmarkStart w:id="362" w:name="Tc_1GgsA-sDIkyjevKrgCLANw_17_21"/>
      <w:bookmarkStart w:id="363" w:name="Tc_Iuk0pMKZMUCILzkRXkfrTA_17_12"/>
      <w:bookmarkStart w:id="364" w:name="Tc_-1Ff7Vxp4kCqRPcyrJMfrQ_17_9"/>
      <w:bookmarkStart w:id="365" w:name="Tc_VztVaGUZMkG3rD-v01Gw-g_17_0"/>
      <w:bookmarkStart w:id="366" w:name="Tc_ukGm4HJb-kuugOj-fobiTw_16_12"/>
      <w:bookmarkStart w:id="367" w:name="Tc_tuZvmh-mDEKVixTd4r4jxA_16_6"/>
      <w:bookmarkStart w:id="368" w:name="Tc_rGltd4f6BUakqGrDKjjHwQ_16_3"/>
      <w:bookmarkStart w:id="369" w:name="Tc_WAHmu7Hws0-CmsEH2RvsEQ_16_0"/>
      <w:bookmarkStart w:id="370" w:name="Tc_uYu65ix18kecRh1wxv7wSg_15_0"/>
      <w:bookmarkStart w:id="371" w:name="Tc_pBgm0pwxB0SFMwhCOO5Rfg_14_18"/>
      <w:bookmarkStart w:id="372" w:name="Tc_i-egvD8xVUaYS7j4aHm90Q_14_9"/>
      <w:bookmarkStart w:id="373" w:name="Tc_0fUHYg_OaE-9076FTvzWNA_14_6"/>
      <w:bookmarkStart w:id="374" w:name="Tc_Km3yAol_xUSAgeHv71FSvA_14_3"/>
      <w:bookmarkStart w:id="375" w:name="Tc_ZUAywyS3IkCd7brVaTCKkw_14_0"/>
      <w:bookmarkStart w:id="376" w:name="Tc_QkIGL-6NvkqkSJ2FHDBOfw_13_12"/>
      <w:bookmarkStart w:id="377" w:name="Tc_mJofWOItx02hLmP9JBFVDQ_13_6"/>
      <w:bookmarkStart w:id="378" w:name="Tc_z0INUIMP1EqffxdSVtaHqA_13_3"/>
      <w:bookmarkStart w:id="379" w:name="Tc_mCPpPFXgkEipe-RatQ0NeA_13_0"/>
      <w:bookmarkStart w:id="380" w:name="Tc_oqdNRMdJfUm5Z8gxEgYlcA_12_18"/>
      <w:bookmarkStart w:id="381" w:name="Tc_ENGK0wT7bkuBnkm-d83_7g_12_12"/>
      <w:bookmarkStart w:id="382" w:name="Tc_Ho-hLn6vOk2J_KiQ7b4gDQ_12_9"/>
      <w:bookmarkStart w:id="383" w:name="Tc_PlfnNBYn6Ee6Os9fqtiPqw_12_0"/>
      <w:bookmarkStart w:id="384" w:name="Tc_Oqq4KKJwcECy43jxwEH7Eg_11_18"/>
      <w:bookmarkStart w:id="385" w:name="Tc_-PztZ8ttdE2u6z9O7wBaCA_11_12"/>
      <w:bookmarkStart w:id="386" w:name="Tc_T_lVvrdrDUSDbMCkrGytug_11_9"/>
      <w:bookmarkStart w:id="387" w:name="Tc_nN9QPfjnXkqe3Cm3OXsJbw_11_3"/>
      <w:bookmarkStart w:id="388" w:name="Tc_hljmDzTSSUC-XXUjYNbfJw_11_0"/>
      <w:bookmarkStart w:id="389" w:name="Tc_VHE_LCyDS0eO4-erMd4FxA_10_12"/>
      <w:bookmarkStart w:id="390" w:name="Tc_OLtVdGSCOU2ltr-26Unc8w_10_6"/>
      <w:bookmarkStart w:id="391" w:name="Tc_axRDTHAtykmCDbbXcO8Frg_10_3"/>
      <w:bookmarkStart w:id="392" w:name="Tc_pQFEbXTMGU2cxm5dVPfy9Q_10_0"/>
      <w:bookmarkStart w:id="393" w:name="Tc_gm93f6dEckiLiwtlh0nPqA_9_0"/>
      <w:bookmarkStart w:id="394" w:name="Tc_G-H9zk1PokenMD52eMwuiA_8_18"/>
      <w:bookmarkStart w:id="395" w:name="Tc_RSifXm2f-UCzuZ1fR7awow_8_9"/>
      <w:bookmarkStart w:id="396" w:name="Tc_5RA4RVuLmkGK5RC_QLAohQ_8_6"/>
      <w:bookmarkStart w:id="397" w:name="Tc_Enmwli-Ft0y03FIXe0b0yg_8_3"/>
      <w:bookmarkStart w:id="398" w:name="Tc_mPm8Kl3rKEWOrmpQVjKViA_8_0"/>
      <w:bookmarkStart w:id="399" w:name="Tc_josR2zqg90ep-YARcJjY-w_7_12"/>
      <w:bookmarkStart w:id="400" w:name="Tc_ALtJY3xh5E-6kOo4sUmA7w_7_6"/>
      <w:bookmarkStart w:id="401" w:name="Tc_q1xhRJc_2EeaU19iGDr7FA_7_3"/>
      <w:bookmarkStart w:id="402" w:name="Tc_1lkiIs6pV0yexBDy0pGXjA_7_0"/>
      <w:bookmarkStart w:id="403" w:name="Tc_4-wlStg-zkGtupO34i4uhg_6_15"/>
      <w:bookmarkStart w:id="404" w:name="Tc_WWiWGeg7sEiKY0-twUs64Q_6_12"/>
      <w:bookmarkStart w:id="405" w:name="Tc_vFog6V-NGES7A2rTSY-EQQ_6_9"/>
      <w:bookmarkStart w:id="406" w:name="Tc_C5iH_5B8pUmCR1wRC40w6g_6_6"/>
      <w:bookmarkStart w:id="407" w:name="Tc_c3QJswVZoky6gFRE-tGz6A_6_3"/>
      <w:bookmarkStart w:id="408" w:name="Tc_lqNK5kGvR0OKzo0FQ-vqrQ_6_0"/>
      <w:bookmarkStart w:id="409" w:name="Tc_qD3bh1m_uUS7byCKCX-lzg_5_18"/>
      <w:bookmarkStart w:id="410" w:name="Tc_jxbltcZFHkW6bkDUvjl43g_5_12"/>
      <w:bookmarkStart w:id="411" w:name="Tc_gwWrkYHeQ0GJjoHOGBiIgA_5_9"/>
      <w:bookmarkStart w:id="412" w:name="Tc_LLI-PdGtJUWQ7cnsj-L33A_5_0"/>
      <w:bookmarkStart w:id="413" w:name="Tc_W2v8tiXwS0S4ikypPcJOEg_4_18"/>
      <w:bookmarkStart w:id="414" w:name="Tc_RQHlU71ZuUSVIvTi7AZuUQ_4_12"/>
      <w:bookmarkStart w:id="415" w:name="Tc_AkwzOL7SB0mDM20OIDQ5uw_4_9"/>
      <w:bookmarkStart w:id="416" w:name="Tc_qbX2gIyp7EWIwHUeLPgC8Q_4_3"/>
      <w:bookmarkStart w:id="417" w:name="Tc_K95Z7YtTwUy8LRIbP6cOpw_4_0"/>
      <w:bookmarkStart w:id="418" w:name="Tc_95Bdz4mo-UqDzyebQuAiBQ_3_12"/>
      <w:bookmarkStart w:id="419" w:name="Tc_6bxpLQJKQEqY9QEZQSHztw_3_6"/>
      <w:bookmarkStart w:id="420" w:name="Tc_grugdi4cw0qtHkqaIp57Ig_3_3"/>
      <w:bookmarkStart w:id="421" w:name="Tc_7TAbaT0fgk21o0XW7BqMWQ_3_0"/>
      <w:bookmarkStart w:id="422" w:name="Tc_UG5hS2Epv0ikdYEs2oY08Q_2_20"/>
      <w:bookmarkStart w:id="423" w:name="Tc__pxtt00MAkmpcw--8-EyTQ_2_17"/>
      <w:bookmarkStart w:id="424" w:name="Tc_N2mgxXoS-UCu4BFkpfqn7g_2_14"/>
      <w:bookmarkStart w:id="425" w:name="Tc_l4jhddHEO0OtkRUraatDSQ_2_11"/>
      <w:bookmarkStart w:id="426" w:name="Tc_Wnvs8MAPqk2MEjdRkjd9Wg_2_8"/>
      <w:bookmarkStart w:id="427" w:name="Tc_S_W65iIPhUWBOqo9LpUD9Q_2_5"/>
      <w:bookmarkStart w:id="428" w:name="Tc_nw8_HLai5UGQD4ZNlhx50Q_2_2"/>
      <w:bookmarkStart w:id="429" w:name="Tc_C7Vw5d4nQ0iaBVc-kU5DWw_2_0"/>
      <w:bookmarkStart w:id="430" w:name="Tc_g9P3OkEr8EybbqWFPRAiZw_1_20"/>
      <w:bookmarkStart w:id="431" w:name="Tc_yNJglXXDkkKOydeVd9Ajfg_1_17"/>
      <w:bookmarkStart w:id="432" w:name="Tc_G1MFSTdw4ka2_l5imi4WWg_1_14"/>
      <w:bookmarkStart w:id="433" w:name="Tc_YPMUC4Bq50u-6c-X17D0Hw_1_11"/>
      <w:bookmarkStart w:id="434" w:name="Tc__plgBVn8zky5MlgdchrMuQ_1_8"/>
      <w:bookmarkStart w:id="435" w:name="Tc_9c3fOuACtUqn8PTXSn4ZlA_1_5"/>
      <w:bookmarkStart w:id="436" w:name="Tc_MME3tTS7o0KtvXvc6beYXw_1_2"/>
      <w:bookmarkStart w:id="437" w:name="_d076d58b_aef4_47d3_874f_ac66127eddf8"/>
      <w:bookmarkStart w:id="438" w:name="Tc_tdHER4gwuEGhCvMceNh6BQ_23_20"/>
      <w:bookmarkStart w:id="439" w:name="Tc_fQ8r-8rDTEuPbZIaHpX2LA_23_17"/>
      <w:bookmarkStart w:id="440" w:name="Tc_dQ07j5Bw4UqREq7nOSymYA_23_14"/>
      <w:bookmarkStart w:id="441" w:name="Tc_rxhO8Iq2gEKFZMVnXcNr-Q_23_11"/>
      <w:bookmarkStart w:id="442" w:name="Tc_iHvExSZlBUWEJsocwPjY6w_23_8"/>
      <w:bookmarkStart w:id="443" w:name="Tc_ZEd8gWuYy0OXpDL0WDyZ5g_23_5"/>
      <w:bookmarkStart w:id="444" w:name="Tc_zSusri7_YUWxiIk-8ZDYdg_23_2"/>
      <w:bookmarkStart w:id="445" w:name="Tc_YGCIGpo_UUqB1gxWk_wtPQ_23_0"/>
      <w:bookmarkStart w:id="446" w:name="Tc_VKgDamKelEqN0xdFAa8pFg_22_9"/>
      <w:bookmarkStart w:id="447" w:name="Tc_cIaTyMPo10u3Mt1YIoCG3g_22_6"/>
      <w:bookmarkStart w:id="448" w:name="Tc_nQlXPkuDo0WL0etHS3ZwMA_22_3"/>
      <w:bookmarkStart w:id="449" w:name="Tc_3_2_1LZhlUGT9tt1uZWA0g_22_0"/>
      <w:bookmarkStart w:id="450" w:name="Tc_HAu651p8jUecoirQIIExmw_21_12"/>
      <w:bookmarkStart w:id="451" w:name="Tc_7_FCy-Dj5UyoVM6_P0AcJQ_21_6"/>
      <w:bookmarkStart w:id="452" w:name="Tc_6ZLGaT9pREKiA7YA16kF2g_21_3"/>
      <w:bookmarkStart w:id="453" w:name="Tc_aj0hNsR3FUyEM8llvxRvkw_21_0"/>
      <w:bookmarkStart w:id="454" w:name="Tc_A0CTwZS8xkudavEiOLRLow_20_18"/>
      <w:bookmarkStart w:id="455" w:name="Tc_TDz69gbASEWkI_qgn3pMxA_20_12"/>
      <w:bookmarkStart w:id="456" w:name="Tc_DHByb8PEukObej2xMJu93Q_20_9"/>
      <w:bookmarkStart w:id="457" w:name="Tc_ewIwuNa-BEqzgpdNjU3hGA_20_0"/>
      <w:bookmarkStart w:id="458" w:name="Tc_znn_2CgLi0KXkT77D0qLkw_19_18"/>
      <w:bookmarkStart w:id="459" w:name="Tc_7W8kY1WLt0CpSutkczDOJg_19_12"/>
      <w:bookmarkStart w:id="460" w:name="Tc_Wlx68MrRJEySUNIc-PGJUA_19_9"/>
      <w:bookmarkStart w:id="461" w:name="Tc_iCVGWNampUaZgUrlsN_0Ew_19_3"/>
      <w:bookmarkStart w:id="462" w:name="Tc_8rvbpwrX-0Kyptn5YvR8Cw_19_0"/>
      <w:bookmarkStart w:id="463" w:name="Tc_eS6w3pmx706LbgFIqI9oQw_18_18"/>
      <w:bookmarkStart w:id="464" w:name="Tc_8e-e8B8NREiwKFH1YxaGEg_18_12"/>
      <w:bookmarkStart w:id="465" w:name="Tc_YTaE8aFu3Eq7I3kUpkG4mw_18_9"/>
      <w:bookmarkStart w:id="466" w:name="Tc_DOOyaeEvskGAYU7nMxuGZw_18_0"/>
      <w:bookmarkStart w:id="467" w:name="Tc_1GgsA-sDIkyjevKrgCLANw_17_21"/>
      <w:bookmarkStart w:id="468" w:name="Tc_Iuk0pMKZMUCILzkRXkfrTA_17_12"/>
      <w:bookmarkStart w:id="469" w:name="Tc_-1Ff7Vxp4kCqRPcyrJMfrQ_17_9"/>
      <w:bookmarkStart w:id="470" w:name="Tc_VztVaGUZMkG3rD-v01Gw-g_17_0"/>
      <w:bookmarkStart w:id="471" w:name="Tc_ukGm4HJb-kuugOj-fobiTw_16_12"/>
      <w:bookmarkStart w:id="472" w:name="Tc_tuZvmh-mDEKVixTd4r4jxA_16_6"/>
      <w:bookmarkStart w:id="473" w:name="Tc_rGltd4f6BUakqGrDKjjHwQ_16_3"/>
      <w:bookmarkStart w:id="474" w:name="Tc_WAHmu7Hws0-CmsEH2RvsEQ_16_0"/>
      <w:bookmarkStart w:id="475" w:name="Tc_uYu65ix18kecRh1wxv7wSg_15_0"/>
      <w:bookmarkStart w:id="476" w:name="Tc_pBgm0pwxB0SFMwhCOO5Rfg_14_18"/>
      <w:bookmarkStart w:id="477" w:name="Tc_i-egvD8xVUaYS7j4aHm90Q_14_9"/>
      <w:bookmarkStart w:id="478" w:name="Tc_0fUHYg_OaE-9076FTvzWNA_14_6"/>
      <w:bookmarkStart w:id="479" w:name="Tc_Km3yAol_xUSAgeHv71FSvA_14_3"/>
      <w:bookmarkStart w:id="480" w:name="Tc_ZUAywyS3IkCd7brVaTCKkw_14_0"/>
      <w:bookmarkStart w:id="481" w:name="Tc_QkIGL-6NvkqkSJ2FHDBOfw_13_12"/>
      <w:bookmarkStart w:id="482" w:name="Tc_mJofWOItx02hLmP9JBFVDQ_13_6"/>
      <w:bookmarkStart w:id="483" w:name="Tc_z0INUIMP1EqffxdSVtaHqA_13_3"/>
      <w:bookmarkStart w:id="484" w:name="Tc_mCPpPFXgkEipe-RatQ0NeA_13_0"/>
      <w:bookmarkStart w:id="485" w:name="Tc_oqdNRMdJfUm5Z8gxEgYlcA_12_18"/>
      <w:bookmarkStart w:id="486" w:name="Tc_ENGK0wT7bkuBnkm-d83_7g_12_12"/>
      <w:bookmarkStart w:id="487" w:name="Tc_Ho-hLn6vOk2J_KiQ7b4gDQ_12_9"/>
      <w:bookmarkStart w:id="488" w:name="Tc_PlfnNBYn6Ee6Os9fqtiPqw_12_0"/>
      <w:bookmarkStart w:id="489" w:name="Tc_Oqq4KKJwcECy43jxwEH7Eg_11_18"/>
      <w:bookmarkStart w:id="490" w:name="Tc_-PztZ8ttdE2u6z9O7wBaCA_11_12"/>
      <w:bookmarkStart w:id="491" w:name="Tc_T_lVvrdrDUSDbMCkrGytug_11_9"/>
      <w:bookmarkStart w:id="492" w:name="Tc_nN9QPfjnXkqe3Cm3OXsJbw_11_3"/>
      <w:bookmarkStart w:id="493" w:name="Tc_hljmDzTSSUC-XXUjYNbfJw_11_0"/>
      <w:bookmarkStart w:id="494" w:name="Tc_VHE_LCyDS0eO4-erMd4FxA_10_12"/>
      <w:bookmarkStart w:id="495" w:name="Tc_OLtVdGSCOU2ltr-26Unc8w_10_6"/>
      <w:bookmarkStart w:id="496" w:name="Tc_axRDTHAtykmCDbbXcO8Frg_10_3"/>
      <w:bookmarkStart w:id="497" w:name="Tc_pQFEbXTMGU2cxm5dVPfy9Q_10_0"/>
      <w:bookmarkStart w:id="498" w:name="Tc_gm93f6dEckiLiwtlh0nPqA_9_0"/>
      <w:bookmarkStart w:id="499" w:name="Tc_G-H9zk1PokenMD52eMwuiA_8_18"/>
      <w:bookmarkStart w:id="500" w:name="Tc_RSifXm2f-UCzuZ1fR7awow_8_9"/>
      <w:bookmarkStart w:id="501" w:name="Tc_5RA4RVuLmkGK5RC_QLAohQ_8_6"/>
      <w:bookmarkStart w:id="502" w:name="Tc_Enmwli-Ft0y03FIXe0b0yg_8_3"/>
      <w:bookmarkStart w:id="503" w:name="Tc_mPm8Kl3rKEWOrmpQVjKViA_8_0"/>
      <w:bookmarkStart w:id="504" w:name="Tc_josR2zqg90ep-YARcJjY-w_7_12"/>
      <w:bookmarkStart w:id="505" w:name="Tc_ALtJY3xh5E-6kOo4sUmA7w_7_6"/>
      <w:bookmarkStart w:id="506" w:name="Tc_q1xhRJc_2EeaU19iGDr7FA_7_3"/>
      <w:bookmarkStart w:id="507" w:name="Tc_1lkiIs6pV0yexBDy0pGXjA_7_0"/>
      <w:bookmarkStart w:id="508" w:name="Tc_4-wlStg-zkGtupO34i4uhg_6_15"/>
      <w:bookmarkStart w:id="509" w:name="Tc_WWiWGeg7sEiKY0-twUs64Q_6_12"/>
      <w:bookmarkStart w:id="510" w:name="Tc_vFog6V-NGES7A2rTSY-EQQ_6_9"/>
      <w:bookmarkStart w:id="511" w:name="Tc_C5iH_5B8pUmCR1wRC40w6g_6_6"/>
      <w:bookmarkStart w:id="512" w:name="Tc_c3QJswVZoky6gFRE-tGz6A_6_3"/>
      <w:bookmarkStart w:id="513" w:name="Tc_lqNK5kGvR0OKzo0FQ-vqrQ_6_0"/>
      <w:bookmarkStart w:id="514" w:name="Tc_qD3bh1m_uUS7byCKCX-lzg_5_18"/>
      <w:bookmarkStart w:id="515" w:name="Tc_jxbltcZFHkW6bkDUvjl43g_5_12"/>
      <w:bookmarkStart w:id="516" w:name="Tc_gwWrkYHeQ0GJjoHOGBiIgA_5_9"/>
      <w:bookmarkStart w:id="517" w:name="Tc_LLI-PdGtJUWQ7cnsj-L33A_5_0"/>
      <w:bookmarkStart w:id="518" w:name="Tc_W2v8tiXwS0S4ikypPcJOEg_4_18"/>
      <w:bookmarkStart w:id="519" w:name="Tc_RQHlU71ZuUSVIvTi7AZuUQ_4_12"/>
      <w:bookmarkStart w:id="520" w:name="Tc_AkwzOL7SB0mDM20OIDQ5uw_4_9"/>
      <w:bookmarkStart w:id="521" w:name="Tc_qbX2gIyp7EWIwHUeLPgC8Q_4_3"/>
      <w:bookmarkStart w:id="522" w:name="Tc_K95Z7YtTwUy8LRIbP6cOpw_4_0"/>
      <w:bookmarkStart w:id="523" w:name="Tc_95Bdz4mo-UqDzyebQuAiBQ_3_12"/>
      <w:bookmarkStart w:id="524" w:name="Tc_6bxpLQJKQEqY9QEZQSHztw_3_6"/>
      <w:bookmarkStart w:id="525" w:name="Tc_grugdi4cw0qtHkqaIp57Ig_3_3"/>
      <w:bookmarkStart w:id="526" w:name="Tc_7TAbaT0fgk21o0XW7BqMWQ_3_0"/>
      <w:bookmarkStart w:id="527" w:name="Tc_UG5hS2Epv0ikdYEs2oY08Q_2_20"/>
      <w:bookmarkStart w:id="528" w:name="Tc__pxtt00MAkmpcw--8-EyTQ_2_17"/>
      <w:bookmarkStart w:id="529" w:name="Tc_N2mgxXoS-UCu4BFkpfqn7g_2_14"/>
      <w:bookmarkStart w:id="530" w:name="Tc_l4jhddHEO0OtkRUraatDSQ_2_11"/>
      <w:bookmarkStart w:id="531" w:name="Tc_Wnvs8MAPqk2MEjdRkjd9Wg_2_8"/>
      <w:bookmarkStart w:id="532" w:name="Tc_S_W65iIPhUWBOqo9LpUD9Q_2_5"/>
      <w:bookmarkStart w:id="533" w:name="Tc_nw8_HLai5UGQD4ZNlhx50Q_2_2"/>
      <w:bookmarkStart w:id="534" w:name="Tc_C7Vw5d4nQ0iaBVc-kU5DWw_2_0"/>
      <w:bookmarkStart w:id="535" w:name="Tc_g9P3OkEr8EybbqWFPRAiZw_1_20"/>
      <w:bookmarkStart w:id="536" w:name="Tc_yNJglXXDkkKOydeVd9Ajfg_1_17"/>
      <w:bookmarkStart w:id="537" w:name="Tc_G1MFSTdw4ka2_l5imi4WWg_1_14"/>
      <w:bookmarkStart w:id="538" w:name="Tc_YPMUC4Bq50u-6c-X17D0Hw_1_11"/>
      <w:bookmarkStart w:id="539" w:name="Tc__plgBVn8zky5MlgdchrMuQ_1_8"/>
      <w:bookmarkStart w:id="540" w:name="Tc_9c3fOuACtUqn8PTXSn4ZlA_1_5"/>
      <w:bookmarkStart w:id="541" w:name="Tc_MME3tTS7o0KtvXvc6beYXw_1_2"/>
      <w:bookmarkStart w:id="542" w:name="_d076d58b_aef4_47d3_874f_ac66127eddf8"/>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tbl>
      <w:tblPr>
        <w:tblW w:w="10931" w:type="dxa"/>
        <w:jc w:val="left"/>
        <w:tblInd w:w="0" w:type="dxa"/>
        <w:tblLayout w:type="fixed"/>
        <w:tblCellMar>
          <w:top w:w="0" w:type="dxa"/>
          <w:left w:w="0" w:type="dxa"/>
          <w:bottom w:w="0" w:type="dxa"/>
          <w:right w:w="0" w:type="dxa"/>
        </w:tblCellMar>
      </w:tblPr>
      <w:tblGrid>
        <w:gridCol w:w="1231"/>
        <w:gridCol w:w="326"/>
        <w:gridCol w:w="283"/>
        <w:gridCol w:w="543"/>
        <w:gridCol w:w="326"/>
        <w:gridCol w:w="205"/>
        <w:gridCol w:w="726"/>
        <w:gridCol w:w="326"/>
        <w:gridCol w:w="216"/>
        <w:gridCol w:w="730"/>
        <w:gridCol w:w="326"/>
        <w:gridCol w:w="321"/>
        <w:gridCol w:w="985"/>
        <w:gridCol w:w="326"/>
        <w:gridCol w:w="255"/>
        <w:gridCol w:w="901"/>
        <w:gridCol w:w="326"/>
        <w:gridCol w:w="310"/>
        <w:gridCol w:w="951"/>
        <w:gridCol w:w="326"/>
        <w:gridCol w:w="196"/>
        <w:gridCol w:w="79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81685" cy="175260"/>
                      <wp:effectExtent l="0" t="0" r="0" b="0"/>
                      <wp:wrapNone/>
                      <wp:docPr id="135" name="Frame13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79705" cy="175260"/>
                      <wp:effectExtent l="0" t="0" r="0" b="0"/>
                      <wp:wrapNone/>
                      <wp:docPr id="137" name="Frame137"/>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44805" cy="175260"/>
                      <wp:effectExtent l="0" t="0" r="0" b="0"/>
                      <wp:wrapNone/>
                      <wp:docPr id="138" name="Frame138"/>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0175" cy="175260"/>
                      <wp:effectExtent l="0" t="0" r="0" b="0"/>
                      <wp:wrapNone/>
                      <wp:docPr id="140" name="Frame140"/>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61010" cy="175260"/>
                      <wp:effectExtent l="0" t="0" r="0" b="0"/>
                      <wp:wrapNone/>
                      <wp:docPr id="141" name="Frame141"/>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7160" cy="175260"/>
                      <wp:effectExtent l="0" t="0" r="0" b="0"/>
                      <wp:wrapNone/>
                      <wp:docPr id="143" name="Frame143"/>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63550" cy="175260"/>
                      <wp:effectExtent l="0" t="0" r="0" b="0"/>
                      <wp:wrapNone/>
                      <wp:docPr id="144" name="Frame144"/>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3835" cy="175260"/>
                      <wp:effectExtent l="0" t="0" r="0" b="0"/>
                      <wp:wrapNone/>
                      <wp:docPr id="146" name="Frame146"/>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25475" cy="175260"/>
                      <wp:effectExtent l="0" t="0" r="0" b="0"/>
                      <wp:wrapNone/>
                      <wp:docPr id="147" name="Frame147"/>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61925" cy="175260"/>
                      <wp:effectExtent l="0" t="0" r="0" b="0"/>
                      <wp:wrapNone/>
                      <wp:docPr id="149" name="Frame14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72135" cy="175260"/>
                      <wp:effectExtent l="0" t="0" r="0" b="0"/>
                      <wp:wrapNone/>
                      <wp:docPr id="150" name="Frame15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96850" cy="175260"/>
                      <wp:effectExtent l="0" t="0" r="0" b="0"/>
                      <wp:wrapNone/>
                      <wp:docPr id="152" name="Frame15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03885" cy="175260"/>
                      <wp:effectExtent l="0" t="0" r="0" b="0"/>
                      <wp:wrapNone/>
                      <wp:docPr id="153" name="Frame153"/>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24460" cy="175260"/>
                      <wp:effectExtent l="0" t="0" r="0" b="0"/>
                      <wp:wrapNone/>
                      <wp:docPr id="155" name="Frame1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05460" cy="175260"/>
                      <wp:effectExtent l="0" t="0" r="0" b="0"/>
                      <wp:wrapNone/>
                      <wp:docPr id="156" name="Frame15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Common Stock at Par</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Additional Paid-in Capital</w:t>
            </w:r>
          </w:p>
        </w:tc>
        <w:tc>
          <w:tcPr>
            <w:tcW w:w="326" w:type="dxa"/>
            <w:tcBorders/>
            <w:vAlign w:val="center"/>
          </w:tcPr>
          <w:p>
            <w:pPr>
              <w:pStyle w:val="TableContents"/>
              <w:bidi w:val="0"/>
              <w:spacing w:before="0" w:after="1"/>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Retained Earnings (Dividends in Excess of Net Income)</w:t>
            </w:r>
          </w:p>
        </w:tc>
        <w:tc>
          <w:tcPr>
            <w:tcW w:w="326" w:type="dxa"/>
            <w:tcBorders/>
            <w:vAlign w:val="center"/>
          </w:tcPr>
          <w:p>
            <w:pPr>
              <w:pStyle w:val="TableContents"/>
              <w:bidi w:val="0"/>
              <w:spacing w:before="0" w:after="1"/>
              <w:ind w:left="0" w:right="0" w:hanging="0"/>
              <w:jc w:val="center"/>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 (Loss)</w:t>
            </w:r>
          </w:p>
        </w:tc>
        <w:tc>
          <w:tcPr>
            <w:tcW w:w="326" w:type="dxa"/>
            <w:tcBorders/>
            <w:vAlign w:val="center"/>
          </w:tcPr>
          <w:p>
            <w:pPr>
              <w:pStyle w:val="TableContents"/>
              <w:bidi w:val="0"/>
              <w:spacing w:before="0" w:after="1"/>
              <w:ind w:left="0" w:right="0" w:hanging="0"/>
              <w:jc w:val="center"/>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c>
          <w:tcPr>
            <w:tcW w:w="326" w:type="dxa"/>
            <w:tcBorders/>
            <w:vAlign w:val="center"/>
          </w:tcPr>
          <w:p>
            <w:pPr>
              <w:pStyle w:val="TableContents"/>
              <w:bidi w:val="0"/>
              <w:spacing w:before="0" w:after="1"/>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Noncontrolling Interest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Equity</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January 1, 2021</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132,878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(5,713)</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(481)</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126,759</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22,334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149,093</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9,964</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9,964</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11,462</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to Directors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297</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297</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297</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Net of Equity Issuance Costs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67,731</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67,770</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67,770</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Units Issued</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9,041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9,041</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 ($1.015 per share)</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(10,670)</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(10,670)</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(12,164)</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2,403</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2,403</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2,403</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December 31, 2021</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200,906</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(6,419)</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1,922</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196,523</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31,379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227,902</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29,720</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29,720</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4,235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33,955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to Directors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310</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310</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310</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Net of Equity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35,625</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35,645</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35,645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 ($1.090 per share)</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(13,259)</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(13,259)</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(15,116)</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Other Comprehensive Income </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12,679</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12,679</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12,679</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December 31, 2022</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236,841</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10,042</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14,601</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261,618</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33,757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295,375</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2,917</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2,917</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3,266</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Partnership Unit Redemption</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9,036</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9,041</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(9,041)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Repurchase</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(14,607)</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(14,616)</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(14,616)</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to Directors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Net of Equity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12,117</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12,124</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12,124</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 ($1.100 per share)</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(15,318)</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(15,318)</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(17,061)</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(5,326)</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(5,326)</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(3,778)</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December 31, 2023</w:t>
            </w:r>
          </w:p>
        </w:tc>
        <w:tc>
          <w:tcPr>
            <w:tcW w:w="326" w:type="dxa"/>
            <w:tcBorders/>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w:t>
            </w:r>
          </w:p>
        </w:tc>
        <w:tc>
          <w:tcPr>
            <w:tcW w:w="326" w:type="dxa"/>
            <w:tcBorders/>
            <w:vAlign w:val="center"/>
          </w:tcPr>
          <w:p>
            <w:pPr>
              <w:pStyle w:val="TableContents"/>
              <w:bidi w:val="0"/>
              <w:spacing w:before="0" w:after="1"/>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243,690</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(2,359)</w:t>
            </w:r>
          </w:p>
        </w:tc>
        <w:tc>
          <w:tcPr>
            <w:tcW w:w="326" w:type="dxa"/>
            <w:tcBorders/>
            <w:vAlign w:val="center"/>
          </w:tcPr>
          <w:p>
            <w:pPr>
              <w:pStyle w:val="TableContents"/>
              <w:bidi w:val="0"/>
              <w:spacing w:before="0" w:after="1"/>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9,275</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250,743</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24,870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275,613</w:t>
            </w:r>
          </w:p>
        </w:tc>
      </w:tr>
    </w:tbl>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43" w:name="_777329aa_e955_40ff_8b55_bb29699dbb11"/>
      <w:bookmarkEnd w:id="543"/>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bookmarkStart w:id="544" w:name="CONSOLIDATEDANDCOMBINEDSTATEMENTSOFCASHF"/>
      <w:bookmarkEnd w:id="544"/>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545" w:name="Tc_rznGp7sjkUShqALXOAIvsA_42_8"/>
      <w:bookmarkStart w:id="546" w:name="Tc_oBiSlnuZnEqNpVKcqpte-Q_42_5"/>
      <w:bookmarkStart w:id="547" w:name="Tc_fDMbbj9PBUGMhG5xNTbsyg_42_2"/>
      <w:bookmarkStart w:id="548" w:name="Tc_wpihkF0T4EWAFGjebeO3mQ_42_0"/>
      <w:bookmarkStart w:id="549" w:name="Tc_oTB0xj9_w06xDM8beU0PXA_41_0"/>
      <w:bookmarkStart w:id="550" w:name="Tc_E7-xRts_w0iHPUuh2-1PGA_40_8"/>
      <w:bookmarkStart w:id="551" w:name="Tc_Ij-ZA3hu7kmQWXHYmqbOcw_40_5"/>
      <w:bookmarkStart w:id="552" w:name="Tc_mYGYE0M-mEqwqfY0ZGi39A_40_2"/>
      <w:bookmarkStart w:id="553" w:name="Tc_jjApesbqK0qJHhpnmHbX0Q_40_0"/>
      <w:bookmarkStart w:id="554" w:name="Tc_uFK_YSQK0Uy6QaktQS8cFA_39_0"/>
      <w:bookmarkStart w:id="555" w:name="Tc_xPLCR7tHdkGY-LmDkEBEkg_37_8"/>
      <w:bookmarkStart w:id="556" w:name="Tc_XEmgvfbw2EmwvUjqA8U0PA_37_5"/>
      <w:bookmarkStart w:id="557" w:name="Tc_OcGrlcOUiUOYqeH0VhNy-g_37_2"/>
      <w:bookmarkStart w:id="558" w:name="Tc_l5NjtI7xREKOpVzvi_chdw_37_0"/>
      <w:bookmarkStart w:id="559" w:name="Tc_k9rThIHYa0y3obZ7xNsdiA_36_0"/>
      <w:bookmarkStart w:id="560" w:name="Tc_Nck-cE0CZ0Gf54uGcXZzbg_35_0"/>
      <w:bookmarkStart w:id="561" w:name="Tc_-EqK0nJuwEi-h9KGLrj8UQ_34_0"/>
      <w:bookmarkStart w:id="562" w:name="Tc_4-WMBwy4nk2MPWOb3QnGhA_33_0"/>
      <w:bookmarkStart w:id="563" w:name="Tc_42XgdNgPgkyvJFEKpWX1Lw_32_0"/>
      <w:bookmarkStart w:id="564" w:name="Tc_FTtC2Pm10keJLFEailE1mw_31_9"/>
      <w:bookmarkStart w:id="565" w:name="Tc_ImbUaZtEYkWZ-_YkrOTSIA_31_6"/>
      <w:bookmarkStart w:id="566" w:name="Tc_5ydnfHmsxEqv_T82dBo2LQ_31_0"/>
      <w:bookmarkStart w:id="567" w:name="Tc_DdU34XYvlUiN-roA5s-HkQ_30_0"/>
      <w:bookmarkStart w:id="568" w:name="Tc_RCV3eODgZ0mxsyD-uU6Hqg_29_0"/>
      <w:bookmarkStart w:id="569" w:name="Tc_2FW-6K04oUe-vYTzlA-uMw_28_0"/>
      <w:bookmarkStart w:id="570" w:name="Tc_n-WbcWB_YE6tsxp7TGPP1w_27_0"/>
      <w:bookmarkStart w:id="571" w:name="Tc_-AJeZGfThUuEf16297lYqQ_26_0"/>
      <w:bookmarkStart w:id="572" w:name="Tc_Cr7hgP0GdU6CvosTVX4pNA_25_6"/>
      <w:bookmarkStart w:id="573" w:name="Tc_ozthj20qYU6J1DbU-Dm6qw_25_0"/>
      <w:bookmarkStart w:id="574" w:name="Tc_C8C1qnjobEeszNaoWFlyEg_24_0"/>
      <w:bookmarkStart w:id="575" w:name="Tc_yeNJQUbvlkaCCCEjiV55-A_23_0"/>
      <w:bookmarkStart w:id="576" w:name="Tc_zlxbeStQHUCVLXju7gtoIA_22_0"/>
      <w:bookmarkStart w:id="577" w:name="Tc_qbOq1-oodUSxkJTUM1NTvA_21_0"/>
      <w:bookmarkStart w:id="578" w:name="Tc_EUgbuCE2kUiiHNDx6pFgOw_20_0"/>
      <w:bookmarkStart w:id="579" w:name="Tc_I_KmU9UWE0G6nnRBqqN0dQ_19_0"/>
      <w:bookmarkStart w:id="580" w:name="Tc_m0aHAZLcvkuhSxPqP_M9SQ_18_0"/>
      <w:bookmarkStart w:id="581" w:name="Tc_YJLzOGnhzkyeKJUVkEKV5Q_17_0"/>
      <w:bookmarkStart w:id="582" w:name="Tc_BU2PZkD1KESYgQaS32kT7A_16_3"/>
      <w:bookmarkStart w:id="583" w:name="Tc_y6YygbR_T0SOAwYjYCYQaA_16_0"/>
      <w:bookmarkStart w:id="584" w:name="Tc_NDlCphE4-U6500vfaLFOcQ_15_0"/>
      <w:bookmarkStart w:id="585" w:name="Tc_b9KFae1qZEyx46FBQ5VDOQ_14_0"/>
      <w:bookmarkStart w:id="586" w:name="Tc_Z-RFty51CkK6CHVvf79KUA_13_0"/>
      <w:bookmarkStart w:id="587" w:name="Tc_IMUK0_81Hk2b9P27TCy-Uw_12_9"/>
      <w:bookmarkStart w:id="588" w:name="Tc_a6HHaqJzNEWFeLkUxcYdfA_12_6"/>
      <w:bookmarkStart w:id="589" w:name="Tc_N-7y0MbCUkW_YtG1roKQ6A_12_0"/>
      <w:bookmarkStart w:id="590" w:name="Tc_mTufmRjxHUm_jIMXBRT33Q_11_0"/>
      <w:bookmarkStart w:id="591" w:name="Tc_EVVBdKyoAUK4Qksv6cwtnw_10_9"/>
      <w:bookmarkStart w:id="592" w:name="Tc_pj8H_e-hwU26VKwzTNZ1fg_10_3"/>
      <w:bookmarkStart w:id="593" w:name="Tc_33JWMq_XN0WZ9SQM_YXShg_10_0"/>
      <w:bookmarkStart w:id="594" w:name="Tc_7ME94H_79U-aX8DwDw9eUQ_9_9"/>
      <w:bookmarkStart w:id="595" w:name="Tc_5-uSVRqi2kqF70iGb-656Q_9_6"/>
      <w:bookmarkStart w:id="596" w:name="Tc_jwZeNFqsNkecR4Idr1U3MQ_9_0"/>
      <w:bookmarkStart w:id="597" w:name="Tc_lezCBFcbNkqA4-6EKJ7yAw_8_0"/>
      <w:bookmarkStart w:id="598" w:name="Tc_GcwpVK93QEKwk852SPkyiQ_7_0"/>
      <w:bookmarkStart w:id="599" w:name="Tc_WsHsjfeFKEGW9d_n9L5KTA_6_0"/>
      <w:bookmarkStart w:id="600" w:name="Tc_LWBS80LNF0qeQRwpP2hCRA_5_0"/>
      <w:bookmarkStart w:id="601" w:name="Tc_VIH9HYNWE0iEiJ9iLZbxEA_4_8"/>
      <w:bookmarkStart w:id="602" w:name="Tc_jRXhj5BNbECAoejezGAegw_4_5"/>
      <w:bookmarkStart w:id="603" w:name="Tc_PKF6PSD5qU6tE_rCK9EZTA_4_2"/>
      <w:bookmarkStart w:id="604" w:name="Tc_cKPHYw_ytEaI_k9K_9ymVw_4_0"/>
      <w:bookmarkStart w:id="605" w:name="Tc_SFmAL8qLK0iv02KJs9I1JA_3_0"/>
      <w:bookmarkStart w:id="606" w:name="Tc_pOjdGVJFjUqOfMeQICKhBQ_2_8"/>
      <w:bookmarkStart w:id="607" w:name="Tc_IgMX7cGjZkGH2PIuYbCq7w_2_5"/>
      <w:bookmarkStart w:id="608" w:name="Tc_EdldqauLqkmakNpRslNG9A_2_2"/>
      <w:bookmarkStart w:id="609" w:name="Tc_j8FskiEkYEKSMR5Kfo63jw_1_2"/>
      <w:bookmarkStart w:id="610" w:name="_2e8ff26a_84b7_45cd_9970_f9a984ab0012"/>
      <w:bookmarkStart w:id="611" w:name="Tc_rznGp7sjkUShqALXOAIvsA_42_8"/>
      <w:bookmarkStart w:id="612" w:name="Tc_oBiSlnuZnEqNpVKcqpte-Q_42_5"/>
      <w:bookmarkStart w:id="613" w:name="Tc_fDMbbj9PBUGMhG5xNTbsyg_42_2"/>
      <w:bookmarkStart w:id="614" w:name="Tc_wpihkF0T4EWAFGjebeO3mQ_42_0"/>
      <w:bookmarkStart w:id="615" w:name="Tc_oTB0xj9_w06xDM8beU0PXA_41_0"/>
      <w:bookmarkStart w:id="616" w:name="Tc_E7-xRts_w0iHPUuh2-1PGA_40_8"/>
      <w:bookmarkStart w:id="617" w:name="Tc_Ij-ZA3hu7kmQWXHYmqbOcw_40_5"/>
      <w:bookmarkStart w:id="618" w:name="Tc_mYGYE0M-mEqwqfY0ZGi39A_40_2"/>
      <w:bookmarkStart w:id="619" w:name="Tc_jjApesbqK0qJHhpnmHbX0Q_40_0"/>
      <w:bookmarkStart w:id="620" w:name="Tc_uFK_YSQK0Uy6QaktQS8cFA_39_0"/>
      <w:bookmarkStart w:id="621" w:name="Tc_xPLCR7tHdkGY-LmDkEBEkg_37_8"/>
      <w:bookmarkStart w:id="622" w:name="Tc_XEmgvfbw2EmwvUjqA8U0PA_37_5"/>
      <w:bookmarkStart w:id="623" w:name="Tc_OcGrlcOUiUOYqeH0VhNy-g_37_2"/>
      <w:bookmarkStart w:id="624" w:name="Tc_l5NjtI7xREKOpVzvi_chdw_37_0"/>
      <w:bookmarkStart w:id="625" w:name="Tc_k9rThIHYa0y3obZ7xNsdiA_36_0"/>
      <w:bookmarkStart w:id="626" w:name="Tc_Nck-cE0CZ0Gf54uGcXZzbg_35_0"/>
      <w:bookmarkStart w:id="627" w:name="Tc_-EqK0nJuwEi-h9KGLrj8UQ_34_0"/>
      <w:bookmarkStart w:id="628" w:name="Tc_4-WMBwy4nk2MPWOb3QnGhA_33_0"/>
      <w:bookmarkStart w:id="629" w:name="Tc_42XgdNgPgkyvJFEKpWX1Lw_32_0"/>
      <w:bookmarkStart w:id="630" w:name="Tc_FTtC2Pm10keJLFEailE1mw_31_9"/>
      <w:bookmarkStart w:id="631" w:name="Tc_ImbUaZtEYkWZ-_YkrOTSIA_31_6"/>
      <w:bookmarkStart w:id="632" w:name="Tc_5ydnfHmsxEqv_T82dBo2LQ_31_0"/>
      <w:bookmarkStart w:id="633" w:name="Tc_DdU34XYvlUiN-roA5s-HkQ_30_0"/>
      <w:bookmarkStart w:id="634" w:name="Tc_RCV3eODgZ0mxsyD-uU6Hqg_29_0"/>
      <w:bookmarkStart w:id="635" w:name="Tc_2FW-6K04oUe-vYTzlA-uMw_28_0"/>
      <w:bookmarkStart w:id="636" w:name="Tc_n-WbcWB_YE6tsxp7TGPP1w_27_0"/>
      <w:bookmarkStart w:id="637" w:name="Tc_-AJeZGfThUuEf16297lYqQ_26_0"/>
      <w:bookmarkStart w:id="638" w:name="Tc_Cr7hgP0GdU6CvosTVX4pNA_25_6"/>
      <w:bookmarkStart w:id="639" w:name="Tc_ozthj20qYU6J1DbU-Dm6qw_25_0"/>
      <w:bookmarkStart w:id="640" w:name="Tc_C8C1qnjobEeszNaoWFlyEg_24_0"/>
      <w:bookmarkStart w:id="641" w:name="Tc_yeNJQUbvlkaCCCEjiV55-A_23_0"/>
      <w:bookmarkStart w:id="642" w:name="Tc_zlxbeStQHUCVLXju7gtoIA_22_0"/>
      <w:bookmarkStart w:id="643" w:name="Tc_qbOq1-oodUSxkJTUM1NTvA_21_0"/>
      <w:bookmarkStart w:id="644" w:name="Tc_EUgbuCE2kUiiHNDx6pFgOw_20_0"/>
      <w:bookmarkStart w:id="645" w:name="Tc_I_KmU9UWE0G6nnRBqqN0dQ_19_0"/>
      <w:bookmarkStart w:id="646" w:name="Tc_m0aHAZLcvkuhSxPqP_M9SQ_18_0"/>
      <w:bookmarkStart w:id="647" w:name="Tc_YJLzOGnhzkyeKJUVkEKV5Q_17_0"/>
      <w:bookmarkStart w:id="648" w:name="Tc_BU2PZkD1KESYgQaS32kT7A_16_3"/>
      <w:bookmarkStart w:id="649" w:name="Tc_y6YygbR_T0SOAwYjYCYQaA_16_0"/>
      <w:bookmarkStart w:id="650" w:name="Tc_NDlCphE4-U6500vfaLFOcQ_15_0"/>
      <w:bookmarkStart w:id="651" w:name="Tc_b9KFae1qZEyx46FBQ5VDOQ_14_0"/>
      <w:bookmarkStart w:id="652" w:name="Tc_Z-RFty51CkK6CHVvf79KUA_13_0"/>
      <w:bookmarkStart w:id="653" w:name="Tc_IMUK0_81Hk2b9P27TCy-Uw_12_9"/>
      <w:bookmarkStart w:id="654" w:name="Tc_a6HHaqJzNEWFeLkUxcYdfA_12_6"/>
      <w:bookmarkStart w:id="655" w:name="Tc_N-7y0MbCUkW_YtG1roKQ6A_12_0"/>
      <w:bookmarkStart w:id="656" w:name="Tc_mTufmRjxHUm_jIMXBRT33Q_11_0"/>
      <w:bookmarkStart w:id="657" w:name="Tc_EVVBdKyoAUK4Qksv6cwtnw_10_9"/>
      <w:bookmarkStart w:id="658" w:name="Tc_pj8H_e-hwU26VKwzTNZ1fg_10_3"/>
      <w:bookmarkStart w:id="659" w:name="Tc_33JWMq_XN0WZ9SQM_YXShg_10_0"/>
      <w:bookmarkStart w:id="660" w:name="Tc_7ME94H_79U-aX8DwDw9eUQ_9_9"/>
      <w:bookmarkStart w:id="661" w:name="Tc_5-uSVRqi2kqF70iGb-656Q_9_6"/>
      <w:bookmarkStart w:id="662" w:name="Tc_jwZeNFqsNkecR4Idr1U3MQ_9_0"/>
      <w:bookmarkStart w:id="663" w:name="Tc_lezCBFcbNkqA4-6EKJ7yAw_8_0"/>
      <w:bookmarkStart w:id="664" w:name="Tc_GcwpVK93QEKwk852SPkyiQ_7_0"/>
      <w:bookmarkStart w:id="665" w:name="Tc_WsHsjfeFKEGW9d_n9L5KTA_6_0"/>
      <w:bookmarkStart w:id="666" w:name="Tc_LWBS80LNF0qeQRwpP2hCRA_5_0"/>
      <w:bookmarkStart w:id="667" w:name="Tc_VIH9HYNWE0iEiJ9iLZbxEA_4_8"/>
      <w:bookmarkStart w:id="668" w:name="Tc_jRXhj5BNbECAoejezGAegw_4_5"/>
      <w:bookmarkStart w:id="669" w:name="Tc_PKF6PSD5qU6tE_rCK9EZTA_4_2"/>
      <w:bookmarkStart w:id="670" w:name="Tc_cKPHYw_ytEaI_k9K_9ymVw_4_0"/>
      <w:bookmarkStart w:id="671" w:name="Tc_SFmAL8qLK0iv02KJs9I1JA_3_0"/>
      <w:bookmarkStart w:id="672" w:name="Tc_pOjdGVJFjUqOfMeQICKhBQ_2_8"/>
      <w:bookmarkStart w:id="673" w:name="Tc_IgMX7cGjZkGH2PIuYbCq7w_2_5"/>
      <w:bookmarkStart w:id="674" w:name="Tc_EdldqauLqkmakNpRslNG9A_2_2"/>
      <w:bookmarkStart w:id="675" w:name="Tc_j8FskiEkYEKSMR5Kfo63jw_1_2"/>
      <w:bookmarkStart w:id="676" w:name="_2e8ff26a_84b7_45cd_9970_f9a984ab0012"/>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tbl>
      <w:tblPr>
        <w:tblW w:w="10205" w:type="dxa"/>
        <w:jc w:val="left"/>
        <w:tblInd w:w="0" w:type="dxa"/>
        <w:tblLayout w:type="fixed"/>
        <w:tblCellMar>
          <w:top w:w="0" w:type="dxa"/>
          <w:left w:w="0" w:type="dxa"/>
          <w:bottom w:w="0" w:type="dxa"/>
          <w:right w:w="0" w:type="dxa"/>
        </w:tblCellMar>
      </w:tblPr>
      <w:tblGrid>
        <w:gridCol w:w="5468"/>
        <w:gridCol w:w="109"/>
        <w:gridCol w:w="322"/>
        <w:gridCol w:w="1137"/>
        <w:gridCol w:w="109"/>
        <w:gridCol w:w="300"/>
        <w:gridCol w:w="1158"/>
        <w:gridCol w:w="109"/>
        <w:gridCol w:w="278"/>
        <w:gridCol w:w="1215"/>
      </w:tblGrid>
      <w:tr>
        <w:trPr/>
        <w:tc>
          <w:tcPr>
            <w:tcW w:w="546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57"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4470" cy="175260"/>
                      <wp:effectExtent l="0" t="0" r="0" b="0"/>
                      <wp:wrapNone/>
                      <wp:docPr id="158" name="Frame158"/>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721995" cy="175260"/>
                      <wp:effectExtent l="0" t="0" r="0" b="0"/>
                      <wp:wrapNone/>
                      <wp:docPr id="159" name="Frame159"/>
                      <a:graphic xmlns:a="http://schemas.openxmlformats.org/drawingml/2006/main">
                        <a:graphicData uri="http://schemas.microsoft.com/office/word/2010/wordprocessingShape">
                          <wps:wsp>
                            <wps:cNvSpPr txBox="1"/>
                            <wps:spPr>
                              <a:xfrm>
                                <a:off x="0" y="0"/>
                                <a:ext cx="721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60" name="Frame1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90500" cy="175260"/>
                      <wp:effectExtent l="0" t="0" r="0" b="0"/>
                      <wp:wrapNone/>
                      <wp:docPr id="161" name="Frame161"/>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735330" cy="175260"/>
                      <wp:effectExtent l="0" t="0" r="0" b="0"/>
                      <wp:wrapNone/>
                      <wp:docPr id="162" name="Frame162"/>
                      <a:graphic xmlns:a="http://schemas.openxmlformats.org/drawingml/2006/main">
                        <a:graphicData uri="http://schemas.microsoft.com/office/word/2010/wordprocessingShape">
                          <wps:wsp>
                            <wps:cNvSpPr txBox="1"/>
                            <wps:spPr>
                              <a:xfrm>
                                <a:off x="0" y="0"/>
                                <a:ext cx="735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3"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76530" cy="175260"/>
                      <wp:effectExtent l="0" t="0" r="0" b="0"/>
                      <wp:wrapNone/>
                      <wp:docPr id="164" name="Frame164"/>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71525" cy="175260"/>
                      <wp:effectExtent l="0" t="0" r="0" b="0"/>
                      <wp:wrapNone/>
                      <wp:docPr id="165" name="Frame165"/>
                      <a:graphic xmlns:a="http://schemas.openxmlformats.org/drawingml/2006/main">
                        <a:graphicData uri="http://schemas.microsoft.com/office/word/2010/wordprocessingShape">
                          <wps:wsp>
                            <wps:cNvSpPr txBox="1"/>
                            <wps:spPr>
                              <a:xfrm>
                                <a:off x="0" y="0"/>
                                <a:ext cx="771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6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62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546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109" w:type="dxa"/>
            <w:tcBorders/>
            <w:vAlign w:val="center"/>
          </w:tcPr>
          <w:p>
            <w:pPr>
              <w:pStyle w:val="TableContents"/>
              <w:bidi w:val="0"/>
              <w:spacing w:before="0" w:after="0"/>
              <w:ind w:left="0" w:right="0" w:hanging="0"/>
              <w:jc w:val="center"/>
              <w:rPr/>
            </w:pPr>
            <w:r>
              <w:rPr/>
              <w:t>​</w:t>
            </w:r>
          </w:p>
        </w:tc>
        <w:tc>
          <w:tcPr>
            <w:tcW w:w="14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09" w:type="dxa"/>
            <w:tcBorders/>
            <w:vAlign w:val="center"/>
          </w:tcPr>
          <w:p>
            <w:pPr>
              <w:pStyle w:val="TableContents"/>
              <w:bidi w:val="0"/>
              <w:spacing w:before="0" w:after="0"/>
              <w:ind w:left="0" w:right="0" w:hanging="0"/>
              <w:jc w:val="center"/>
              <w:rPr/>
            </w:pPr>
            <w:r>
              <w:rPr/>
              <w:t>​</w:t>
            </w:r>
          </w:p>
        </w:tc>
        <w:tc>
          <w:tcPr>
            <w:tcW w:w="14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right"/>
              <w:rPr/>
            </w:pPr>
            <w:r>
              <w:rPr/>
              <w:t>​</w:t>
            </w:r>
          </w:p>
        </w:tc>
        <w:tc>
          <w:tcPr>
            <w:tcW w:w="113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right"/>
              <w:rPr/>
            </w:pPr>
            <w:r>
              <w:rPr/>
              <w:t>​</w:t>
            </w:r>
          </w:p>
        </w:tc>
        <w:tc>
          <w:tcPr>
            <w:tcW w:w="115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right"/>
              <w:rPr/>
            </w:pPr>
            <w:r>
              <w:rPr/>
              <w:t>​</w:t>
            </w:r>
          </w:p>
        </w:tc>
        <w:tc>
          <w:tcPr>
            <w:tcW w:w="1215" w:type="dxa"/>
            <w:tcBorders/>
            <w:shd w:fill="CCEEFF" w:val="clear"/>
            <w:vAlign w:val="center"/>
          </w:tcPr>
          <w:p>
            <w:pPr>
              <w:pStyle w:val="TableContents"/>
              <w:bidi w:val="0"/>
              <w:spacing w:before="0" w:after="0"/>
              <w:ind w:left="0" w:right="0" w:hanging="0"/>
              <w:jc w:val="left"/>
              <w:rPr/>
            </w:pPr>
            <w:r>
              <w:rPr/>
              <w:t>​</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3,266</w:t>
            </w:r>
          </w:p>
        </w:tc>
        <w:tc>
          <w:tcPr>
            <w:tcW w:w="109"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33,955</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11,462</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left"/>
              <w:rPr/>
            </w:pPr>
            <w:r>
              <w:rPr/>
              <w:t>​</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25,758</w:t>
            </w:r>
          </w:p>
        </w:tc>
        <w:tc>
          <w:tcPr>
            <w:tcW w:w="109"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23,564</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15,939</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Lease Assets and Liabilities to Lease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Amortization of Deferred Financing Costs to Interest Expense </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710</w:t>
            </w:r>
          </w:p>
        </w:tc>
        <w:tc>
          <w:tcPr>
            <w:tcW w:w="109"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Commercial Loans and Investments Origination Fees</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pPr>
            <w:r>
              <w:rPr/>
              <w:t>—</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Portion of Extinguishment of Debt</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727</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pPr>
            <w:r>
              <w:rPr/>
              <w:t>—</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Disposition of Assets</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(9,334)</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(33,801)</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(9,675)</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Impairment</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3,220</w:t>
            </w:r>
          </w:p>
        </w:tc>
        <w:tc>
          <w:tcPr>
            <w:tcW w:w="109"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pPr>
            <w:r>
              <w:rPr/>
              <w:t>—</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310</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Assets:</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left"/>
              <w:rPr/>
            </w:pPr>
            <w:r>
              <w:rPr/>
              <w:t>​</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Straight-Line Rent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(402)</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(935)</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COVID-19 Rent Repayments</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(2,413)</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(Decrease) in Liabilities:</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left"/>
              <w:rPr/>
            </w:pPr>
            <w:r>
              <w:rPr/>
              <w:t>​</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 Accrued Expenses, and 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670</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Rent and Deferred Revenue</w:t>
            </w:r>
          </w:p>
        </w:tc>
        <w:tc>
          <w:tcPr>
            <w:tcW w:w="109"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1,687</w:t>
            </w:r>
          </w:p>
        </w:tc>
        <w:tc>
          <w:tcPr>
            <w:tcW w:w="109"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977</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25,644</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24,652</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17,200</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Investing Activities:</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left"/>
              <w:rPr/>
            </w:pPr>
            <w:r>
              <w:rPr/>
              <w:t>​</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Real Estate, Including Capitalized Expenditures</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(84,465)</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(189,148)</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(223,407)</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Disposition of Assets</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106,303</w:t>
            </w:r>
          </w:p>
        </w:tc>
        <w:tc>
          <w:tcPr>
            <w:tcW w:w="109"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150,370</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27,415</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(35,419)</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109"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(13,581)</w:t>
            </w:r>
          </w:p>
        </w:tc>
        <w:tc>
          <w:tcPr>
            <w:tcW w:w="109"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(38,778)</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(195,992)</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left"/>
              <w:rPr/>
            </w:pPr>
            <w:r>
              <w:rPr/>
              <w:t>​</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Long-Term Debt</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31,750</w:t>
            </w:r>
          </w:p>
        </w:tc>
        <w:tc>
          <w:tcPr>
            <w:tcW w:w="109"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277,000</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294,622</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(23,500)</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(277,750)</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(162,431)</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Loan Fees</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c>
          <w:tcPr>
            <w:tcW w:w="109"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(2,106)</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(1,402)</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(14,616)</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pPr>
            <w:r>
              <w:rPr/>
              <w:t>—</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Stock Issuance, Net</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12,124</w:t>
            </w:r>
          </w:p>
        </w:tc>
        <w:tc>
          <w:tcPr>
            <w:tcW w:w="109"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35,645</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67,770</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(17,061)</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(15,116)</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(12,164)</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Financing Activities</w:t>
            </w:r>
          </w:p>
        </w:tc>
        <w:tc>
          <w:tcPr>
            <w:tcW w:w="109"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(11,376)</w:t>
            </w:r>
          </w:p>
        </w:tc>
        <w:tc>
          <w:tcPr>
            <w:tcW w:w="109"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17,673</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186,395</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in 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687</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3,547</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7,603</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and Restricted Cash, Beginning of Period</w:t>
            </w:r>
          </w:p>
        </w:tc>
        <w:tc>
          <w:tcPr>
            <w:tcW w:w="109"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13,044</w:t>
            </w:r>
          </w:p>
        </w:tc>
        <w:tc>
          <w:tcPr>
            <w:tcW w:w="109"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9,497</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1,894</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and Restricted Cash,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13,731</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13,044</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9,497</w:t>
            </w:r>
          </w:p>
        </w:tc>
      </w:tr>
      <w:tr>
        <w:trPr/>
        <w:tc>
          <w:tcPr>
            <w:tcW w:w="546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left"/>
              <w:rPr/>
            </w:pPr>
            <w:r>
              <w:rPr/>
              <w:t>​</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Reconciliation of Cash to the Consolidated Balance Sheets: </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left"/>
              <w:rPr/>
            </w:pPr>
            <w:r>
              <w:rPr/>
              <w:t>​</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4,019</w:t>
            </w:r>
          </w:p>
        </w:tc>
        <w:tc>
          <w:tcPr>
            <w:tcW w:w="109"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9,018</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8,851</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9,712</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4,026</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646</w:t>
            </w:r>
          </w:p>
        </w:tc>
      </w:tr>
      <w:tr>
        <w:trPr/>
        <w:tc>
          <w:tcPr>
            <w:tcW w:w="54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Cash</w:t>
            </w:r>
          </w:p>
        </w:tc>
        <w:tc>
          <w:tcPr>
            <w:tcW w:w="109" w:type="dxa"/>
            <w:tcBorders/>
            <w:vAlign w:val="center"/>
          </w:tcPr>
          <w:p>
            <w:pPr>
              <w:pStyle w:val="TableContents"/>
              <w:bidi w:val="0"/>
              <w:spacing w:before="0" w:after="0"/>
              <w:ind w:left="0" w:right="0" w:hanging="0"/>
              <w:jc w:val="left"/>
              <w:rPr/>
            </w:pPr>
            <w:r>
              <w:rPr/>
              <w:t>​</w:t>
            </w:r>
          </w:p>
        </w:tc>
        <w:tc>
          <w:tcPr>
            <w:tcW w:w="3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13,731</w:t>
            </w:r>
          </w:p>
        </w:tc>
        <w:tc>
          <w:tcPr>
            <w:tcW w:w="109" w:type="dxa"/>
            <w:tcBorders/>
            <w:vAlign w:val="center"/>
          </w:tcPr>
          <w:p>
            <w:pPr>
              <w:pStyle w:val="TableContents"/>
              <w:bidi w:val="0"/>
              <w:spacing w:before="0" w:after="0"/>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13,044</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1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9,497</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77" w:name="Tc_JkdnZFw7ZEiSf99sa32knQ_11_8"/>
      <w:bookmarkStart w:id="678" w:name="Tc_uWZYOiHzhUaF-C_kZWfWtQ_11_6"/>
      <w:bookmarkStart w:id="679" w:name="Tc_ik9ETzj8BkGbolge5e0S7Q_11_5"/>
      <w:bookmarkStart w:id="680" w:name="Tc_ttrbz3MHak6Ts_nmz-u_Zw_11_3"/>
      <w:bookmarkStart w:id="681" w:name="Tc_6vd6Hb8FKEGymrzFCiLntQ_11_2"/>
      <w:bookmarkStart w:id="682" w:name="Tc_07n-O4zHOkqELlJgqT6hvA_11_0"/>
      <w:bookmarkStart w:id="683" w:name="Tc_qQV4U1y1v0WqmkED0CNZcA_10_8"/>
      <w:bookmarkStart w:id="684" w:name="Tc_Hzz1OEbwJUWJQly8n4oYDg_10_6"/>
      <w:bookmarkStart w:id="685" w:name="Tc_ScFZuxAkMUOXO_xU3deU3Q_10_5"/>
      <w:bookmarkStart w:id="686" w:name="Tc_3q5af4aTe0SjaokjjOR9QA_10_3"/>
      <w:bookmarkStart w:id="687" w:name="Tc_zDDl9sJd9UST6svqf5pUtQ_10_2"/>
      <w:bookmarkStart w:id="688" w:name="Tc_wYmePP0nIkuPurtz_iiJIg_10_0"/>
      <w:bookmarkStart w:id="689" w:name="Tc_FHfL1-jA70emiOxYX-j5Kw_9_9"/>
      <w:bookmarkStart w:id="690" w:name="Tc_Ij3aiYmaOEmMXeWY8DHbCQ_9_8"/>
      <w:bookmarkStart w:id="691" w:name="Tc_tRC3HvM2806HkwFkuep3lg_9_5"/>
      <w:bookmarkStart w:id="692" w:name="Tc_UI3CfuD38kyBSHFaDj_KQA_9_3"/>
      <w:bookmarkStart w:id="693" w:name="Tc_EbHUfE_2yUSR9WOF9RM32Q_9_2"/>
      <w:bookmarkStart w:id="694" w:name="Tc_ILqGg6otyUKoN3NeBDuaEQ_9_0"/>
      <w:bookmarkStart w:id="695" w:name="Tc_nVjr_HnHWEqVckqN5C9Qwg_8_9"/>
      <w:bookmarkStart w:id="696" w:name="Tc_CGTcdMylJUOPhyNxa7VKmA_8_8"/>
      <w:bookmarkStart w:id="697" w:name="Tc_O1y_5pN-X02QyYokRy0Z5A_8_6"/>
      <w:bookmarkStart w:id="698" w:name="Tc_iD7QSsfUfUOxp_CCo_aGEQ_8_5"/>
      <w:bookmarkStart w:id="699" w:name="Tc_LbIcmdNCdkuafVc_RDfseg_8_2"/>
      <w:bookmarkStart w:id="700" w:name="Tc_9RyzyUR-sEaeJDOlUqj-ww_8_0"/>
      <w:bookmarkStart w:id="701" w:name="Tc_NMGY6L7mgkCHIoiCOcYPvw_7_8"/>
      <w:bookmarkStart w:id="702" w:name="Tc_HIcxqv3yL0SdqCwSeNGKHg_7_5"/>
      <w:bookmarkStart w:id="703" w:name="Tc_pCa4--7NzU-qSokD2EU-sA_7_2"/>
      <w:bookmarkStart w:id="704" w:name="Tc_Qo7FZQf81EGxiJOu-FmuJw_6_0"/>
      <w:bookmarkStart w:id="705" w:name="Tc_fb3FbQnFB0eJjF180U28yA_4_8"/>
      <w:bookmarkStart w:id="706" w:name="Tc_3ApndSe23EePekCCtT698A_4_5"/>
      <w:bookmarkStart w:id="707" w:name="Tc_h8oAHfJdwU6zH0yVh_zsVQ_4_2"/>
      <w:bookmarkStart w:id="708" w:name="Tc_DkkqXpLZMUSFYDHi3c3qkQ_4_0"/>
      <w:bookmarkStart w:id="709" w:name="Tc_IWsGLOT8Y0-TXw8g039ZaA_3_0"/>
      <w:bookmarkStart w:id="710" w:name="Tc_LyhSmWf5d0SxodPbmL_T4A_2_8"/>
      <w:bookmarkStart w:id="711" w:name="Tc_Z1hN4CBZn0qlBZqmnH2nBA_2_5"/>
      <w:bookmarkStart w:id="712" w:name="Tc_EgwEcz3jKkevvts9jywGiA_2_2"/>
      <w:bookmarkStart w:id="713" w:name="Tc_SMfdqO8m0UWV-Fq9ZguHJw_1_2"/>
      <w:bookmarkStart w:id="714" w:name="_31834aad_67d7_400f_8aca_0b33bc1a0406"/>
      <w:bookmarkStart w:id="715" w:name="Tc_JkdnZFw7ZEiSf99sa32knQ_11_8"/>
      <w:bookmarkStart w:id="716" w:name="Tc_uWZYOiHzhUaF-C_kZWfWtQ_11_6"/>
      <w:bookmarkStart w:id="717" w:name="Tc_ik9ETzj8BkGbolge5e0S7Q_11_5"/>
      <w:bookmarkStart w:id="718" w:name="Tc_ttrbz3MHak6Ts_nmz-u_Zw_11_3"/>
      <w:bookmarkStart w:id="719" w:name="Tc_6vd6Hb8FKEGymrzFCiLntQ_11_2"/>
      <w:bookmarkStart w:id="720" w:name="Tc_07n-O4zHOkqELlJgqT6hvA_11_0"/>
      <w:bookmarkStart w:id="721" w:name="Tc_qQV4U1y1v0WqmkED0CNZcA_10_8"/>
      <w:bookmarkStart w:id="722" w:name="Tc_Hzz1OEbwJUWJQly8n4oYDg_10_6"/>
      <w:bookmarkStart w:id="723" w:name="Tc_ScFZuxAkMUOXO_xU3deU3Q_10_5"/>
      <w:bookmarkStart w:id="724" w:name="Tc_3q5af4aTe0SjaokjjOR9QA_10_3"/>
      <w:bookmarkStart w:id="725" w:name="Tc_zDDl9sJd9UST6svqf5pUtQ_10_2"/>
      <w:bookmarkStart w:id="726" w:name="Tc_wYmePP0nIkuPurtz_iiJIg_10_0"/>
      <w:bookmarkStart w:id="727" w:name="Tc_FHfL1-jA70emiOxYX-j5Kw_9_9"/>
      <w:bookmarkStart w:id="728" w:name="Tc_Ij3aiYmaOEmMXeWY8DHbCQ_9_8"/>
      <w:bookmarkStart w:id="729" w:name="Tc_tRC3HvM2806HkwFkuep3lg_9_5"/>
      <w:bookmarkStart w:id="730" w:name="Tc_UI3CfuD38kyBSHFaDj_KQA_9_3"/>
      <w:bookmarkStart w:id="731" w:name="Tc_EbHUfE_2yUSR9WOF9RM32Q_9_2"/>
      <w:bookmarkStart w:id="732" w:name="Tc_ILqGg6otyUKoN3NeBDuaEQ_9_0"/>
      <w:bookmarkStart w:id="733" w:name="Tc_nVjr_HnHWEqVckqN5C9Qwg_8_9"/>
      <w:bookmarkStart w:id="734" w:name="Tc_CGTcdMylJUOPhyNxa7VKmA_8_8"/>
      <w:bookmarkStart w:id="735" w:name="Tc_O1y_5pN-X02QyYokRy0Z5A_8_6"/>
      <w:bookmarkStart w:id="736" w:name="Tc_iD7QSsfUfUOxp_CCo_aGEQ_8_5"/>
      <w:bookmarkStart w:id="737" w:name="Tc_LbIcmdNCdkuafVc_RDfseg_8_2"/>
      <w:bookmarkStart w:id="738" w:name="Tc_9RyzyUR-sEaeJDOlUqj-ww_8_0"/>
      <w:bookmarkStart w:id="739" w:name="Tc_NMGY6L7mgkCHIoiCOcYPvw_7_8"/>
      <w:bookmarkStart w:id="740" w:name="Tc_HIcxqv3yL0SdqCwSeNGKHg_7_5"/>
      <w:bookmarkStart w:id="741" w:name="Tc_pCa4--7NzU-qSokD2EU-sA_7_2"/>
      <w:bookmarkStart w:id="742" w:name="Tc_Qo7FZQf81EGxiJOu-FmuJw_6_0"/>
      <w:bookmarkStart w:id="743" w:name="Tc_fb3FbQnFB0eJjF180U28yA_4_8"/>
      <w:bookmarkStart w:id="744" w:name="Tc_3ApndSe23EePekCCtT698A_4_5"/>
      <w:bookmarkStart w:id="745" w:name="Tc_h8oAHfJdwU6zH0yVh_zsVQ_4_2"/>
      <w:bookmarkStart w:id="746" w:name="Tc_DkkqXpLZMUSFYDHi3c3qkQ_4_0"/>
      <w:bookmarkStart w:id="747" w:name="Tc_IWsGLOT8Y0-TXw8g039ZaA_3_0"/>
      <w:bookmarkStart w:id="748" w:name="Tc_LyhSmWf5d0SxodPbmL_T4A_2_8"/>
      <w:bookmarkStart w:id="749" w:name="Tc_Z1hN4CBZn0qlBZqmnH2nBA_2_5"/>
      <w:bookmarkStart w:id="750" w:name="Tc_EgwEcz3jKkevvts9jywGiA_2_2"/>
      <w:bookmarkStart w:id="751" w:name="Tc_SMfdqO8m0UWV-Fq9ZguHJw_1_2"/>
      <w:bookmarkStart w:id="752" w:name="_31834aad_67d7_400f_8aca_0b33bc1a0406"/>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tbl>
      <w:tblPr>
        <w:tblW w:w="10138" w:type="dxa"/>
        <w:jc w:val="left"/>
        <w:tblInd w:w="0" w:type="dxa"/>
        <w:tblLayout w:type="fixed"/>
        <w:tblCellMar>
          <w:top w:w="0" w:type="dxa"/>
          <w:left w:w="0" w:type="dxa"/>
          <w:bottom w:w="0" w:type="dxa"/>
          <w:right w:w="0" w:type="dxa"/>
        </w:tblCellMar>
      </w:tblPr>
      <w:tblGrid>
        <w:gridCol w:w="5266"/>
        <w:gridCol w:w="109"/>
        <w:gridCol w:w="383"/>
        <w:gridCol w:w="1117"/>
        <w:gridCol w:w="109"/>
        <w:gridCol w:w="368"/>
        <w:gridCol w:w="1132"/>
        <w:gridCol w:w="109"/>
        <w:gridCol w:w="335"/>
        <w:gridCol w:w="1210"/>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343910" cy="175260"/>
                      <wp:effectExtent l="0" t="0" r="0" b="0"/>
                      <wp:wrapNone/>
                      <wp:docPr id="166" name="Frame166"/>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7"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43205" cy="175260"/>
                      <wp:effectExtent l="0" t="0" r="0" b="0"/>
                      <wp:wrapNone/>
                      <wp:docPr id="168" name="Frame168"/>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709295" cy="175260"/>
                      <wp:effectExtent l="0" t="0" r="0" b="0"/>
                      <wp:wrapNone/>
                      <wp:docPr id="169" name="Frame169"/>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33680" cy="175260"/>
                      <wp:effectExtent l="0" t="0" r="0" b="0"/>
                      <wp:wrapNone/>
                      <wp:docPr id="171" name="Frame171"/>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718820" cy="175260"/>
                      <wp:effectExtent l="0" t="0" r="0" b="0"/>
                      <wp:wrapNone/>
                      <wp:docPr id="172" name="Frame172"/>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2725" cy="175260"/>
                      <wp:effectExtent l="0" t="0" r="0" b="0"/>
                      <wp:wrapNone/>
                      <wp:docPr id="174" name="Frame174"/>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768350" cy="175260"/>
                      <wp:effectExtent l="0" t="0" r="0" b="0"/>
                      <wp:wrapNone/>
                      <wp:docPr id="175" name="Frame175"/>
                      <a:graphic xmlns:a="http://schemas.openxmlformats.org/drawingml/2006/main">
                        <a:graphicData uri="http://schemas.microsoft.com/office/word/2010/wordprocessingShape">
                          <wps:wsp>
                            <wps:cNvSpPr txBox="1"/>
                            <wps:spPr>
                              <a:xfrm>
                                <a:off x="0" y="0"/>
                                <a:ext cx="768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76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5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109" w:type="dxa"/>
            <w:tcBorders/>
            <w:vAlign w:val="center"/>
          </w:tcPr>
          <w:p>
            <w:pPr>
              <w:pStyle w:val="TableContents"/>
              <w:bidi w:val="0"/>
              <w:spacing w:before="0" w:after="1"/>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09" w:type="dxa"/>
            <w:tcBorders/>
            <w:vAlign w:val="center"/>
          </w:tcPr>
          <w:p>
            <w:pPr>
              <w:pStyle w:val="TableContents"/>
              <w:bidi w:val="0"/>
              <w:spacing w:before="0" w:after="1"/>
              <w:ind w:left="0" w:right="0" w:hanging="0"/>
              <w:jc w:val="center"/>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Supplemental Disclosure of Cash Flow Information: </w:t>
            </w:r>
          </w:p>
        </w:tc>
        <w:tc>
          <w:tcPr>
            <w:tcW w:w="109"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right"/>
              <w:rPr/>
            </w:pPr>
            <w:r>
              <w:rPr/>
              <w:t>​</w:t>
            </w:r>
          </w:p>
        </w:tc>
        <w:tc>
          <w:tcPr>
            <w:tcW w:w="111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right"/>
              <w:rPr/>
            </w:pPr>
            <w:r>
              <w:rPr/>
              <w:t>​</w:t>
            </w:r>
          </w:p>
        </w:tc>
        <w:tc>
          <w:tcPr>
            <w:tcW w:w="113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right"/>
              <w:rPr/>
            </w:pPr>
            <w:r>
              <w:rPr/>
              <w:t>​</w:t>
            </w:r>
          </w:p>
        </w:tc>
        <w:tc>
          <w:tcPr>
            <w:tcW w:w="1210"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109"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9,245</w:t>
            </w:r>
          </w:p>
        </w:tc>
        <w:tc>
          <w:tcPr>
            <w:tcW w:w="109"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7,753</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2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3,131</w:t>
            </w:r>
          </w:p>
        </w:tc>
      </w:tr>
      <w:tr>
        <w:trPr/>
        <w:tc>
          <w:tcPr>
            <w:tcW w:w="526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right"/>
              <w:rPr/>
            </w:pPr>
            <w:r>
              <w:rPr/>
              <w:t>​</w:t>
            </w:r>
          </w:p>
        </w:tc>
        <w:tc>
          <w:tcPr>
            <w:tcW w:w="111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right"/>
              <w:rPr/>
            </w:pPr>
            <w:r>
              <w:rPr/>
              <w:t>​</w:t>
            </w:r>
          </w:p>
        </w:tc>
        <w:tc>
          <w:tcPr>
            <w:tcW w:w="113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right"/>
              <w:rPr/>
            </w:pPr>
            <w:r>
              <w:rPr/>
              <w:t>​</w:t>
            </w:r>
          </w:p>
        </w:tc>
        <w:tc>
          <w:tcPr>
            <w:tcW w:w="1210" w:type="dxa"/>
            <w:tcBorders/>
            <w:shd w:fill="CCEEFF" w:val="clear"/>
            <w:vAlign w:val="center"/>
          </w:tcPr>
          <w:p>
            <w:pPr>
              <w:pStyle w:val="TableContents"/>
              <w:bidi w:val="0"/>
              <w:spacing w:before="0" w:after="1"/>
              <w:ind w:left="0" w:right="0" w:hanging="0"/>
              <w:jc w:val="righ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Supplemental Disclosure of Non-Cash Investing and Financing Activities: </w:t>
            </w:r>
          </w:p>
        </w:tc>
        <w:tc>
          <w:tcPr>
            <w:tcW w:w="109"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right"/>
              <w:rPr/>
            </w:pPr>
            <w:r>
              <w:rPr/>
              <w:t>​</w:t>
            </w:r>
          </w:p>
        </w:tc>
        <w:tc>
          <w:tcPr>
            <w:tcW w:w="111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right"/>
              <w:rPr/>
            </w:pPr>
            <w:r>
              <w:rPr/>
              <w:t>​</w:t>
            </w:r>
          </w:p>
        </w:tc>
        <w:tc>
          <w:tcPr>
            <w:tcW w:w="113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right"/>
              <w:rPr/>
            </w:pPr>
            <w:r>
              <w:rPr/>
              <w:t>​</w:t>
            </w:r>
          </w:p>
        </w:tc>
        <w:tc>
          <w:tcPr>
            <w:tcW w:w="1210" w:type="dxa"/>
            <w:tcBorders/>
            <w:vAlign w:val="center"/>
          </w:tcPr>
          <w:p>
            <w:pPr>
              <w:pStyle w:val="TableContents"/>
              <w:bidi w:val="0"/>
              <w:spacing w:before="0" w:after="1"/>
              <w:ind w:left="0" w:right="0" w:hanging="0"/>
              <w:jc w:val="right"/>
              <w:rPr/>
            </w:pPr>
            <w:r>
              <w:rPr/>
              <w:t>​</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Unrealized Gain (Loss) on Cash Flow Hedges</w:t>
            </w:r>
          </w:p>
        </w:tc>
        <w:tc>
          <w:tcPr>
            <w:tcW w:w="109"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(3,778)</w:t>
            </w:r>
          </w:p>
        </w:tc>
        <w:tc>
          <w:tcPr>
            <w:tcW w:w="109"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12,679</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2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2,403</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Partnership Unit Redemption</w:t>
            </w:r>
          </w:p>
        </w:tc>
        <w:tc>
          <w:tcPr>
            <w:tcW w:w="109"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9,041</w:t>
            </w:r>
          </w:p>
        </w:tc>
        <w:tc>
          <w:tcPr>
            <w:tcW w:w="109"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3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210" w:type="dxa"/>
            <w:tcBorders/>
            <w:vAlign w:val="center"/>
          </w:tcPr>
          <w:p>
            <w:pPr>
              <w:pStyle w:val="TableContents"/>
              <w:bidi w:val="0"/>
              <w:spacing w:before="0" w:after="1"/>
              <w:ind w:left="0" w:right="0" w:hanging="0"/>
              <w:jc w:val="right"/>
              <w:rPr/>
            </w:pPr>
            <w:r>
              <w:rPr/>
              <w:t>—</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Right-of-Use Assets and Operating Lease Liability</w:t>
            </w:r>
          </w:p>
        </w:tc>
        <w:tc>
          <w:tcPr>
            <w:tcW w:w="109"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1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1,831</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210" w:type="dxa"/>
            <w:tcBorders/>
            <w:shd w:fill="CCEEFF" w:val="clear"/>
            <w:vAlign w:val="center"/>
          </w:tcPr>
          <w:p>
            <w:pPr>
              <w:pStyle w:val="TableContents"/>
              <w:bidi w:val="0"/>
              <w:spacing w:before="0" w:after="1"/>
              <w:ind w:left="0" w:right="0" w:hanging="0"/>
              <w:jc w:val="righ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Units Issued in Exchange for Real Estate</w:t>
            </w:r>
          </w:p>
        </w:tc>
        <w:tc>
          <w:tcPr>
            <w:tcW w:w="109"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1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3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2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9,041</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Assumption of Mortgage Note Payable</w:t>
            </w:r>
          </w:p>
        </w:tc>
        <w:tc>
          <w:tcPr>
            <w:tcW w:w="109"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1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3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210" w:type="dxa"/>
            <w:tcBorders/>
            <w:shd w:fill="CCEEFF" w:val="cle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30,000</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53" w:name="_eb85aa6a_035f_46cb_bf51_89771221cb00"/>
      <w:bookmarkEnd w:id="753"/>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bookmarkStart w:id="754" w:name="NOTESTOCONSOLIDATEDANDCOMBINEDFINANCIALS"/>
      <w:bookmarkEnd w:id="754"/>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December 31, 2023, 2022 and 2021</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BUSINESS AND ORGANIZATION</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BUSINESS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Alpine Income Property Trust, Inc. (the “Company” or “PINE”) is a real estate investment trust (“REIT”) that owns and operates a high-quality portfolio of commercial net lease properties. The terms “us,” “we,” “our,” and “the Company” as used in this report refer to Alpine Income Property Trust, Inc. together with our consolidated subsidiaries.</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portfolio consists of 138 net leased properties located in 104 markets in 35 states. The properties in our portfolio are primarily subject to long-term, net leases, which generally require the tenant to pay directly or reimburse us for property operating expenses such as real estate taxes, insurance, assessments and other governmental fees, utilities, repairs and maintenance and certain capital expenditures. The Company may also acquire or originate commercial loans and investments. Our investments in commercial loans are generally secured by real estate or the borrower’s pledge of its ownership interest in an entity that owns real estate. See Note 4, “Commercial Loans and Investments” for further disclosure related to the Company’s commercial loans and investments.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operates in two primary business segments: income properties and commercial loans and investments.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REIT and the sole member of our Manager (“CTO”). All of our executive officers also serve as executive officers of CTO, and one of our executive officers and directors, John P. Albright, also serves as an executive officer and director of CTO.</w:t>
      </w:r>
    </w:p>
    <w:p>
      <w:pPr>
        <w:pStyle w:val="TextBody"/>
        <w:bidi w:val="0"/>
        <w:spacing w:before="0" w:after="24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ORGANIZATION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a Maryland corporation that was formed on August 19, 2019. On November 26, 2019, the Company closed its initial public offering (“IPO”). We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December 31, 2023, we have a total ownership interest in the Operating Partnership of 91.8%, with CTO holding, directly and indirectly, an 8.2% ownership interest in the Operating Partnership.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oversees our business and affairs.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determined without regard to the dividends paid deduction and excluding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REIT, the Company may be subject to state and local taxes on its income and property and federal income and excise taxes on its undistributed income.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PRINCIPLES OF CONSOLIDATION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include the accounts of the Company, its wholly owned subsidiaries, and other entities in which we have a controlling interest. All significant inter-company balances and transactions have been eliminated in the consolidated financial statements.</w:t>
      </w:r>
    </w:p>
    <w:p>
      <w:pPr>
        <w:pStyle w:val="TextBody"/>
        <w:bidi w:val="0"/>
        <w:spacing w:before="24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SEGMENT REPORTING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Financial Accounting Standards Board </w:t>
      </w:r>
      <w:r>
        <w:rPr>
          <w:rFonts w:ascii="Times New Roman;Times;serif" w:hAnsi="Times New Roman;Times;serif"/>
          <w:i/>
          <w:sz w:val="20"/>
        </w:rPr>
        <w:t>Accounting Standards Codification</w:t>
      </w:r>
      <w:r>
        <w:rPr>
          <w:rFonts w:ascii="Times New Roman;Times;serif" w:hAnsi="Times New Roman;Times;serif"/>
          <w:sz w:val="20"/>
        </w:rPr>
        <w:t xml:space="preserve"> (“FASB ASC”) Topic 280, </w:t>
      </w:r>
      <w:r>
        <w:rPr>
          <w:rFonts w:ascii="Times New Roman;Times;serif" w:hAnsi="Times New Roman;Times;serif"/>
          <w:i/>
          <w:sz w:val="20"/>
        </w:rPr>
        <w:t>Segment Reporting</w:t>
      </w:r>
      <w:r>
        <w:rPr>
          <w:rFonts w:ascii="Times New Roman;Times;serif" w:hAnsi="Times New Roman;Times;serif"/>
          <w:sz w:val="20"/>
        </w:rPr>
        <w:t>, establishes standards related to the manner in which enterprises report operating segment information. The Company operates in two primary business segments including income properties and commercial loans and investments, as further discussed within Note 20, “Business Segment Data”. The Company has no other reportable segments. The Company’s chief executive officer, who is the Company’s chief operating decision maker, reviews financial information on a disaggregated basis for purposes of allocating and evaluating financial performance.</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USE OF ESTIMATES IN THE PREPARATION OF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 due to continued volatility in the real estate and financial markets, or as a result of a significant dislocation in those markets.</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REAL ESTATE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real estate assets are primarily comprised of the properties in its portfolio, and are stated at cost, less accumulated depreciation and amortization. Such properties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statement of operations. The amount of depreciation of real estate, exclusive of amortization related to intangible assets, recognized for the years ended December 31, 2023, 2022, and 2021, was $16.8 million, $14.8 million, and $10.0 million, respectively.</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LONG-LIVED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follows FASB ASC Topic 360-10, </w:t>
      </w:r>
      <w:r>
        <w:rPr>
          <w:rFonts w:ascii="Times New Roman;Times;serif" w:hAnsi="Times New Roman;Times;serif"/>
          <w:i/>
          <w:sz w:val="20"/>
        </w:rPr>
        <w:t>Property, Plant, and Equipment</w:t>
      </w:r>
      <w:r>
        <w:rPr>
          <w:rFonts w:ascii="Times New Roman;Times;serif" w:hAnsi="Times New Roman;Times;serif"/>
          <w:sz w:val="20"/>
        </w:rPr>
        <w:t xml:space="preserve"> in conducting its impairment analyses. The Company reviews the recoverability of long-lived assets, primarily real estate and real estate held for sale,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fair value less cost to sell.</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PURCHASE ACCOUNTING FOR ACQUISITIONS OF REAL ESTATE SUBJECT TO A LEASE</w:t>
      </w:r>
    </w:p>
    <w:p>
      <w:pPr>
        <w:pStyle w:val="TextBody"/>
        <w:bidi w:val="0"/>
        <w:spacing w:before="120" w:after="0"/>
        <w:ind w:left="0" w:right="0" w:firstLine="556"/>
        <w:jc w:val="both"/>
        <w:rPr>
          <w:rFonts w:ascii="Times New Roman;Times;serif" w:hAnsi="Times New Roman;Times;serif"/>
          <w:sz w:val="20"/>
        </w:rPr>
      </w:pPr>
      <w:r>
        <w:rPr>
          <w:rFonts w:ascii="Times New Roman;Times;serif" w:hAnsi="Times New Roman;Times;serif"/>
          <w:sz w:val="20"/>
        </w:rPr>
        <w:t>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w:t>
      </w:r>
      <w:r>
        <w:rPr>
          <w:rFonts w:ascii="Times New Roman;Times;serif" w:hAnsi="Times New Roman;Times;serif"/>
          <w:i/>
          <w:sz w:val="20"/>
        </w:rPr>
        <w:t>Business Combinations (Topic 805): Clarifying the Definition of a Business</w:t>
      </w:r>
      <w:r>
        <w:rPr>
          <w:rFonts w:ascii="Times New Roman;Times;serif" w:hAnsi="Times New Roman;Times;serif"/>
          <w:sz w:val="20"/>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pStyle w:val="TextBody"/>
        <w:bidi w:val="0"/>
        <w:spacing w:before="0" w:after="0"/>
        <w:ind w:left="0" w:right="0" w:firstLine="556"/>
        <w:jc w:val="both"/>
        <w:rPr/>
      </w:pPr>
      <w:r>
        <w:rPr/>
        <w:t>​</w:t>
      </w:r>
    </w:p>
    <w:p>
      <w:pPr>
        <w:pStyle w:val="TextBody"/>
        <w:bidi w:val="0"/>
        <w:spacing w:before="0" w:after="0"/>
        <w:ind w:left="0" w:right="0" w:firstLine="556"/>
        <w:jc w:val="both"/>
        <w:rPr>
          <w:rFonts w:ascii="Times New Roman;Times;serif" w:hAnsi="Times New Roman;Times;serif"/>
          <w:sz w:val="20"/>
        </w:rPr>
      </w:pPr>
      <w:r>
        <w:rPr>
          <w:rFonts w:ascii="Times New Roman;Times;serif" w:hAnsi="Times New Roman;Times;serif"/>
          <w:sz w:val="20"/>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NewRomanPS-ItalicMT" w:hAnsi="TimesNewRomanPS-ItalicMT"/>
          <w:i/>
          <w:sz w:val="20"/>
        </w:rPr>
      </w:pPr>
      <w:r>
        <w:rPr>
          <w:rFonts w:ascii="TimesNewRomanPS-ItalicMT" w:hAnsi="TimesNewRomanPS-ItalicMT"/>
          <w:i/>
          <w:sz w:val="20"/>
        </w:rPr>
        <w:t>ASSETS HELD FOR SALE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Investments in real estate which are determined to be “held for sale” pursuant to FASB Topic 360-10, </w:t>
      </w:r>
      <w:r>
        <w:rPr>
          <w:rFonts w:ascii="Times New Roman;Times;serif" w:hAnsi="Times New Roman;Times;serif"/>
          <w:i/>
          <w:sz w:val="20"/>
        </w:rPr>
        <w:t xml:space="preserve">Property, Plant, and Equipment </w:t>
      </w:r>
      <w:r>
        <w:rPr>
          <w:rFonts w:ascii="Times New Roman;Times;serif" w:hAnsi="Times New Roman;Times;serif"/>
          <w:sz w:val="20"/>
        </w:rPr>
        <w:t>are reported separately on the consolidated balance sheets at the lesser of carrying value or fair value, less costs to sell. Real estate investments classified as held for sale are not depreciated.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SALES OF REAL ESTATE</w:t>
      </w:r>
    </w:p>
    <w:p>
      <w:pPr>
        <w:pStyle w:val="TextBody"/>
        <w:bidi w:val="0"/>
        <w:spacing w:before="0" w:after="0"/>
        <w:ind w:left="0" w:right="0" w:firstLine="556"/>
        <w:jc w:val="both"/>
        <w:rPr/>
      </w:pPr>
      <w:r>
        <w:rPr/>
        <w:t>​</w:t>
      </w:r>
    </w:p>
    <w:p>
      <w:pPr>
        <w:pStyle w:val="TextBody"/>
        <w:bidi w:val="0"/>
        <w:spacing w:before="0" w:after="0"/>
        <w:ind w:left="0" w:right="0" w:firstLine="556"/>
        <w:jc w:val="both"/>
        <w:rPr>
          <w:rFonts w:ascii="Times New Roman;Times;serif" w:hAnsi="Times New Roman;Times;serif"/>
          <w:sz w:val="20"/>
        </w:rPr>
      </w:pPr>
      <w:r>
        <w:rPr>
          <w:rFonts w:ascii="Times New Roman;Times;serif" w:hAnsi="Times New Roman;Times;serif"/>
          <w:sz w:val="20"/>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gains on dispositions of assets. In accordance with the FASB guidance, gains or losses on sales of real estate are generally recognized using the full accrual method.</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PROPERTY LEASE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rental arrangements associated with the Company’s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December 31, 2023 and 2022, the Company’s allowance for doubtful accounts totaled $0.4 million.</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COMMERCIAL LOANS AND INVESTMENTS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Investments in commercial loans and investments held for investment are recorded at historical cost, net of unaccreted origination costs and current expected credit losses (“CECL”) reserve.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ASC 326, </w:t>
      </w:r>
      <w:r>
        <w:rPr>
          <w:rFonts w:ascii="Times New Roman;Times;serif" w:hAnsi="Times New Roman;Times;serif"/>
          <w:i/>
          <w:sz w:val="20"/>
        </w:rPr>
        <w:t>Financial Instruments - Credit Losses</w:t>
      </w:r>
      <w:r>
        <w:rPr>
          <w:rFonts w:ascii="Times New Roman;Times;serif" w:hAnsi="Times New Roman;Times;serif"/>
          <w:sz w:val="20"/>
        </w:rPr>
        <w:t>, the Company measures and records a provision for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RECOGNITION OF INTEREST INCOME FROM COMMERCIAL LOANS AND INVESTMENTS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on commercial loans and investments includes interest payments made by the borrower and the accretion of loan origination fees, offset by the amortization of loan costs, if any. Interest payments are accrued based on the actual coupon rate and the outstanding principal balance and purchase discounts and loan origination fees are accreted into income using the effective yield method, adjusted for prepayments.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OPERATING LAND LEASE EXPENSE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the lessee under operating land leases for certain of its properties, which leases are classified as operating leases pursuant to FASB ASC Topic 842, Leases. The corresponding lease expense is recognized on a straight-line basis over the term of the lease and is included in real estate expenses in the accompanying consolidated statements of operations.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SALES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tax collected on lease payments is recognized as a liability in the accompanying consolidated balance sheets when collected. The liability is reduced at the time payment is remitted to the applicable taxing authority.</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CASH AND CASH EQUIVALENTS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and cash equivalents include cash on hand, bank demand accounts, and money market accounts having original maturities of 90 days or less. The Company’s bank balances as of December 31, 2023 and 2022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RESTRICTED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Restricted cash totaled $9.7 million at December 31, 2023, of which $7.5 million is being held in an escrow account to be reinvested through the like-kind exchange structure into other income properties and $2.2 million is being held in interest, real estate tax, and/ or insurance reserve accounts related to the Company’s commercial loans and investments.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DERIVATIVE FINANCIAL INSTRUMENTS AND HEDGING ACTIVITY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accounts for its cash flow hedging derivatives in accordance with FASB ASC Topic 815-20, </w:t>
      </w:r>
      <w:r>
        <w:rPr>
          <w:rFonts w:ascii="Times New Roman;Times;serif" w:hAnsi="Times New Roman;Times;serif"/>
          <w:i/>
          <w:sz w:val="20"/>
        </w:rPr>
        <w:t>Derivatives and Hedging</w:t>
      </w:r>
      <w:r>
        <w:rPr>
          <w:rFonts w:ascii="Times New Roman;Times;serif" w:hAnsi="Times New Roman;Times;serif"/>
          <w:sz w:val="20"/>
        </w:rPr>
        <w:t xml:space="preserve">. Depending upon the hedge’s value at each balance sheet date, the derivatives are included in either other assets or accounts payable, accrued expenses, and other liabilities on the accompanying consolidated balance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sheet at its fair value. On the date each interest rate swap was entered into, the Company designated the derivatives as a hedge of the variability of cash flows to be paid related to the recognized long-term debt liabilities.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will continue to do so on a quarterly basis.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13, “Interest Rate Swaps”).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FAIR VALUE OF FINANCIAL INSTRUMENTS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carrying amounts of the Company’s financial assets and liabilities including cash and cash equivalents, restricted cash, accounts receivable included in other assets, accounts payable, and accrued expenses and other liabilities at December 31, 2023 and December 31, 2022, approximate fair value because of the short maturity of these instruments. The carrying value of the Credit Facility, hereinafter defined, approximates current market rates for revolving credit arrangements with similar risks and maturities. The Company estimates the fair value of its commercial loans and investments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pStyle w:val="TextBody"/>
        <w:bidi w:val="0"/>
        <w:spacing w:before="0" w:after="0"/>
        <w:ind w:left="0" w:right="0" w:hanging="0"/>
        <w:jc w:val="left"/>
        <w:rPr/>
      </w:pPr>
      <w:r>
        <w:rPr/>
        <w:t>​</w:t>
      </w:r>
    </w:p>
    <w:p>
      <w:pPr>
        <w:pStyle w:val="TextBody"/>
        <w:bidi w:val="0"/>
        <w:spacing w:lineRule="auto" w:line="271" w:before="0" w:after="0"/>
        <w:ind w:left="0" w:right="0" w:hanging="0"/>
        <w:jc w:val="both"/>
        <w:rPr>
          <w:rFonts w:ascii="Times New Roman;Times;serif" w:hAnsi="Times New Roman;Times;serif"/>
          <w:sz w:val="20"/>
        </w:rPr>
      </w:pPr>
      <w:r>
        <w:rPr>
          <w:rFonts w:ascii="Times New Roman;Times;serif" w:hAnsi="Times New Roman;Times;serif"/>
          <w:i/>
          <w:sz w:val="20"/>
        </w:rPr>
        <w:t>FAIR VALUE MEASUREMENTS</w:t>
      </w:r>
      <w:r>
        <w:rPr>
          <w:rFonts w:ascii="Times New Roman;Times;serif" w:hAnsi="Times New Roman;Times;serif"/>
          <w:sz w:val="20"/>
        </w:rPr>
        <w:t xml:space="preserve"> </w:t>
      </w:r>
    </w:p>
    <w:p>
      <w:pPr>
        <w:pStyle w:val="TextBody"/>
        <w:bidi w:val="0"/>
        <w:spacing w:lineRule="auto" w:line="271"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pStyle w:val="TextBody"/>
        <w:bidi w:val="0"/>
        <w:spacing w:lineRule="auto" w:line="271" w:before="0" w:after="0"/>
        <w:ind w:left="0" w:right="0" w:hanging="0"/>
        <w:jc w:val="both"/>
        <w:rPr/>
      </w:pPr>
      <w:r>
        <w:rPr/>
        <w:t>​</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 is based upon quoted prices in active markets for identical assets or liabilities.</w:t>
            </w:r>
          </w:p>
        </w:tc>
      </w:tr>
    </w:tbl>
    <w:p>
      <w:pPr>
        <w:pStyle w:val="TextBody"/>
        <w:bidi w:val="0"/>
        <w:spacing w:lineRule="auto" w:line="271"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p>
      <w:pPr>
        <w:pStyle w:val="TextBody"/>
        <w:bidi w:val="0"/>
        <w:spacing w:lineRule="auto" w:line="271"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EARNINGS PER COMMON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earnings per common share is computed by dividing net income attributable to the Company for the period by the weighted average number of shares outstanding for the period. Diluted earnings per common share is based on the assumption that the OP Units issued are redeemed for shares of our common stock on a one-for-one basis.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elected to be taxed as a REIT for U.S. federal income tax purposes under the Code. We believe the Company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The Company may form one or more taxable REIT subsidiaries (“TRSs”), which will be subject to applicable U.S. federal, state and local corporate income tax on their taxable income. For the periods presented, the Company did not have any TRSs that would be subject to taxation.</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CONCENTRATION OF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individual tenants in the Company’s portfolio of properties accounted for more than 10% of lease income from the Company’s income properties during the years ended December 31, 2023 and 2021. No individual tenant accounted for more than 10% of lease income from the Company’s income properties during the year ended December 31, 2022.</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year ended December 31, 2023, Walgreens represented 11% of lease income from the Company’s income properties. Wells Fargo represented 12% of lease income from the Company’s income properties for the year ended December 31, 2021.</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2023, 13%, 11%, and 11% of the Company’s income property portfolio, based on square footage, was located in the states of Texas, New Jersey, and Michigan, respectively. As of December 31, 2022, 19% of the Company’s income property portfolio, based on square footage, was located in the state of Texas. Uncertainty of the duration of a prolonged real estate and economic downturn could have an adverse impact on the Company’s real estate values.</w:t>
      </w:r>
    </w:p>
    <w:p>
      <w:pPr>
        <w:pStyle w:val="TextBody"/>
        <w:bidi w:val="0"/>
        <w:spacing w:before="0" w:after="0"/>
        <w:ind w:left="0" w:right="0" w:hanging="0"/>
        <w:jc w:val="left"/>
        <w:rPr>
          <w:rFonts w:ascii="TimesNewRomanPS-ItalicMT" w:hAnsi="TimesNewRomanPS-ItalicMT"/>
          <w:i/>
          <w:sz w:val="20"/>
        </w:rPr>
      </w:pPr>
      <w:r>
        <w:rPr>
          <w:rFonts w:ascii="TimesNewRomanPS-ItalicMT" w:hAnsi="TimesNewRomanPS-ItalicMT"/>
          <w:i/>
          <w:sz w:val="20"/>
        </w:rPr>
        <w:t>RECLASSIFICATIONS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Certain items in the prior period’s consolidated statement of operations have been reclassified to conform to the presentation for the year ended December 31, 2023. Specifically, interest income earned on deposits at financial institutions was previously included within Lease Income and is now included within Investment and Other Income on the accompanying consolidated statement of operations. There was no impact to retained earnings as a result of the reclassifications.</w:t>
      </w:r>
    </w:p>
    <w:p>
      <w:pPr>
        <w:pStyle w:val="TextBody"/>
        <w:bidi w:val="0"/>
        <w:spacing w:before="0" w:after="0"/>
        <w:ind w:left="0" w:right="0" w:hanging="0"/>
        <w:jc w:val="left"/>
        <w:rPr>
          <w:color w:val="0078D5"/>
        </w:rPr>
      </w:pPr>
      <w:r>
        <w:rPr>
          <w:color w:val="0078D5"/>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 xml:space="preserve">RECENTLY ISSUED ACCOUNTING STANDARDS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Segment Reporting</w:t>
      </w:r>
      <w:r>
        <w:rPr>
          <w:rFonts w:ascii="Times New Roman;Times;serif" w:hAnsi="Times New Roman;Times;serif"/>
          <w:sz w:val="20"/>
        </w:rPr>
        <w:t xml:space="preserve">. In November 2023, the FASB issued ASU 2023-07 which enhances segment disclosure requirements for entities required to report segment information in accordance with FASB ASC 280, </w:t>
      </w:r>
      <w:r>
        <w:rPr>
          <w:rFonts w:ascii="Times New Roman;Times;serif" w:hAnsi="Times New Roman;Times;serif"/>
          <w:i/>
          <w:sz w:val="20"/>
        </w:rPr>
        <w:t>Segment Reporting</w:t>
      </w:r>
      <w:r>
        <w:rPr>
          <w:rFonts w:ascii="Times New Roman;Times;serif" w:hAnsi="Times New Roman;Times;serif"/>
          <w:sz w:val="20"/>
        </w:rPr>
        <w:t>. The amendments in this update are effective for annual reporting periods beginning after December 15, 2023.</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In December 2023, the FASB issued ASU 2023-09 which enhances income tax disclosure requirements in accordance with FASB ASC 740, </w:t>
      </w:r>
      <w:r>
        <w:rPr>
          <w:rFonts w:ascii="Times New Roman;Times;serif" w:hAnsi="Times New Roman;Times;serif"/>
          <w:i/>
          <w:sz w:val="20"/>
        </w:rPr>
        <w:t>Income Taxes</w:t>
      </w:r>
      <w:r>
        <w:rPr>
          <w:rFonts w:ascii="Times New Roman;Times;serif" w:hAnsi="Times New Roman;Times;serif"/>
          <w:sz w:val="20"/>
        </w:rPr>
        <w:t>. The amendments in this update are effective for annual reporting periods beginning after December 15, 2023.</w:t>
      </w:r>
    </w:p>
    <w:p>
      <w:pPr>
        <w:pStyle w:val="TextBody"/>
        <w:bidi w:val="0"/>
        <w:spacing w:before="0" w:after="240"/>
        <w:ind w:left="0" w:right="0" w:firstLine="360"/>
        <w:jc w:val="both"/>
        <w:rPr/>
      </w:pPr>
      <w:r>
        <w:rPr/>
        <w:t>​</w:t>
      </w:r>
    </w:p>
    <w:p>
      <w:pPr>
        <w:pStyle w:val="TextBody"/>
        <w:bidi w:val="0"/>
        <w:spacing w:before="0" w:after="0"/>
        <w:ind w:left="720" w:right="0" w:hanging="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755" w:name="Tc_JmWKbeaymk-dl-qz-xVwRQ_8_2"/>
      <w:bookmarkStart w:id="756" w:name="Tc_ZqRYeZ3wlEyzp29k8Rx_ug_8_0"/>
      <w:bookmarkStart w:id="757" w:name="Tc_vidqZH6oHk6kaSZBO8ZHzQ_7_0"/>
      <w:bookmarkStart w:id="758" w:name="Tc_tT8j8ztgXES8SZJiMAfuEQ_6_0"/>
      <w:bookmarkStart w:id="759" w:name="Tc_FxXdwWlp_UGXQy9AXB2Qlg_5_0"/>
      <w:bookmarkStart w:id="760" w:name="Tc_v4rurqMn6Eu3D6B5PrJV3g_4_0"/>
      <w:bookmarkStart w:id="761" w:name="Tc_VkuRtYhISkG8jIMOBd6flg_3_0"/>
      <w:bookmarkStart w:id="762" w:name="Tc_EHquWIeABUmWx7U7yDfp-A_2_2"/>
      <w:bookmarkStart w:id="763" w:name="Tc_MSE-vtxHoUWrIlfV7vHZng_2_0"/>
      <w:bookmarkStart w:id="764" w:name="Tc_jPaBY9VjvU6XSxS9s-P7OQ_1_2"/>
      <w:bookmarkStart w:id="765" w:name="Tc_S6tPppPh6E68e1dkRTnYAQ_1_0"/>
      <w:bookmarkStart w:id="766" w:name="_f09406f7_2fe0_4253_8a62_5e41e50f8d44"/>
      <w:bookmarkStart w:id="767" w:name="Tc_F8Ck6ogr3k2G2tZxlzDX_g_6_8"/>
      <w:bookmarkStart w:id="768" w:name="Tc_luTiqVsMWEGYAdsKsB3mdA_6_5"/>
      <w:bookmarkStart w:id="769" w:name="Tc_B2ZRYa2y8k6qNC2n2ClTxg_6_2"/>
      <w:bookmarkStart w:id="770" w:name="Tc_xe-Xc_X2a0G7c8fsa7SQSg_6_0"/>
      <w:bookmarkStart w:id="771" w:name="Tc_RC53pcsmbUmM6sJ-NZ9mPQ_5_0"/>
      <w:bookmarkStart w:id="772" w:name="Tc_hCFul5wDfEKyRmT-0Bcq9g_4_8"/>
      <w:bookmarkStart w:id="773" w:name="Tc_NceA5uvj7kK26wOdB9zEyg_4_5"/>
      <w:bookmarkStart w:id="774" w:name="Tc_25wo9JnVYkiLRAG4v3joTw_4_2"/>
      <w:bookmarkStart w:id="775" w:name="Tc_xIg2vw7aYkeLCQO-Ewk_yA_4_0"/>
      <w:bookmarkStart w:id="776" w:name="Tc_3nBo3f8ZDEym-07PbLAMww_3_0"/>
      <w:bookmarkStart w:id="777" w:name="Tc_-qfeVkjbu0yt0poVd1G5DQ_2_8"/>
      <w:bookmarkStart w:id="778" w:name="Tc_KIrXPfg1zEmki1e34OSo4w_2_5"/>
      <w:bookmarkStart w:id="779" w:name="Tc_Ls2tw165CEq-82Tvk5u31g_2_2"/>
      <w:bookmarkStart w:id="780" w:name="Tc_dnIJibnraU-ZrTl1xtCbqQ_1_2"/>
      <w:bookmarkStart w:id="781" w:name="_70dc6884_fa9c_4dd9_8f68_02cbedf8e600"/>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r>
        <w:rPr>
          <w:rFonts w:ascii="Times New Roman;Times;serif" w:hAnsi="Times New Roman;Times;serif"/>
          <w:b/>
          <w:sz w:val="20"/>
        </w:rPr>
        <w:t>NOTE 3.      PROPERTY PORTFOLIO</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2023, the Company’s property portfolio consisted of 138 properties with total square footage of 3.8 million.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Leasing revenue consists of long-term rental revenue from net leased commercial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payments and reimbursements from tenants for common area maintenance, insurance, real estate taxes, and other operating expenses.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components of leasing revenue are as follows (in thousands):</w:t>
      </w:r>
    </w:p>
    <w:p>
      <w:pPr>
        <w:pStyle w:val="TextBody"/>
        <w:bidi w:val="0"/>
        <w:spacing w:before="0" w:after="0"/>
        <w:ind w:left="0" w:right="0" w:firstLine="360"/>
        <w:jc w:val="both"/>
        <w:rPr/>
      </w:pPr>
      <w:r>
        <w:rPr/>
        <w:t>​</w:t>
      </w:r>
    </w:p>
    <w:tbl>
      <w:tblPr>
        <w:tblW w:w="7693" w:type="dxa"/>
        <w:jc w:val="left"/>
        <w:tblInd w:w="0" w:type="dxa"/>
        <w:tblLayout w:type="fixed"/>
        <w:tblCellMar>
          <w:top w:w="0" w:type="dxa"/>
          <w:left w:w="0" w:type="dxa"/>
          <w:bottom w:w="0" w:type="dxa"/>
          <w:right w:w="0" w:type="dxa"/>
        </w:tblCellMar>
      </w:tblPr>
      <w:tblGrid>
        <w:gridCol w:w="2146"/>
        <w:gridCol w:w="109"/>
        <w:gridCol w:w="409"/>
        <w:gridCol w:w="1316"/>
        <w:gridCol w:w="109"/>
        <w:gridCol w:w="409"/>
        <w:gridCol w:w="1316"/>
        <w:gridCol w:w="109"/>
        <w:gridCol w:w="374"/>
        <w:gridCol w:w="139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62710" cy="175260"/>
                      <wp:effectExtent l="0" t="0" r="0" b="0"/>
                      <wp:wrapNone/>
                      <wp:docPr id="176" name="Frame176"/>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59715" cy="175260"/>
                      <wp:effectExtent l="0" t="0" r="0" b="0"/>
                      <wp:wrapNone/>
                      <wp:docPr id="178" name="Frame178"/>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835660" cy="175260"/>
                      <wp:effectExtent l="0" t="0" r="0" b="0"/>
                      <wp:wrapNone/>
                      <wp:docPr id="179" name="Frame179"/>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80"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59715" cy="175260"/>
                      <wp:effectExtent l="0" t="0" r="0" b="0"/>
                      <wp:wrapNone/>
                      <wp:docPr id="181" name="Frame181"/>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835660" cy="175260"/>
                      <wp:effectExtent l="0" t="0" r="0" b="0"/>
                      <wp:wrapNone/>
                      <wp:docPr id="182" name="Frame182"/>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3"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37490" cy="175260"/>
                      <wp:effectExtent l="0" t="0" r="0" b="0"/>
                      <wp:wrapNone/>
                      <wp:docPr id="184" name="Frame184"/>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886460" cy="175260"/>
                      <wp:effectExtent l="0" t="0" r="0" b="0"/>
                      <wp:wrapNone/>
                      <wp:docPr id="185" name="Frame185"/>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2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Payments</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40,141</w:t>
            </w:r>
          </w:p>
        </w:tc>
        <w:tc>
          <w:tcPr>
            <w:tcW w:w="109" w:type="dxa"/>
            <w:tcBorders/>
            <w:vAlign w:val="center"/>
          </w:tcPr>
          <w:p>
            <w:pPr>
              <w:pStyle w:val="TableContents"/>
              <w:bidi w:val="0"/>
              <w:spacing w:before="0" w:after="0"/>
              <w:ind w:left="0" w:right="0" w:hanging="0"/>
              <w:jc w:val="righ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40,190</w:t>
            </w:r>
          </w:p>
        </w:tc>
        <w:tc>
          <w:tcPr>
            <w:tcW w:w="109"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27,138</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4,826</w:t>
            </w:r>
          </w:p>
        </w:tc>
        <w:tc>
          <w:tcPr>
            <w:tcW w:w="109" w:type="dxa"/>
            <w:tcBorders/>
            <w:shd w:fill="CCEEFF" w:val="clear"/>
            <w:vAlign w:val="center"/>
          </w:tcPr>
          <w:p>
            <w:pPr>
              <w:pStyle w:val="TableContents"/>
              <w:bidi w:val="0"/>
              <w:spacing w:before="0" w:after="0"/>
              <w:ind w:left="0" w:right="0" w:hanging="0"/>
              <w:jc w:val="righ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5,001</w:t>
            </w:r>
          </w:p>
        </w:tc>
        <w:tc>
          <w:tcPr>
            <w:tcW w:w="109" w:type="dxa"/>
            <w:tcBorders/>
            <w:shd w:fill="CCEEFF" w:val="clear"/>
            <w:vAlign w:val="center"/>
          </w:tcPr>
          <w:p>
            <w:pPr>
              <w:pStyle w:val="TableContents"/>
              <w:bidi w:val="0"/>
              <w:spacing w:before="0" w:after="0"/>
              <w:ind w:left="0" w:right="0" w:hanging="0"/>
              <w:jc w:val="right"/>
              <w:rPr/>
            </w:pPr>
            <w:r>
              <w:rPr/>
              <w:t>​</w:t>
            </w:r>
          </w:p>
        </w:tc>
        <w:tc>
          <w:tcPr>
            <w:tcW w:w="3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2,988</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Income</w:t>
            </w:r>
          </w:p>
        </w:tc>
        <w:tc>
          <w:tcPr>
            <w:tcW w:w="109" w:type="dxa"/>
            <w:tcBorders/>
            <w:vAlign w:val="center"/>
          </w:tcPr>
          <w:p>
            <w:pPr>
              <w:pStyle w:val="TableContents"/>
              <w:bidi w:val="0"/>
              <w:spacing w:before="0" w:after="0"/>
              <w:ind w:left="0" w:right="0" w:hanging="0"/>
              <w:jc w:val="left"/>
              <w:rPr/>
            </w:pPr>
            <w:r>
              <w:rPr/>
              <w:t>​</w:t>
            </w:r>
          </w:p>
        </w:tc>
        <w:tc>
          <w:tcPr>
            <w:tcW w:w="4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44,967</w:t>
            </w:r>
          </w:p>
        </w:tc>
        <w:tc>
          <w:tcPr>
            <w:tcW w:w="109" w:type="dxa"/>
            <w:tcBorders/>
            <w:vAlign w:val="center"/>
          </w:tcPr>
          <w:p>
            <w:pPr>
              <w:pStyle w:val="TableContents"/>
              <w:bidi w:val="0"/>
              <w:spacing w:before="0" w:after="0"/>
              <w:ind w:left="0" w:right="0" w:hanging="0"/>
              <w:jc w:val="right"/>
              <w:rPr/>
            </w:pPr>
            <w:r>
              <w:rPr/>
              <w:t>​</w:t>
            </w:r>
          </w:p>
        </w:tc>
        <w:tc>
          <w:tcPr>
            <w:tcW w:w="4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45,191</w:t>
            </w:r>
          </w:p>
        </w:tc>
        <w:tc>
          <w:tcPr>
            <w:tcW w:w="109" w:type="dxa"/>
            <w:tcBorders/>
            <w:vAlign w:val="center"/>
          </w:tcPr>
          <w:p>
            <w:pPr>
              <w:pStyle w:val="TableContents"/>
              <w:bidi w:val="0"/>
              <w:spacing w:before="0" w:after="0"/>
              <w:ind w:left="0" w:right="0" w:hanging="0"/>
              <w:jc w:val="right"/>
              <w:rPr/>
            </w:pPr>
            <w:r>
              <w:rPr/>
              <w:t>​</w:t>
            </w:r>
          </w:p>
        </w:tc>
        <w:tc>
          <w:tcPr>
            <w:tcW w:w="3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30,126</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Minimum Future Rental Receipts.</w:t>
      </w:r>
      <w:r>
        <w:rPr>
          <w:rFonts w:ascii="Times New Roman;Times;serif" w:hAnsi="Times New Roman;Times;serif"/>
          <w:sz w:val="20"/>
        </w:rPr>
        <w:t xml:space="preserve"> Minimum future rental receipts under non-cancelable operating leases, excluding percentage rent and other lease payments that are not fixed and determinable, having remaining terms in excess of one year subsequent to December 31, 2023, are summarized as follows (in thousands). Certain of our operating leases have options to extend, which option periods are not included within minimum future rental receipts.   </w:t>
      </w:r>
    </w:p>
    <w:p>
      <w:pPr>
        <w:pStyle w:val="TextBody"/>
        <w:bidi w:val="0"/>
        <w:spacing w:before="0" w:after="0"/>
        <w:ind w:left="0" w:right="0" w:hanging="0"/>
        <w:jc w:val="left"/>
        <w:rPr/>
      </w:pPr>
      <w:r>
        <w:rPr/>
        <w:t>​</w:t>
      </w:r>
    </w:p>
    <w:tbl>
      <w:tblPr>
        <w:tblW w:w="4304" w:type="dxa"/>
        <w:jc w:val="left"/>
        <w:tblInd w:w="0" w:type="dxa"/>
        <w:tblLayout w:type="fixed"/>
        <w:tblCellMar>
          <w:top w:w="0" w:type="dxa"/>
          <w:left w:w="0" w:type="dxa"/>
          <w:bottom w:w="0" w:type="dxa"/>
          <w:right w:w="0" w:type="dxa"/>
        </w:tblCellMar>
      </w:tblPr>
      <w:tblGrid>
        <w:gridCol w:w="2881"/>
        <w:gridCol w:w="326"/>
        <w:gridCol w:w="211"/>
        <w:gridCol w:w="886"/>
      </w:tblGrid>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62610" cy="175260"/>
                      <wp:effectExtent l="0" t="0" r="0" b="0"/>
                      <wp:wrapNone/>
                      <wp:docPr id="186" name="Frame18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Amounts </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38,586</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37,354</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36,510</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32,840</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29,453</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 (Cumulative)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95,794</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270,537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2023 Activity.</w:t>
      </w:r>
      <w:r>
        <w:rPr>
          <w:rFonts w:ascii="Times New Roman;Times;serif" w:hAnsi="Times New Roman;Times;serif"/>
          <w:sz w:val="20"/>
        </w:rPr>
        <w:t xml:space="preserve"> During the year ended December 31, 2023, the Company acquired 14 properties for a combined purchase price of $82.9 million, or a total cost of $84.2 million including capitalized acquisition costs. Of the total acquisition cost, $21.5 million was allocated to land, $55.2 million was allocated to buildings and improvements, $8.4 million was allocated to intangible assets pertaining to the in-place lease value, leasing fees, and above market lease value, and $0.9 million was allocated to intangible liabilities for the below market lease value. The weighted average amortization period for the intangible assets and liabilities was 9.6 years at acquisition.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2023, the Company sold 24 properties for an aggregate sales price of $108.3 million, generating aggregate gains on sale of $9.3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2022 Activity.</w:t>
      </w:r>
      <w:r>
        <w:rPr>
          <w:rFonts w:ascii="Times New Roman;Times;serif" w:hAnsi="Times New Roman;Times;serif"/>
          <w:sz w:val="20"/>
        </w:rPr>
        <w:t xml:space="preserve"> During the year ended December 31, 2022, the Company acquired 51 properties for a combined purchase price of $187.4 million, or a total cost of $189.0 million including capitalized acquisition costs. The properties are located in 21 states, leased to 18 different tenants, and had a weighted average remaining lease term of 8.7 years at the time of acquisition. Of the total acquisition cost, $44.5 million was allocated to land, $123.0 million was allocated to buildings and improvements, $23.7 million was allocated to intangible assets pertaining to the in-place lease value, leasing fees, and above market lease value, and $2.2 million was allocated to intangible liabilities for the below market lease value. The weighted average amortization period for the intangible assets and liabilities was 8.9 years at acquisition.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year ended December 31, 2022, the Company sold 16 properties for an aggregate sales price of $154.6 million, generating aggregate gains on sale of $33.8 million.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2021 Activity.</w:t>
      </w:r>
      <w:r>
        <w:rPr>
          <w:rFonts w:ascii="Times New Roman;Times;serif" w:hAnsi="Times New Roman;Times;serif"/>
          <w:sz w:val="20"/>
        </w:rPr>
        <w:t xml:space="preserve"> During the year ended December 31, 2021, the Company acquired 68 properties for a combined purchase price of $260.3 million, or a total cost of $262.4 million including capitalized acquisition costs. Of the total acquisition cost, $100.8 million was allocated to land, $132.6 million was allocated to buildings and improvements, $31.8 million was allocated to intangible assets pertaining to the in-place lease value, leasing fees, and above market lease value, and $2.8 million was allocated to intangible liabilities for the below market lease value. The weighted average amortization period for the intangible assets and liabilities was 8.6 years at acquisition.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year ended December 31, 2021, the Company sold three properties for an aggregate sales price of $28.3 million, generating aggregate gains on sale of $9.7 million. </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782" w:name="Tc_X8v9WtzbREi8X9VyrrOA2w_7_12"/>
      <w:bookmarkStart w:id="783" w:name="Tc_YZiy5teqMkmnkKXbod8whQ_7_0"/>
      <w:bookmarkStart w:id="784" w:name="Tc_bx2ohQ7MBUOugLpvYBlVCg_6_0"/>
      <w:bookmarkStart w:id="785" w:name="Tc_huIrHbRuQUmrlPZAxU1U5Q_5_12"/>
      <w:bookmarkStart w:id="786" w:name="Tc_gLStmKJvj0OU-z8HB3LYpQ_5_9"/>
      <w:bookmarkStart w:id="787" w:name="Tc_IFKD8fSbbkO3cWHD916v0Q_5_6"/>
      <w:bookmarkStart w:id="788" w:name="Tc_i0ndyPRk0EaAaopt_UpDeA_4_4"/>
      <w:bookmarkStart w:id="789" w:name="Tc_vVpheD-nykybVsDSFwiGlA_4_2"/>
      <w:bookmarkStart w:id="790" w:name="Tc_erZdPxk360qlgUURPMzf_Q_4_0"/>
      <w:bookmarkStart w:id="791" w:name="Tc_Er7p9WDMc0ee975pxWoRMg_3_4"/>
      <w:bookmarkStart w:id="792" w:name="Tc_jHZ5u92F-UWMK1pouUWBNg_3_2"/>
      <w:bookmarkStart w:id="793" w:name="Tc_4afFrwjeNEOSrImyhU1uYw_3_0"/>
      <w:bookmarkStart w:id="794" w:name="Tc_Ea0ZCaOHp0iRu-DNavkGPg_2_12"/>
      <w:bookmarkStart w:id="795" w:name="Tc_qajeVzap3UaqrqCm36J2SA_2_9"/>
      <w:bookmarkStart w:id="796" w:name="Tc_8Yi8iRJOr0icpZAYETQ_6g_2_6"/>
      <w:bookmarkStart w:id="797" w:name="Tc_RvVd4jlUu06yPFRfPrgSBA_2_4"/>
      <w:bookmarkStart w:id="798" w:name="Tc_IDxTQ2rwwUaQ3O04roBKtA_2_2"/>
      <w:bookmarkStart w:id="799" w:name="Tc_x_LAmCstO0eBmOTYuxMJzA_2_0"/>
      <w:bookmarkStart w:id="800" w:name="Tc_IJSn9YnBCkOajnydfFC76Q_1_15"/>
      <w:bookmarkStart w:id="801" w:name="Tc_JWNGpORDhkKVkrLZz9LipA_1_12"/>
      <w:bookmarkStart w:id="802" w:name="Tc_QV4f18izDU6DpROk4ku_qg_1_9"/>
      <w:bookmarkStart w:id="803" w:name="Tc_AiOy9wAf60aNErN1XEMdQA_1_6"/>
      <w:bookmarkStart w:id="804" w:name="Tc_inQtqLGj8kWGStnzvQ4ZyQ_1_4"/>
      <w:bookmarkStart w:id="805" w:name="Tc_rfIrh7tDJkmbJ6JXpfrY9Q_1_2"/>
      <w:bookmarkStart w:id="806" w:name="Tc_u5dwu1vJvUuryt91Qk3PQg_1_0"/>
      <w:bookmarkStart w:id="807" w:name="_80d8ac6e_8adf_47a1_b423_10d918fea332"/>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r>
        <w:rPr>
          <w:rFonts w:ascii="Times New Roman;Times;serif" w:hAnsi="Times New Roman;Times;serif"/>
          <w:b/>
          <w:sz w:val="20"/>
        </w:rPr>
        <w:t>NOTE 4.      COMMERCIAL LOANS AND INVESTMENTS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2023 Activity</w:t>
      </w:r>
      <w:r>
        <w:rPr>
          <w:rFonts w:ascii="Times New Roman;Times;serif" w:hAnsi="Times New Roman;Times;serif"/>
          <w:sz w:val="20"/>
        </w:rPr>
        <w:t xml:space="preserve">. On July 25, 2023, the Company originated a construction loan secured by the property and improvements to be constructed thereon for a 33-acre Wawa-anchored land development project in Greenwood, Indiana for $7.8 million. The construction loan matures on July 25, 2025, bears a fixed interest rate of 8.50% that increases to 9.25% on July 25, 2024, and requires interest-only payments prior to maturity. Funding of the loan will occur as the borrower completes the underlying construction. As of December 31, 2023, the Company has disbursed $7.0 million to the borrower. </w:t>
      </w:r>
    </w:p>
    <w:p>
      <w:pPr>
        <w:pStyle w:val="TextBody"/>
        <w:bidi w:val="0"/>
        <w:spacing w:lineRule="auto" w:line="256"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30, 2023, the Company originated a construction loan secured by the property and improvements to be constructed thereon for a 5-acre land development project anchored by Wawa and McDonalds in Antioch, Tennessee for $6.8 million with the same borrower as the construction loan secured by the 33-acre Wawa-anchored land development project in Greenwood, Indiana. The construction loan matures on October 30, 2025, bears a fixed interest rate of 11.00% that decreases to 9.50% on October 30, 2024, and requires interest-only payments prior to maturity. Funding of the loan will occur as the borrower completes the underlying construction. As of December 31, 2023, the Company has disbursed $4.6 million to the borrower.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15, 2023, the Company originated a $24.0 million first mortgage secured by a portfolio of 41 assets and related improvements (the “Mortgage Note”). The Mortgage Note matures on November 15, 2026, has two one-year extension options, bears a fixed interest rate of 8.75% at the time of acquisition, will increase by 0.25% annually during the initial term, and requires interest-only payments prior to maturity.</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commercial loans and investments were comprised of the following at December 31, 2023 (in thousands):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230"/>
        <w:gridCol w:w="326"/>
        <w:gridCol w:w="1085"/>
        <w:gridCol w:w="326"/>
        <w:gridCol w:w="969"/>
        <w:gridCol w:w="326"/>
        <w:gridCol w:w="269"/>
        <w:gridCol w:w="825"/>
        <w:gridCol w:w="326"/>
        <w:gridCol w:w="266"/>
        <w:gridCol w:w="818"/>
        <w:gridCol w:w="326"/>
        <w:gridCol w:w="230"/>
        <w:gridCol w:w="707"/>
        <w:gridCol w:w="326"/>
        <w:gridCol w:w="850"/>
      </w:tblGrid>
      <w:tr>
        <w:trPr/>
        <w:tc>
          <w:tcPr>
            <w:tcW w:w="22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88975" cy="175260"/>
                      <wp:effectExtent l="0" t="0" r="0" b="0"/>
                      <wp:wrapNone/>
                      <wp:docPr id="187" name="Frame187"/>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15315" cy="175260"/>
                      <wp:effectExtent l="0" t="0" r="0" b="0"/>
                      <wp:wrapNone/>
                      <wp:docPr id="189" name="Frame189"/>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70815" cy="175260"/>
                      <wp:effectExtent l="0" t="0" r="0" b="0"/>
                      <wp:wrapNone/>
                      <wp:docPr id="191" name="Frame191"/>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23875" cy="175260"/>
                      <wp:effectExtent l="0" t="0" r="0" b="0"/>
                      <wp:wrapNone/>
                      <wp:docPr id="192" name="Frame192"/>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68910" cy="175260"/>
                      <wp:effectExtent l="0" t="0" r="0" b="0"/>
                      <wp:wrapNone/>
                      <wp:docPr id="194" name="Frame19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19430" cy="175260"/>
                      <wp:effectExtent l="0" t="0" r="0" b="0"/>
                      <wp:wrapNone/>
                      <wp:docPr id="195" name="Frame195"/>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46050" cy="175260"/>
                      <wp:effectExtent l="0" t="0" r="0" b="0"/>
                      <wp:wrapNone/>
                      <wp:docPr id="197" name="Frame19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48945" cy="175260"/>
                      <wp:effectExtent l="0" t="0" r="0" b="0"/>
                      <wp:wrapNone/>
                      <wp:docPr id="198" name="Frame198"/>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39750" cy="175260"/>
                      <wp:effectExtent l="0" t="0" r="0" b="0"/>
                      <wp:wrapNone/>
                      <wp:docPr id="200" name="Frame200"/>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26" w:type="dxa"/>
            <w:tcBorders/>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26" w:type="dxa"/>
            <w:tcBorders/>
            <w:vAlign w:val="center"/>
          </w:tcPr>
          <w:p>
            <w:pPr>
              <w:pStyle w:val="TableContents"/>
              <w:bidi w:val="0"/>
              <w:spacing w:before="0" w:after="0"/>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26" w:type="dxa"/>
            <w:tcBorders/>
            <w:vAlign w:val="center"/>
          </w:tcPr>
          <w:p>
            <w:pPr>
              <w:pStyle w:val="TableContents"/>
              <w:bidi w:val="0"/>
              <w:spacing w:before="0" w:after="0"/>
              <w:ind w:left="0" w:right="0" w:hanging="0"/>
              <w:jc w:val="left"/>
              <w:rPr/>
            </w:pPr>
            <w:r>
              <w:rPr/>
              <w:t>    </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26" w:type="dxa"/>
            <w:tcBorders/>
            <w:vAlign w:val="center"/>
          </w:tcPr>
          <w:p>
            <w:pPr>
              <w:pStyle w:val="TableContents"/>
              <w:bidi w:val="0"/>
              <w:spacing w:before="0" w:after="0"/>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26" w:type="dxa"/>
            <w:tcBorders/>
            <w:vAlign w:val="center"/>
          </w:tcPr>
          <w:p>
            <w:pPr>
              <w:pStyle w:val="TableContents"/>
              <w:bidi w:val="0"/>
              <w:spacing w:before="0" w:after="0"/>
              <w:ind w:left="0" w:right="0" w:hanging="0"/>
              <w:jc w:val="left"/>
              <w:rPr/>
            </w:pPr>
            <w:r>
              <w:rPr/>
              <w:t>    </w:t>
            </w:r>
          </w:p>
        </w:tc>
        <w:tc>
          <w:tcPr>
            <w:tcW w:w="9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26" w:type="dxa"/>
            <w:tcBorders/>
            <w:vAlign w:val="center"/>
          </w:tcPr>
          <w:p>
            <w:pPr>
              <w:pStyle w:val="TableContents"/>
              <w:bidi w:val="0"/>
              <w:spacing w:before="0" w:after="0"/>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223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Greenwood, IN</w:t>
            </w:r>
          </w:p>
        </w:tc>
        <w:tc>
          <w:tcPr>
            <w:tcW w:w="326"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2023</w:t>
            </w:r>
          </w:p>
        </w:tc>
        <w:tc>
          <w:tcPr>
            <w:tcW w:w="32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2025</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7,800</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7,014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6,984</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8.50%</w:t>
            </w:r>
          </w:p>
        </w:tc>
      </w:tr>
      <w:tr>
        <w:trPr/>
        <w:tc>
          <w:tcPr>
            <w:tcW w:w="2230"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Antioch, TN</w:t>
            </w:r>
          </w:p>
        </w:tc>
        <w:tc>
          <w:tcPr>
            <w:tcW w:w="326"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2023</w:t>
            </w:r>
          </w:p>
        </w:tc>
        <w:tc>
          <w:tcPr>
            <w:tcW w:w="32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2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8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6,825</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4,615</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4,568</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r>
      <w:tr>
        <w:trPr/>
        <w:tc>
          <w:tcPr>
            <w:tcW w:w="223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Portfolio</w:t>
            </w:r>
          </w:p>
        </w:tc>
        <w:tc>
          <w:tcPr>
            <w:tcW w:w="326"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2023</w:t>
            </w:r>
          </w:p>
        </w:tc>
        <w:tc>
          <w:tcPr>
            <w:tcW w:w="32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2026</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24,000</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24,000</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23,885</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8.75%</w:t>
            </w:r>
          </w:p>
        </w:tc>
      </w:tr>
      <w:tr>
        <w:trPr/>
        <w:tc>
          <w:tcPr>
            <w:tcW w:w="22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38,625</w:t>
            </w:r>
          </w:p>
        </w:tc>
        <w:tc>
          <w:tcPr>
            <w:tcW w:w="326"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35,629</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35,437</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center"/>
              <w:rPr/>
            </w:pPr>
            <w:r>
              <w:rPr/>
              <w:t>​</w:t>
            </w:r>
          </w:p>
        </w:tc>
      </w:tr>
      <w:tr>
        <w:trPr/>
        <w:tc>
          <w:tcPr>
            <w:tcW w:w="223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26"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82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left"/>
              <w:rPr/>
            </w:pPr>
            <w:r>
              <w:rPr/>
              <w:t>​</w:t>
            </w:r>
          </w:p>
        </w:tc>
      </w:tr>
      <w:tr>
        <w:trPr/>
        <w:tc>
          <w:tcPr>
            <w:tcW w:w="2230"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26"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8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35,080</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32"/>
        <w:jc w:val="both"/>
        <w:rPr>
          <w:rFonts w:ascii="Times New Roman;Times;serif" w:hAnsi="Times New Roman;Times;serif"/>
          <w:sz w:val="20"/>
        </w:rPr>
      </w:pPr>
      <w:bookmarkStart w:id="808" w:name="Tc_JUhZtI1by0GekhXHNS1nGA_6_6"/>
      <w:bookmarkStart w:id="809" w:name="Tc_vxd1t6hVR02DGFW1hJTljw_6_5"/>
      <w:bookmarkStart w:id="810" w:name="Tc_7w-0eKKn50uCLPyv1Lp7cw_6_2"/>
      <w:bookmarkStart w:id="811" w:name="Tc_cU8WPLsNN0KUjhzI6dtRbQ_6_0"/>
      <w:bookmarkStart w:id="812" w:name="Tc_0FnIjjMnxkyH8XpZZaQtGQ_5_6"/>
      <w:bookmarkStart w:id="813" w:name="Tc_J91vzmAn50uGlqH8fng36A_5_0"/>
      <w:bookmarkStart w:id="814" w:name="Tc_kAfkP1nV7UG0CWeY43jv4A_4_6"/>
      <w:bookmarkStart w:id="815" w:name="Tc_3i1kSbtl3kiCgO5G38urRQ_4_0"/>
      <w:bookmarkStart w:id="816" w:name="Tc_TsInNO1FeU-k4rw3YznffQ_3_6"/>
      <w:bookmarkStart w:id="817" w:name="Tc_wDhyCXVy4E2EUj2M1waWQQ_3_5"/>
      <w:bookmarkStart w:id="818" w:name="Tc_PcHgwHonr0mfv_I3gLz-Qg_3_2"/>
      <w:bookmarkStart w:id="819" w:name="Tc_Nqtqmzrtg02QOWtWzcaYKQ_3_0"/>
      <w:bookmarkStart w:id="820" w:name="Tc_ctdwm_AQTEC4qadvy7Pktg_2_5"/>
      <w:bookmarkStart w:id="821" w:name="Tc_XMfIiG44vUmT1AWE75_Bqg_2_2"/>
      <w:bookmarkStart w:id="822" w:name="Tc_y4qh9Fh7n0GZiNlAycI_Hw_1_2"/>
      <w:bookmarkStart w:id="823" w:name="_4f0f6f6d_88b0_43a7_9a55_ff61ce84d556"/>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r>
        <w:rPr>
          <w:rFonts w:ascii="Times New Roman;Times;serif" w:hAnsi="Times New Roman;Times;serif"/>
          <w:sz w:val="20"/>
        </w:rPr>
        <w:t>The carrying value of the commercial loans and investments at December 31, 2023 consisted of the following (in thousands). There were no commercial loans and investments as of December 31, 2022:</w:t>
      </w:r>
    </w:p>
    <w:p>
      <w:pPr>
        <w:pStyle w:val="TextBody"/>
        <w:bidi w:val="0"/>
        <w:spacing w:before="0" w:after="240"/>
        <w:ind w:left="0" w:right="0" w:firstLine="432"/>
        <w:jc w:val="both"/>
        <w:rPr/>
      </w:pPr>
      <w:r>
        <w:rPr/>
        <w:t>​</w:t>
      </w:r>
    </w:p>
    <w:tbl>
      <w:tblPr>
        <w:tblW w:w="7643" w:type="dxa"/>
        <w:jc w:val="left"/>
        <w:tblInd w:w="0" w:type="dxa"/>
        <w:tblLayout w:type="fixed"/>
        <w:tblCellMar>
          <w:top w:w="0" w:type="dxa"/>
          <w:left w:w="0" w:type="dxa"/>
          <w:bottom w:w="0" w:type="dxa"/>
          <w:right w:w="0" w:type="dxa"/>
        </w:tblCellMar>
      </w:tblPr>
      <w:tblGrid>
        <w:gridCol w:w="3496"/>
        <w:gridCol w:w="326"/>
        <w:gridCol w:w="409"/>
        <w:gridCol w:w="1316"/>
        <w:gridCol w:w="326"/>
        <w:gridCol w:w="564"/>
        <w:gridCol w:w="1206"/>
      </w:tblGrid>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1206" w:type="dxa"/>
            <w:tcBorders/>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35,629</w:t>
            </w:r>
          </w:p>
        </w:tc>
        <w:tc>
          <w:tcPr>
            <w:tcW w:w="326"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shd w:fill="CCEEFF" w:val="clear"/>
            <w:vAlign w:val="center"/>
          </w:tcPr>
          <w:p>
            <w:pPr>
              <w:pStyle w:val="TableContents"/>
              <w:bidi w:val="0"/>
              <w:spacing w:before="0" w:after="0"/>
              <w:ind w:left="0" w:right="0" w:hanging="0"/>
              <w:jc w:val="righ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Unaccreted Origination Fees</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1206" w:type="dxa"/>
            <w:tcBorders/>
            <w:vAlign w:val="center"/>
          </w:tcPr>
          <w:p>
            <w:pPr>
              <w:pStyle w:val="TableContents"/>
              <w:bidi w:val="0"/>
              <w:spacing w:before="0" w:after="0"/>
              <w:ind w:left="0" w:right="0" w:hanging="0"/>
              <w:jc w:val="righ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CECL Reserve</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26" w:type="dxa"/>
            <w:tcBorders/>
            <w:shd w:fill="CCEEFF" w:val="clear"/>
            <w:vAlign w:val="center"/>
          </w:tcPr>
          <w:p>
            <w:pPr>
              <w:pStyle w:val="TableContents"/>
              <w:bidi w:val="0"/>
              <w:spacing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Commercial Loans and Investments</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35,080</w:t>
            </w:r>
          </w:p>
        </w:tc>
        <w:tc>
          <w:tcPr>
            <w:tcW w:w="326" w:type="dxa"/>
            <w:tcBorders/>
            <w:vAlign w:val="center"/>
          </w:tcPr>
          <w:p>
            <w:pPr>
              <w:pStyle w:val="TableContents"/>
              <w:bidi w:val="0"/>
              <w:spacing w:before="0" w:after="0"/>
              <w:ind w:left="0" w:right="0" w:hanging="0"/>
              <w:jc w:val="left"/>
              <w:rPr/>
            </w:pPr>
            <w:r>
              <w:rPr/>
              <w:t>​</w:t>
            </w:r>
          </w:p>
        </w:tc>
        <w:tc>
          <w:tcPr>
            <w:tcW w:w="5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824" w:name="Tc_sdq5sxz540eqm-YcBir7hQ_9_12"/>
      <w:bookmarkStart w:id="825" w:name="Tc_L1_zee3sgE2Eh66n4SyZfg_9_11"/>
      <w:bookmarkStart w:id="826" w:name="Tc_RebXF82-RkC3efRmt2uxfA_9_8"/>
      <w:bookmarkStart w:id="827" w:name="Tc_mxXoeo5QVUebphlRJxwCBA_9_6"/>
      <w:bookmarkStart w:id="828" w:name="Tc_xzmbomGJgk2HVqDcXfoJKg_9_5"/>
      <w:bookmarkStart w:id="829" w:name="Tc_o5xRqtDDV0W_wQVuoixc8Q_9_2"/>
      <w:bookmarkStart w:id="830" w:name="Tc_r6uWatlvj0itK5CQkqqBYA_9_0"/>
      <w:bookmarkStart w:id="831" w:name="Tc__CssgGG9_UOS81Bg9PbZig_8_12"/>
      <w:bookmarkStart w:id="832" w:name="Tc_3v9dDmOayEebfhMlaJ6T1A_8_11"/>
      <w:bookmarkStart w:id="833" w:name="Tc_H82sYbIu4k64AR6GPbk5Bg_8_8"/>
      <w:bookmarkStart w:id="834" w:name="Tc_iOiV4x0cvk-JLJjhsdGliA_8_6"/>
      <w:bookmarkStart w:id="835" w:name="Tc_xpG_8gBG6kOANTrYBssOSA_8_5"/>
      <w:bookmarkStart w:id="836" w:name="Tc_jaXgqAdcE0uoEYYFjYJLfw_8_2"/>
      <w:bookmarkStart w:id="837" w:name="Tc_A4WnJugBi06BMjWYsz4w3Q_8_0"/>
      <w:bookmarkStart w:id="838" w:name="Tc_H-9DD6aJk0Ov73fIC2ucgw_7_0"/>
      <w:bookmarkStart w:id="839" w:name="Tc_5F9l15OTmkqHp2_9CXgFFg_6_12"/>
      <w:bookmarkStart w:id="840" w:name="Tc_QunMY7mWvkikUEf_3R-Fkw_6_11"/>
      <w:bookmarkStart w:id="841" w:name="Tc_kGVbbjCu7kayI5CnGZwRdQ_6_8"/>
      <w:bookmarkStart w:id="842" w:name="Tc_q6OA5eS26kW5TuuIccsAhg_6_6"/>
      <w:bookmarkStart w:id="843" w:name="Tc_UNIFTvRhNkuew6XpB3keqg_6_5"/>
      <w:bookmarkStart w:id="844" w:name="Tc_RMHFldT-r02qTkrmimFrcA_6_2"/>
      <w:bookmarkStart w:id="845" w:name="Tc_EEejHaeJP0u_5MxiLm8Yzw_6_0"/>
      <w:bookmarkStart w:id="846" w:name="Tc_khAvsVCazUOUzBzuw-eKAg_5_12"/>
      <w:bookmarkStart w:id="847" w:name="Tc_msAmTNkqH0esVwkt6uSjCg_5_11"/>
      <w:bookmarkStart w:id="848" w:name="Tc_owdo8VysnUuXDdR5wiJjXQ_5_8"/>
      <w:bookmarkStart w:id="849" w:name="Tc_qilaWxB11kqzM7XzCc-QLw_5_6"/>
      <w:bookmarkStart w:id="850" w:name="Tc_aR2_CYeHtkinwmviUAXcvQ_5_5"/>
      <w:bookmarkStart w:id="851" w:name="Tc_2zpJvUd-m0m8EY5dF5rO2w_5_2"/>
      <w:bookmarkStart w:id="852" w:name="Tc_yoPK0A5jbkS0sSMonau4oQ_5_0"/>
      <w:bookmarkStart w:id="853" w:name="Tc_0OvoGLW7U02vq2m-dynzig_4_12"/>
      <w:bookmarkStart w:id="854" w:name="Tc_6MUjKFq580qZGDsZQJ7tnQ_4_11"/>
      <w:bookmarkStart w:id="855" w:name="Tc_F5lJx7NTJUCCiYzSQKbnTg_4_8"/>
      <w:bookmarkStart w:id="856" w:name="Tc_rb3uSRK5QkmpC1OoEQenKg_4_6"/>
      <w:bookmarkStart w:id="857" w:name="Tc_Ivrs8ZsOZkKi4viDFRS7Gw_4_5"/>
      <w:bookmarkStart w:id="858" w:name="Tc_muQqZh1muUu6_hIrR1ZSow_4_2"/>
      <w:bookmarkStart w:id="859" w:name="Tc_lzqwJE6tZUizlv4lz7-r4w_4_0"/>
      <w:bookmarkStart w:id="860" w:name="Tc_NZUNJupuckapdQPigJYTRg_3_0"/>
      <w:bookmarkStart w:id="861" w:name="Tc_yQnaAHIywEuWrSSXbqyJvQ_2_11"/>
      <w:bookmarkStart w:id="862" w:name="Tc_6187W7V7okWSeJxNXuWtSA_2_8"/>
      <w:bookmarkStart w:id="863" w:name="Tc_LkGlmw95a0qi4g1OcJXhFA_2_5"/>
      <w:bookmarkStart w:id="864" w:name="Tc_GTVW7pLqdEq8eE17iBgHdQ_2_2"/>
      <w:bookmarkStart w:id="865" w:name="Tc_ksrIYfQiM0axvjgkqE2sKA_1_5"/>
      <w:bookmarkStart w:id="866" w:name="_5d02db74_28ac_46b8_a644_bd4badea5501"/>
      <w:bookmarkStart w:id="867" w:name="Tc_zs8RoR0XTkOX00p6z8cX9Q_6_11"/>
      <w:bookmarkStart w:id="868" w:name="Tc_aiyr3jkhR0CrvWUTjjJeXg_6_8"/>
      <w:bookmarkStart w:id="869" w:name="Tc_BigDtsrTxkaR0LR7PC7v5A_6_5"/>
      <w:bookmarkStart w:id="870" w:name="Tc_LvK7Fj3MokyMt7DMQmNtSg_6_2"/>
      <w:bookmarkStart w:id="871" w:name="Tc_9aFWabtp8kGscDMx_NjQDQ_6_0"/>
      <w:bookmarkStart w:id="872" w:name="Tc_NXKUdn8KAkq-boEwd-5nTA_5_12"/>
      <w:bookmarkStart w:id="873" w:name="Tc_Y-oRUBU5gUeImbnI0SRq8g_5_11"/>
      <w:bookmarkStart w:id="874" w:name="Tc_gq2RSu0T8kiM8jPRGixSIw_5_9"/>
      <w:bookmarkStart w:id="875" w:name="Tc_dfj4mKPNJ06XkGke9_v6iQ_5_8"/>
      <w:bookmarkStart w:id="876" w:name="Tc_CkUENooHi0-36Por3iAKew_5_5"/>
      <w:bookmarkStart w:id="877" w:name="Tc_hRwt_CuwWUuXzcGstbgTBg_5_2"/>
      <w:bookmarkStart w:id="878" w:name="Tc_jcoKv9_CPU6U_z0iiNlOCQ_5_0"/>
      <w:bookmarkStart w:id="879" w:name="Tc_eTD_EXlzFkO6r4jSWjP9eA_4_11"/>
      <w:bookmarkStart w:id="880" w:name="Tc_Ck-ZkhgZBUW1qT30j96OLQ_4_8"/>
      <w:bookmarkStart w:id="881" w:name="Tc_n7n0j0XNQE6wTlYU9o4USA_4_5"/>
      <w:bookmarkStart w:id="882" w:name="Tc_M1tbkr6GnUy_VP7lZqTMqw_4_2"/>
      <w:bookmarkStart w:id="883" w:name="Tc_iHHj-qjcL0ih_mRFfJY0tg_4_0"/>
      <w:bookmarkStart w:id="884" w:name="Tc_BHuiY-j4-UKv18CO2rk7Cg_3_11"/>
      <w:bookmarkStart w:id="885" w:name="Tc_L4ksNOWbnkeG4B7dzdVFow_3_8"/>
      <w:bookmarkStart w:id="886" w:name="Tc_eHyUV7QZXESW2bp_n2jw0A_3_5"/>
      <w:bookmarkStart w:id="887" w:name="Tc_xIfbt1s100-3nOcRp2HT-Q_3_2"/>
      <w:bookmarkStart w:id="888" w:name="Tc_MXz06kIbekmopMqKg6vf9A_3_0"/>
      <w:bookmarkStart w:id="889" w:name="Tc_-jdjosmsmEi_3m60TmCD9A_2_11"/>
      <w:bookmarkStart w:id="890" w:name="Tc_d00yrkAaLEmntX5dgwMbzQ_2_8"/>
      <w:bookmarkStart w:id="891" w:name="Tc_4x_sHK2JoEOVlS7MlEsx1g_2_5"/>
      <w:bookmarkStart w:id="892" w:name="Tc_gyrrlZ6Eh064XnH7bPUCuA_2_2"/>
      <w:bookmarkStart w:id="893" w:name="Tc_mvpTEoj2j0i0K9LdI-fGJA_1_8"/>
      <w:bookmarkStart w:id="894" w:name="Tc_KgD_SGi5Ikugpg68K0king_1_2"/>
      <w:bookmarkStart w:id="895" w:name="_0aac2f07_7969_4bfe_a5d3_549fb1a48890"/>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r>
        <w:rPr>
          <w:rFonts w:ascii="Times New Roman;Times;serif" w:hAnsi="Times New Roman;Times;serif"/>
          <w:b/>
          <w:sz w:val="20"/>
        </w:rPr>
        <w:t>NOTE 5.      FAIR VALUE OF FINANCIAL INSTRUMENTS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the carrying value and estimated fair value of the Company’s financial instruments not carried at fair value on the consolidated balance sheets as of December 31, 2023 and 2022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911"/>
        <w:gridCol w:w="326"/>
        <w:gridCol w:w="281"/>
        <w:gridCol w:w="1042"/>
        <w:gridCol w:w="326"/>
        <w:gridCol w:w="351"/>
        <w:gridCol w:w="1305"/>
        <w:gridCol w:w="326"/>
        <w:gridCol w:w="281"/>
        <w:gridCol w:w="1042"/>
        <w:gridCol w:w="326"/>
        <w:gridCol w:w="323"/>
        <w:gridCol w:w="1365"/>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78435" cy="175260"/>
                      <wp:effectExtent l="0" t="0" r="0" b="0"/>
                      <wp:wrapNone/>
                      <wp:docPr id="202" name="Frame20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61670" cy="175260"/>
                      <wp:effectExtent l="0" t="0" r="0" b="0"/>
                      <wp:wrapNone/>
                      <wp:docPr id="203" name="Frame203"/>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22885" cy="175260"/>
                      <wp:effectExtent l="0" t="0" r="0" b="0"/>
                      <wp:wrapNone/>
                      <wp:docPr id="205" name="Frame205"/>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828675" cy="175260"/>
                      <wp:effectExtent l="0" t="0" r="0" b="0"/>
                      <wp:wrapNone/>
                      <wp:docPr id="206" name="Frame206"/>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78435" cy="175260"/>
                      <wp:effectExtent l="0" t="0" r="0" b="0"/>
                      <wp:wrapNone/>
                      <wp:docPr id="208" name="Frame208"/>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61670" cy="175260"/>
                      <wp:effectExtent l="0" t="0" r="0" b="0"/>
                      <wp:wrapNone/>
                      <wp:docPr id="209" name="Frame209"/>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5105" cy="175260"/>
                      <wp:effectExtent l="0" t="0" r="0" b="0"/>
                      <wp:wrapNone/>
                      <wp:docPr id="211" name="Frame211"/>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866775" cy="175260"/>
                      <wp:effectExtent l="0" t="0" r="0" b="0"/>
                      <wp:wrapNone/>
                      <wp:docPr id="212" name="Frame212"/>
                      <a:graphic xmlns:a="http://schemas.openxmlformats.org/drawingml/2006/main">
                        <a:graphicData uri="http://schemas.microsoft.com/office/word/2010/wordprocessingShape">
                          <wps:wsp>
                            <wps:cNvSpPr txBox="1"/>
                            <wps:spPr>
                              <a:xfrm>
                                <a:off x="0" y="0"/>
                                <a:ext cx="866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0"/>
              <w:ind w:left="0" w:right="0" w:hanging="0"/>
              <w:jc w:val="left"/>
              <w:rPr/>
            </w:pPr>
            <w:r>
              <w:rPr/>
              <w:t>​</w:t>
            </w:r>
          </w:p>
        </w:tc>
        <w:tc>
          <w:tcPr>
            <w:tcW w:w="33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Value </w:t>
            </w:r>
          </w:p>
        </w:tc>
        <w:tc>
          <w:tcPr>
            <w:tcW w:w="326" w:type="dxa"/>
            <w:tcBorders/>
            <w:vAlign w:val="center"/>
          </w:tcPr>
          <w:p>
            <w:pPr>
              <w:pStyle w:val="TableContents"/>
              <w:bidi w:val="0"/>
              <w:spacing w:before="0" w:after="0"/>
              <w:ind w:left="0" w:right="0" w:hanging="0"/>
              <w:jc w:val="left"/>
              <w:rPr/>
            </w:pPr>
            <w:r>
              <w:rPr/>
              <w:t>    </w:t>
            </w:r>
          </w:p>
        </w:tc>
        <w:tc>
          <w:tcPr>
            <w:tcW w:w="16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Estimated Fair Value </w:t>
            </w:r>
          </w:p>
        </w:tc>
        <w:tc>
          <w:tcPr>
            <w:tcW w:w="326" w:type="dxa"/>
            <w:tcBorders/>
            <w:vAlign w:val="center"/>
          </w:tcPr>
          <w:p>
            <w:pPr>
              <w:pStyle w:val="TableContents"/>
              <w:bidi w:val="0"/>
              <w:spacing w:before="0" w:after="0"/>
              <w:ind w:left="0" w:right="0" w:hanging="0"/>
              <w:jc w:val="left"/>
              <w:rPr/>
            </w:pPr>
            <w:r>
              <w:rPr/>
              <w:t>    </w:t>
            </w:r>
          </w:p>
        </w:tc>
        <w:tc>
          <w:tcPr>
            <w:tcW w:w="13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Value </w:t>
            </w:r>
          </w:p>
        </w:tc>
        <w:tc>
          <w:tcPr>
            <w:tcW w:w="326" w:type="dxa"/>
            <w:tcBorders/>
            <w:vAlign w:val="center"/>
          </w:tcPr>
          <w:p>
            <w:pPr>
              <w:pStyle w:val="TableContents"/>
              <w:bidi w:val="0"/>
              <w:spacing w:before="0" w:after="0"/>
              <w:ind w:left="0" w:right="0" w:hanging="0"/>
              <w:jc w:val="left"/>
              <w:rPr/>
            </w:pPr>
            <w:r>
              <w:rPr/>
              <w:t>    </w:t>
            </w:r>
          </w:p>
        </w:tc>
        <w:tc>
          <w:tcPr>
            <w:tcW w:w="16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Level 1</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9,018</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Level 1</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9,712</w:t>
            </w:r>
          </w:p>
        </w:tc>
        <w:tc>
          <w:tcPr>
            <w:tcW w:w="3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9,712</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 - Level 2</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35,080</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36,288</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 Level 2</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275,677</w:t>
            </w:r>
          </w:p>
        </w:tc>
        <w:tc>
          <w:tcPr>
            <w:tcW w:w="3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258,613</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267,116</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250,568</w:t>
            </w:r>
          </w:p>
        </w:tc>
      </w:tr>
    </w:tbl>
    <w:p>
      <w:pPr>
        <w:pStyle w:val="TextBody"/>
        <w:bidi w:val="0"/>
        <w:spacing w:before="0" w:after="0"/>
        <w:ind w:left="0" w:right="0" w:hanging="0"/>
        <w:jc w:val="left"/>
        <w:rPr/>
      </w:pPr>
      <w:r>
        <w:rPr/>
        <w:t>​</w:t>
      </w:r>
    </w:p>
    <w:p>
      <w:pPr>
        <w:pStyle w:val="TextBody"/>
        <w:bidi w:val="0"/>
        <w:spacing w:before="240" w:after="240"/>
        <w:ind w:left="0" w:right="0" w:firstLine="360"/>
        <w:jc w:val="both"/>
        <w:rPr>
          <w:rFonts w:ascii="Times New Roman;Times;serif" w:hAnsi="Times New Roman;Times;serif"/>
          <w:sz w:val="20"/>
        </w:rPr>
      </w:pPr>
      <w:r>
        <w:rPr>
          <w:rFonts w:ascii="Times New Roman;Times;serif" w:hAnsi="Times New Roman;Times;serif"/>
          <w:sz w:val="20"/>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pStyle w:val="TextBody"/>
        <w:bidi w:val="0"/>
        <w:spacing w:before="240" w:after="240"/>
        <w:ind w:left="0" w:right="0" w:firstLine="360"/>
        <w:jc w:val="both"/>
        <w:rPr>
          <w:rFonts w:ascii="Times New Roman;Times;serif" w:hAnsi="Times New Roman;Times;serif"/>
          <w:sz w:val="20"/>
        </w:rPr>
      </w:pPr>
      <w:r>
        <w:rPr>
          <w:rFonts w:ascii="Times New Roman;Times;serif" w:hAnsi="Times New Roman;Times;serif"/>
          <w:sz w:val="20"/>
        </w:rPr>
        <w:t>The following tables present the fair value of assets (liabilities) measured on a recurring basis by Level as of December 31, 2023 and 2022 (in thousands). See Note 13, “Interest Rate Swaps” for further disclosure related to the Company’s interest rate swaps.</w:t>
      </w:r>
    </w:p>
    <w:tbl>
      <w:tblPr>
        <w:tblW w:w="10205" w:type="dxa"/>
        <w:jc w:val="left"/>
        <w:tblInd w:w="0" w:type="dxa"/>
        <w:tblLayout w:type="fixed"/>
        <w:tblCellMar>
          <w:top w:w="0" w:type="dxa"/>
          <w:left w:w="0" w:type="dxa"/>
          <w:bottom w:w="0" w:type="dxa"/>
          <w:right w:w="0" w:type="dxa"/>
        </w:tblCellMar>
      </w:tblPr>
      <w:tblGrid>
        <w:gridCol w:w="1862"/>
        <w:gridCol w:w="326"/>
        <w:gridCol w:w="230"/>
        <w:gridCol w:w="623"/>
        <w:gridCol w:w="326"/>
        <w:gridCol w:w="827"/>
        <w:gridCol w:w="1359"/>
        <w:gridCol w:w="343"/>
        <w:gridCol w:w="522"/>
        <w:gridCol w:w="1419"/>
        <w:gridCol w:w="343"/>
        <w:gridCol w:w="643"/>
        <w:gridCol w:w="1382"/>
      </w:tblGrid>
      <w:tr>
        <w:trPr/>
        <w:tc>
          <w:tcPr>
            <w:tcW w:w="1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182370" cy="175260"/>
                      <wp:effectExtent l="0" t="0" r="0" b="0"/>
                      <wp:wrapNone/>
                      <wp:docPr id="213" name="Frame213"/>
                      <a:graphic xmlns:a="http://schemas.openxmlformats.org/drawingml/2006/main">
                        <a:graphicData uri="http://schemas.microsoft.com/office/word/2010/wordprocessingShape">
                          <wps:wsp>
                            <wps:cNvSpPr txBox="1"/>
                            <wps:spPr>
                              <a:xfrm>
                                <a:off x="0" y="0"/>
                                <a:ext cx="1182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46050" cy="175260"/>
                      <wp:effectExtent l="0" t="0" r="0" b="0"/>
                      <wp:wrapNone/>
                      <wp:docPr id="215" name="Frame21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95605" cy="175260"/>
                      <wp:effectExtent l="0" t="0" r="0" b="0"/>
                      <wp:wrapNone/>
                      <wp:docPr id="216" name="Frame216"/>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25145" cy="175260"/>
                      <wp:effectExtent l="0" t="0" r="0" b="0"/>
                      <wp:wrapNone/>
                      <wp:docPr id="218" name="Frame218"/>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862965" cy="175260"/>
                      <wp:effectExtent l="0" t="0" r="0" b="0"/>
                      <wp:wrapNone/>
                      <wp:docPr id="219" name="Frame219"/>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7805" cy="175260"/>
                      <wp:effectExtent l="0" t="0" r="0" b="0"/>
                      <wp:wrapNone/>
                      <wp:docPr id="220" name="Frame220"/>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31470" cy="175260"/>
                      <wp:effectExtent l="0" t="0" r="0" b="0"/>
                      <wp:wrapNone/>
                      <wp:docPr id="221" name="Frame221"/>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901065" cy="175260"/>
                      <wp:effectExtent l="0" t="0" r="0" b="0"/>
                      <wp:wrapNone/>
                      <wp:docPr id="222" name="Frame222"/>
                      <a:graphic xmlns:a="http://schemas.openxmlformats.org/drawingml/2006/main">
                        <a:graphicData uri="http://schemas.microsoft.com/office/word/2010/wordprocessingShape">
                          <wps:wsp>
                            <wps:cNvSpPr txBox="1"/>
                            <wps:spPr>
                              <a:xfrm>
                                <a:off x="0" y="0"/>
                                <a:ext cx="901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7805" cy="175260"/>
                      <wp:effectExtent l="0" t="0" r="0" b="0"/>
                      <wp:wrapNone/>
                      <wp:docPr id="223" name="Frame223"/>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08305" cy="175260"/>
                      <wp:effectExtent l="0" t="0" r="0" b="0"/>
                      <wp:wrapNone/>
                      <wp:docPr id="224" name="Frame224"/>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877570" cy="175260"/>
                      <wp:effectExtent l="0" t="0" r="0" b="0"/>
                      <wp:wrapNone/>
                      <wp:docPr id="225" name="Frame225"/>
                      <a:graphic xmlns:a="http://schemas.openxmlformats.org/drawingml/2006/main">
                        <a:graphicData uri="http://schemas.microsoft.com/office/word/2010/wordprocessingShape">
                          <wps:wsp>
                            <wps:cNvSpPr txBox="1"/>
                            <wps:spPr>
                              <a:xfrm>
                                <a:off x="0" y="0"/>
                                <a:ext cx="877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 at Reporting Date Using</w:t>
            </w:r>
          </w:p>
        </w:tc>
      </w:tr>
      <w:tr>
        <w:trPr/>
        <w:tc>
          <w:tcPr>
            <w:tcW w:w="18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26" w:type="dxa"/>
            <w:tcBorders/>
            <w:vAlign w:val="center"/>
          </w:tcPr>
          <w:p>
            <w:pPr>
              <w:pStyle w:val="TableContents"/>
              <w:bidi w:val="0"/>
              <w:spacing w:before="0" w:after="0"/>
              <w:ind w:left="0" w:right="0" w:hanging="0"/>
              <w:jc w:val="left"/>
              <w:rPr/>
            </w:pPr>
            <w:r>
              <w:rPr/>
              <w:t>    </w:t>
            </w:r>
          </w:p>
        </w:tc>
        <w:tc>
          <w:tcPr>
            <w:tcW w:w="2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Quoted Prices in Active Markets for Identical Assets (Level 1)</w:t>
            </w:r>
          </w:p>
        </w:tc>
        <w:tc>
          <w:tcPr>
            <w:tcW w:w="343" w:type="dxa"/>
            <w:tcBorders/>
            <w:vAlign w:val="center"/>
          </w:tcPr>
          <w:p>
            <w:pPr>
              <w:pStyle w:val="TableContents"/>
              <w:bidi w:val="0"/>
              <w:spacing w:before="0" w:after="0"/>
              <w:ind w:left="0" w:right="0" w:hanging="0"/>
              <w:jc w:val="left"/>
              <w:rPr/>
            </w:pPr>
            <w:r>
              <w:rPr/>
              <w:t>    </w:t>
            </w:r>
          </w:p>
        </w:tc>
        <w:tc>
          <w:tcPr>
            <w:tcW w:w="19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Other Observable Inputs (Level 2)</w:t>
            </w:r>
          </w:p>
        </w:tc>
        <w:tc>
          <w:tcPr>
            <w:tcW w:w="343" w:type="dxa"/>
            <w:tcBorders/>
            <w:vAlign w:val="center"/>
          </w:tcPr>
          <w:p>
            <w:pPr>
              <w:pStyle w:val="TableContents"/>
              <w:bidi w:val="0"/>
              <w:spacing w:before="0" w:after="0"/>
              <w:ind w:left="0" w:right="0" w:hanging="0"/>
              <w:jc w:val="left"/>
              <w:rPr/>
            </w:pPr>
            <w:r>
              <w:rPr/>
              <w:t>    </w:t>
            </w:r>
          </w:p>
        </w:tc>
        <w:tc>
          <w:tcPr>
            <w:tcW w:w="2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Unobservable Inputs (Level 3)</w:t>
            </w:r>
          </w:p>
        </w:tc>
      </w:tr>
      <w:tr>
        <w:trPr/>
        <w:tc>
          <w:tcPr>
            <w:tcW w:w="18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w:t>
            </w:r>
          </w:p>
        </w:tc>
        <w:tc>
          <w:tcPr>
            <w:tcW w:w="1419"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left"/>
              <w:rPr/>
            </w:pPr>
            <w:r>
              <w:rPr/>
              <w:t>​</w:t>
            </w:r>
          </w:p>
        </w:tc>
        <w:tc>
          <w:tcPr>
            <w:tcW w:w="1382" w:type="dxa"/>
            <w:tcBorders/>
            <w:shd w:fill="CCEEFF" w:val="clear"/>
            <w:vAlign w:val="center"/>
          </w:tcPr>
          <w:p>
            <w:pPr>
              <w:pStyle w:val="TableContents"/>
              <w:bidi w:val="0"/>
              <w:spacing w:before="0" w:after="0"/>
              <w:ind w:left="0" w:right="0" w:hanging="0"/>
              <w:jc w:val="right"/>
              <w:rPr/>
            </w:pPr>
            <w:r>
              <w:rPr/>
              <w:t>​</w:t>
            </w:r>
          </w:p>
        </w:tc>
      </w:tr>
      <w:tr>
        <w:trPr/>
        <w:tc>
          <w:tcPr>
            <w:tcW w:w="186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Interest Rate Swap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w:t>
            </w:r>
          </w:p>
        </w:tc>
        <w:tc>
          <w:tcPr>
            <w:tcW w:w="32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w:t>
            </w:r>
          </w:p>
        </w:tc>
        <w:tc>
          <w:tcPr>
            <w:tcW w:w="343"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2" w:type="dxa"/>
            <w:tcBorders/>
            <w:vAlign w:val="center"/>
          </w:tcPr>
          <w:p>
            <w:pPr>
              <w:pStyle w:val="TableContents"/>
              <w:bidi w:val="0"/>
              <w:spacing w:before="0" w:after="0"/>
              <w:ind w:left="0" w:right="0" w:hanging="0"/>
              <w:jc w:val="right"/>
              <w:rPr/>
            </w:pPr>
            <w:r>
              <w:rPr/>
              <w:t>—</w:t>
            </w:r>
          </w:p>
        </w:tc>
      </w:tr>
      <w:tr>
        <w:trPr/>
        <w:tc>
          <w:tcPr>
            <w:tcW w:w="186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Interest Rate Swap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5,793</w:t>
            </w:r>
          </w:p>
        </w:tc>
        <w:tc>
          <w:tcPr>
            <w:tcW w:w="32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5,793</w:t>
            </w:r>
          </w:p>
        </w:tc>
        <w:tc>
          <w:tcPr>
            <w:tcW w:w="343"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2" w:type="dxa"/>
            <w:tcBorders/>
            <w:shd w:fill="CCEEFF" w:val="clear"/>
            <w:vAlign w:val="center"/>
          </w:tcPr>
          <w:p>
            <w:pPr>
              <w:pStyle w:val="TableContents"/>
              <w:bidi w:val="0"/>
              <w:spacing w:before="0" w:after="0"/>
              <w:ind w:left="0" w:right="0" w:hanging="0"/>
              <w:jc w:val="right"/>
              <w:rPr/>
            </w:pPr>
            <w:r>
              <w:rPr/>
              <w:t>—</w:t>
            </w:r>
          </w:p>
        </w:tc>
      </w:tr>
      <w:tr>
        <w:trPr/>
        <w:tc>
          <w:tcPr>
            <w:tcW w:w="186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Facility Interest Rate Swap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c>
          <w:tcPr>
            <w:tcW w:w="32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c>
          <w:tcPr>
            <w:tcW w:w="343"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2" w:type="dxa"/>
            <w:tcBorders/>
            <w:vAlign w:val="center"/>
          </w:tcPr>
          <w:p>
            <w:pPr>
              <w:pStyle w:val="TableContents"/>
              <w:bidi w:val="0"/>
              <w:spacing w:before="0" w:after="0"/>
              <w:ind w:left="0" w:right="0" w:hanging="0"/>
              <w:jc w:val="right"/>
              <w:rPr/>
            </w:pPr>
            <w:r>
              <w:rPr/>
              <w:t>—</w:t>
            </w:r>
          </w:p>
        </w:tc>
      </w:tr>
      <w:tr>
        <w:trPr/>
        <w:tc>
          <w:tcPr>
            <w:tcW w:w="18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w:t>
            </w:r>
          </w:p>
        </w:tc>
        <w:tc>
          <w:tcPr>
            <w:tcW w:w="1419"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left"/>
              <w:rPr/>
            </w:pPr>
            <w:r>
              <w:rPr/>
              <w:t>​</w:t>
            </w:r>
          </w:p>
        </w:tc>
        <w:tc>
          <w:tcPr>
            <w:tcW w:w="1382" w:type="dxa"/>
            <w:tcBorders/>
            <w:shd w:fill="CCEEFF" w:val="clear"/>
            <w:vAlign w:val="center"/>
          </w:tcPr>
          <w:p>
            <w:pPr>
              <w:pStyle w:val="TableContents"/>
              <w:bidi w:val="0"/>
              <w:spacing w:before="0" w:after="0"/>
              <w:ind w:left="0" w:right="0" w:hanging="0"/>
              <w:jc w:val="left"/>
              <w:rPr/>
            </w:pPr>
            <w:r>
              <w:rPr/>
              <w:t>​</w:t>
            </w:r>
          </w:p>
        </w:tc>
      </w:tr>
      <w:tr>
        <w:trPr/>
        <w:tc>
          <w:tcPr>
            <w:tcW w:w="186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Interest Rate Swap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6,125</w:t>
            </w:r>
          </w:p>
        </w:tc>
        <w:tc>
          <w:tcPr>
            <w:tcW w:w="32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6,125</w:t>
            </w:r>
          </w:p>
        </w:tc>
        <w:tc>
          <w:tcPr>
            <w:tcW w:w="343"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2" w:type="dxa"/>
            <w:tcBorders/>
            <w:vAlign w:val="center"/>
          </w:tcPr>
          <w:p>
            <w:pPr>
              <w:pStyle w:val="TableContents"/>
              <w:bidi w:val="0"/>
              <w:spacing w:before="0" w:after="0"/>
              <w:ind w:left="0" w:right="0" w:hanging="0"/>
              <w:jc w:val="right"/>
              <w:rPr/>
            </w:pPr>
            <w:r>
              <w:rPr/>
              <w:t>—</w:t>
            </w:r>
          </w:p>
        </w:tc>
      </w:tr>
      <w:tr>
        <w:trPr/>
        <w:tc>
          <w:tcPr>
            <w:tcW w:w="186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Interest Rate Swap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8,476</w:t>
            </w:r>
          </w:p>
        </w:tc>
        <w:tc>
          <w:tcPr>
            <w:tcW w:w="32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8,476</w:t>
            </w:r>
          </w:p>
        </w:tc>
        <w:tc>
          <w:tcPr>
            <w:tcW w:w="343"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2" w:type="dxa"/>
            <w:tcBorders/>
            <w:shd w:fill="CCEEFF" w:val="clear"/>
            <w:vAlign w:val="center"/>
          </w:tcPr>
          <w:p>
            <w:pPr>
              <w:pStyle w:val="TableContents"/>
              <w:bidi w:val="0"/>
              <w:spacing w:before="0" w:after="0"/>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2023,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the $100</w:t>
            </w:r>
            <w:r>
              <w:rPr>
                <w:caps w:val="false"/>
                <w:smallCaps w:val="false"/>
              </w:rPr>
              <w:t xml:space="preserve"> </w:t>
            </w:r>
            <w:r>
              <w:rPr>
                <w:rFonts w:ascii="Times New Roman;Times;serif" w:hAnsi="Times New Roman;Times;serif"/>
                <w:b w:val="false"/>
                <w:i w:val="false"/>
                <w:caps w:val="false"/>
                <w:smallCaps w:val="false"/>
                <w:sz w:val="16"/>
              </w:rPr>
              <w:t>million 2026 Term Loan (hereinafter defined) balance. See Note 13, “Interest Rate Swaps” for further disclosure related to the Company’s interest rate swaps.</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2023, the Company has utilized interest rate swaps to fix SOFR and achieve a weighted average fixed interest rate of 1.18%</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the $100</w:t>
            </w:r>
            <w:r>
              <w:rPr>
                <w:caps w:val="false"/>
                <w:smallCaps w:val="false"/>
              </w:rPr>
              <w:t xml:space="preserve"> </w:t>
            </w:r>
            <w:r>
              <w:rPr>
                <w:rFonts w:ascii="Times New Roman;Times;serif" w:hAnsi="Times New Roman;Times;serif"/>
                <w:b w:val="false"/>
                <w:i w:val="false"/>
                <w:caps w:val="false"/>
                <w:smallCaps w:val="false"/>
                <w:sz w:val="16"/>
              </w:rPr>
              <w:t>million 2027 Term Loan (hereinafter defined) balance. See Note 13, “Interest Rate Swaps” for further disclosure related to the Company’s interest rate swaps.</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2023, the Company utilized an interest rate swap to fix SOFR and achieve a fixed interest rate of 3.21%</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$50</w:t>
            </w:r>
            <w:r>
              <w:rPr>
                <w:caps w:val="false"/>
                <w:smallCaps w:val="false"/>
              </w:rPr>
              <w:t xml:space="preserve"> </w:t>
            </w:r>
            <w:r>
              <w:rPr>
                <w:rFonts w:ascii="Times New Roman;Times;serif" w:hAnsi="Times New Roman;Times;serif"/>
                <w:b w:val="false"/>
                <w:i w:val="false"/>
                <w:caps w:val="false"/>
                <w:smallCaps w:val="false"/>
                <w:sz w:val="16"/>
              </w:rPr>
              <w:t xml:space="preserve">million of the outstanding balance on the Credit Facility (hereinafter defined). See Note 13, “Interest Rate Swaps” for further disclosure related to the Company's interest rate swaps. </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96" w:name="Tc_YRhFUv9ahEyj3wnxXjtX_Q_8_8"/>
      <w:bookmarkStart w:id="897" w:name="Tc_we1GbCmOVUe6LKPGiN0igw_8_5"/>
      <w:bookmarkStart w:id="898" w:name="Tc_9lIqQSdkGkic5Li_eAw3IA_8_2"/>
      <w:bookmarkStart w:id="899" w:name="Tc_xsVJ0c54I0mRrUEuVbs3EA_8_0"/>
      <w:bookmarkStart w:id="900" w:name="Tc_OSMriV7mj0CoT0aInKFhhw_7_0"/>
      <w:bookmarkStart w:id="901" w:name="Tc_MA_Tvhc__0us3fn9Ir6QOw_6_0"/>
      <w:bookmarkStart w:id="902" w:name="Tc_GxKuabDljEaRg8d-ILqXSQ_5_0"/>
      <w:bookmarkStart w:id="903" w:name="Tc_LrH0A_11tEOxJ1pIm918rw_4_0"/>
      <w:bookmarkStart w:id="904" w:name="Tc_4RpztWqdfESfG4edWBwfmA_3_0"/>
      <w:bookmarkStart w:id="905" w:name="Tc_yMdAUz9Mq0GHh8jRnxF-2A_2_8"/>
      <w:bookmarkStart w:id="906" w:name="Tc_NxB893HmckihE6uAAYHEGw_2_5"/>
      <w:bookmarkStart w:id="907" w:name="Tc_uPAJxXjHT0WKJBxJLeqNhA_2_2"/>
      <w:bookmarkStart w:id="908" w:name="Tc_3L3Fl3j8V0OxEW2TYFYYkQ_2_0"/>
      <w:bookmarkStart w:id="909" w:name="Tc_fmNp3An1nUyTdCOxn9ekug_1_8"/>
      <w:bookmarkStart w:id="910" w:name="Tc_-5VNot4Q4k-0JRnR7UpLFw_1_5"/>
      <w:bookmarkStart w:id="911" w:name="Tc_ZsDFzjaw_E-HGADYWxJ4sA_1_2"/>
      <w:bookmarkStart w:id="912" w:name="Tc_Zm3_qrRvwkmaM5HUoicHWQ_1_0"/>
      <w:bookmarkStart w:id="913" w:name="_0ece7d0a_f22a_46ae_94d5_aa10595feb77"/>
      <w:bookmarkStart w:id="914" w:name="Tc_LAqcX5beNUS6U5LC_CkIzw_5_8"/>
      <w:bookmarkStart w:id="915" w:name="Tc_jBFldu9EYEufU-Lm-LKALQ_5_5"/>
      <w:bookmarkStart w:id="916" w:name="Tc__Pq8XM7HNUWqOu3gGugR8w_5_2"/>
      <w:bookmarkStart w:id="917" w:name="Tc_-y8FwLP8O06qh5wKi7NfWQ_5_0"/>
      <w:bookmarkStart w:id="918" w:name="Tc_EW1E3QlENEmSaCeTY16HcQ_4_0"/>
      <w:bookmarkStart w:id="919" w:name="Tc_Qi1Lnqh6PEi7XnWwy7XxuQ_3_8"/>
      <w:bookmarkStart w:id="920" w:name="Tc_cX2Qw_H1M0eztCz8NacVNA_3_5"/>
      <w:bookmarkStart w:id="921" w:name="Tc_2ycx4R8Cq0OJLN5AyftUdA_3_2"/>
      <w:bookmarkStart w:id="922" w:name="Tc_CJ5qnSGOpkqeDcHofIqKSQ_3_0"/>
      <w:bookmarkStart w:id="923" w:name="Tc_Kn4h0iqvIEmJ6OjFRtiTlg_2_8"/>
      <w:bookmarkStart w:id="924" w:name="Tc_VpYt9PLD4E2aF6vSIZbL0w_2_5"/>
      <w:bookmarkStart w:id="925" w:name="Tc_jCBzxGztAkGiqh97klIc9g_2_2"/>
      <w:bookmarkStart w:id="926" w:name="Tc_73WJ7TKHxUmtCExS39nfSA_1_2"/>
      <w:bookmarkStart w:id="927" w:name="_a57162ea_3e12_4ed1_b8d3_28ca93f1b9cc"/>
      <w:bookmarkStart w:id="928" w:name="Tc_v_j2ZqImhE6FWck1uqgBzQ_15_5"/>
      <w:bookmarkStart w:id="929" w:name="Tc_25HlLFhYck-eeWcfkPPnGA_15_2"/>
      <w:bookmarkStart w:id="930" w:name="Tc_7n-Rm-u5pkm-_E6K8f1gmQ_15_0"/>
      <w:bookmarkStart w:id="931" w:name="Tc_cSETyYFTvk2Z5cd7FdtE3g_14_0"/>
      <w:bookmarkStart w:id="932" w:name="Tc_11gX4D_nhUearp7MVTMEeA_13_0"/>
      <w:bookmarkStart w:id="933" w:name="Tc_Gtqw2X0_90-ANnup9z6kAA_12_0"/>
      <w:bookmarkStart w:id="934" w:name="Tc_os5CLaoDYEGs4lIO5px2Ng_11_0"/>
      <w:bookmarkStart w:id="935" w:name="Tc_tL2DSjFCc0a4CxbfWSGqeg_10_0"/>
      <w:bookmarkStart w:id="936" w:name="Tc_jLLJMj_Og0u7r5xUfJj5aQ_9_0"/>
      <w:bookmarkStart w:id="937" w:name="Tc_iyVoiYTyhEm79eblT_AyEQ_8_0"/>
      <w:bookmarkStart w:id="938" w:name="Tc_99jqwiYQ6EqojRLXTrQq8Q_7_0"/>
      <w:bookmarkStart w:id="939" w:name="Tc_VWdNIoi2mkuD9o9hyodb9g_6_0"/>
      <w:bookmarkStart w:id="940" w:name="Tc_Y-iis36cKE-pf8CTuO-8mA_5_0"/>
      <w:bookmarkStart w:id="941" w:name="Tc_U1_gXBKK80qxnGeSLhOe1A_4_5"/>
      <w:bookmarkStart w:id="942" w:name="Tc_M-E1RHXoVUeoIbhiwH6XEA_4_2"/>
      <w:bookmarkStart w:id="943" w:name="Tc_4lQe8cb45UWVhj5bX7LTeQ_4_0"/>
      <w:bookmarkStart w:id="944" w:name="Tc_IC9cb8WD_kisBq1Sar_t_A_3_0"/>
      <w:bookmarkStart w:id="945" w:name="Tc_krLg_dG64kugXPHEb6uXOA_2_5"/>
      <w:bookmarkStart w:id="946" w:name="Tc_pc0zI-SSP0etxP0nsfM3TQ_2_2"/>
      <w:bookmarkStart w:id="947" w:name="Tc_wmPFOwQJMkCnCAuIpvzRoA_1_2"/>
      <w:bookmarkStart w:id="948" w:name="_6a0a9ce5_8aa9_4251_919c_ff846ea84cb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r>
        <w:rPr>
          <w:rFonts w:ascii="Times New Roman;Times;serif" w:hAnsi="Times New Roman;Times;serif"/>
          <w:b/>
          <w:sz w:val="20"/>
        </w:rPr>
        <w:t>NOTE 6.      INTANGIBLE ASSETS AND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Intangible assets and liabilities consist of the value of above market and below market leases, the value of in-place leases, and the value of leasing costs, based in each case on their fair values. Intangible assets and liabilities consisted of the following as of December 31, 2023 and 2022 (in thousands):</w:t>
      </w:r>
    </w:p>
    <w:p>
      <w:pPr>
        <w:pStyle w:val="TextBody"/>
        <w:bidi w:val="0"/>
        <w:spacing w:before="0" w:after="240"/>
        <w:ind w:left="0" w:right="0" w:hanging="0"/>
        <w:jc w:val="both"/>
        <w:rPr/>
      </w:pPr>
      <w:r>
        <w:rPr/>
        <w:t>​</w:t>
      </w:r>
    </w:p>
    <w:tbl>
      <w:tblPr>
        <w:tblW w:w="7419" w:type="dxa"/>
        <w:jc w:val="left"/>
        <w:tblInd w:w="0" w:type="dxa"/>
        <w:tblLayout w:type="fixed"/>
        <w:tblCellMar>
          <w:top w:w="0" w:type="dxa"/>
          <w:left w:w="0" w:type="dxa"/>
          <w:bottom w:w="0" w:type="dxa"/>
          <w:right w:w="0" w:type="dxa"/>
        </w:tblCellMar>
      </w:tblPr>
      <w:tblGrid>
        <w:gridCol w:w="3706"/>
        <w:gridCol w:w="109"/>
        <w:gridCol w:w="383"/>
        <w:gridCol w:w="1342"/>
        <w:gridCol w:w="109"/>
        <w:gridCol w:w="375"/>
        <w:gridCol w:w="1395"/>
      </w:tblGrid>
      <w:tr>
        <w:trPr/>
        <w:tc>
          <w:tcPr>
            <w:tcW w:w="3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43205" cy="175260"/>
                      <wp:effectExtent l="0" t="0" r="0" b="0"/>
                      <wp:wrapNone/>
                      <wp:docPr id="227" name="Frame227"/>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852170" cy="175260"/>
                      <wp:effectExtent l="0" t="0" r="0" b="0"/>
                      <wp:wrapNone/>
                      <wp:docPr id="228" name="Frame228"/>
                      <a:graphic xmlns:a="http://schemas.openxmlformats.org/drawingml/2006/main">
                        <a:graphicData uri="http://schemas.microsoft.com/office/word/2010/wordprocessingShape">
                          <wps:wsp>
                            <wps:cNvSpPr txBox="1"/>
                            <wps:spPr>
                              <a:xfrm>
                                <a:off x="0" y="0"/>
                                <a:ext cx="852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38125" cy="175260"/>
                      <wp:effectExtent l="0" t="0" r="0" b="0"/>
                      <wp:wrapNone/>
                      <wp:docPr id="230" name="Frame23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885825" cy="175260"/>
                      <wp:effectExtent l="0" t="0" r="0" b="0"/>
                      <wp:wrapNone/>
                      <wp:docPr id="231" name="Frame231"/>
                      <a:graphic xmlns:a="http://schemas.openxmlformats.org/drawingml/2006/main">
                        <a:graphicData uri="http://schemas.microsoft.com/office/word/2010/wordprocessingShape">
                          <wps:wsp>
                            <wps:cNvSpPr txBox="1"/>
                            <wps:spPr>
                              <a:xfrm>
                                <a:off x="0" y="0"/>
                                <a:ext cx="885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of </w:t>
            </w:r>
          </w:p>
        </w:tc>
      </w:tr>
      <w:tr>
        <w:trPr/>
        <w:tc>
          <w:tcPr>
            <w:tcW w:w="37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13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In-Place Leases</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48,267</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49,974</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Above Market In-Place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13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3,897</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Intangible Leasing Costs</w:t>
            </w:r>
          </w:p>
        </w:tc>
        <w:tc>
          <w:tcPr>
            <w:tcW w:w="109" w:type="dxa"/>
            <w:tcBorders/>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18,865</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20,579</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13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70,074</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74,450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(20,782)</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(14,018)</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Assets—Net</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49,292</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60,432</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13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Below Market In-Place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(6,770)</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13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(6,770)</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(6,130)</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Liabilities—Net</w:t>
            </w:r>
          </w:p>
        </w:tc>
        <w:tc>
          <w:tcPr>
            <w:tcW w:w="109" w:type="dxa"/>
            <w:tcBorders/>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(5,050)</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and Liabilities—Net</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44,385</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55,382</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reflects the net amortization of intangible assets and liabilities during the years ended December 31, 2023, 2022, and 2021 (in thousands):</w:t>
      </w:r>
    </w:p>
    <w:tbl>
      <w:tblPr>
        <w:tblW w:w="9958" w:type="dxa"/>
        <w:jc w:val="left"/>
        <w:tblInd w:w="0" w:type="dxa"/>
        <w:tblLayout w:type="fixed"/>
        <w:tblCellMar>
          <w:top w:w="0" w:type="dxa"/>
          <w:left w:w="0" w:type="dxa"/>
          <w:bottom w:w="0" w:type="dxa"/>
          <w:right w:w="0" w:type="dxa"/>
        </w:tblCellMar>
      </w:tblPr>
      <w:tblGrid>
        <w:gridCol w:w="4411"/>
        <w:gridCol w:w="109"/>
        <w:gridCol w:w="465"/>
        <w:gridCol w:w="1260"/>
        <w:gridCol w:w="109"/>
        <w:gridCol w:w="465"/>
        <w:gridCol w:w="1260"/>
        <w:gridCol w:w="109"/>
        <w:gridCol w:w="420"/>
        <w:gridCol w:w="1350"/>
      </w:tblGrid>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15" cy="175260"/>
                      <wp:effectExtent l="0" t="0" r="0" b="0"/>
                      <wp:wrapNone/>
                      <wp:docPr id="232" name="Frame2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95275" cy="175260"/>
                      <wp:effectExtent l="0" t="0" r="0" b="0"/>
                      <wp:wrapNone/>
                      <wp:docPr id="233" name="Frame233"/>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800100" cy="175260"/>
                      <wp:effectExtent l="0" t="0" r="0" b="0"/>
                      <wp:wrapNone/>
                      <wp:docPr id="234" name="Frame234"/>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95275" cy="175260"/>
                      <wp:effectExtent l="0" t="0" r="0" b="0"/>
                      <wp:wrapNone/>
                      <wp:docPr id="236" name="Frame236"/>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800100" cy="175260"/>
                      <wp:effectExtent l="0" t="0" r="0" b="0"/>
                      <wp:wrapNone/>
                      <wp:docPr id="237" name="Frame237"/>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8"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66700" cy="175260"/>
                      <wp:effectExtent l="0" t="0" r="0" b="0"/>
                      <wp:wrapNone/>
                      <wp:docPr id="239" name="Frame239"/>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857250" cy="175260"/>
                      <wp:effectExtent l="0" t="0" r="0" b="0"/>
                      <wp:wrapNone/>
                      <wp:docPr id="240" name="Frame240"/>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Expense </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8,936</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8,801</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5,977</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to Properties Revenue</w:t>
            </w:r>
          </w:p>
        </w:tc>
        <w:tc>
          <w:tcPr>
            <w:tcW w:w="109" w:type="dxa"/>
            <w:tcBorders/>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109" w:type="dxa"/>
            <w:tcBorders/>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Amortization of Intangible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8,519</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8,473</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5,720</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estimated future amortization expense (income) related to net intangible assets and liabilities is as follows (in thousands):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377"/>
        <w:gridCol w:w="109"/>
        <w:gridCol w:w="451"/>
        <w:gridCol w:w="1447"/>
        <w:gridCol w:w="109"/>
        <w:gridCol w:w="606"/>
        <w:gridCol w:w="1815"/>
        <w:gridCol w:w="109"/>
        <w:gridCol w:w="674"/>
        <w:gridCol w:w="2508"/>
      </w:tblGrid>
      <w:tr>
        <w:trPr/>
        <w:tc>
          <w:tcPr>
            <w:tcW w:w="23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918845" cy="175260"/>
                      <wp:effectExtent l="0" t="0" r="0" b="0"/>
                      <wp:wrapNone/>
                      <wp:docPr id="241" name="Frame241"/>
                      <a:graphic xmlns:a="http://schemas.openxmlformats.org/drawingml/2006/main">
                        <a:graphicData uri="http://schemas.microsoft.com/office/word/2010/wordprocessingShape">
                          <wps:wsp>
                            <wps:cNvSpPr txBox="1"/>
                            <wps:spPr>
                              <a:xfrm>
                                <a:off x="0" y="0"/>
                                <a:ext cx="918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152525" cy="175260"/>
                      <wp:effectExtent l="0" t="0" r="0" b="0"/>
                      <wp:wrapNone/>
                      <wp:docPr id="243" name="Frame243"/>
                      <a:graphic xmlns:a="http://schemas.openxmlformats.org/drawingml/2006/main">
                        <a:graphicData uri="http://schemas.microsoft.com/office/word/2010/wordprocessingShape">
                          <wps:wsp>
                            <wps:cNvSpPr txBox="1"/>
                            <wps:spPr>
                              <a:xfrm>
                                <a:off x="0" y="0"/>
                                <a:ext cx="1152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0"/>
              <w:ind w:left="0" w:right="0" w:hanging="0"/>
              <w:jc w:val="left"/>
              <w:rPr/>
            </w:pPr>
            <w:r>
              <w:rPr/>
              <w:t>​</w:t>
            </w:r>
          </w:p>
        </w:tc>
        <w:tc>
          <w:tcPr>
            <w:tcW w:w="2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592580" cy="175260"/>
                      <wp:effectExtent l="0" t="0" r="0" b="0"/>
                      <wp:wrapNone/>
                      <wp:docPr id="245" name="Frame245"/>
                      <a:graphic xmlns:a="http://schemas.openxmlformats.org/drawingml/2006/main">
                        <a:graphicData uri="http://schemas.microsoft.com/office/word/2010/wordprocessingShape">
                          <wps:wsp>
                            <wps:cNvSpPr txBox="1"/>
                            <wps:spPr>
                              <a:xfrm>
                                <a:off x="0" y="0"/>
                                <a:ext cx="1592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0"/>
              <w:ind w:left="0" w:right="0" w:hanging="0"/>
              <w:jc w:val="left"/>
              <w:rPr/>
            </w:pPr>
            <w:r>
              <w:rPr/>
              <w:t>​</w:t>
            </w:r>
          </w:p>
        </w:tc>
        <w:tc>
          <w:tcPr>
            <w:tcW w:w="1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Amortization Expense</w:t>
            </w:r>
          </w:p>
        </w:tc>
        <w:tc>
          <w:tcPr>
            <w:tcW w:w="109" w:type="dxa"/>
            <w:tcBorders/>
            <w:vAlign w:val="center"/>
          </w:tcPr>
          <w:p>
            <w:pPr>
              <w:pStyle w:val="TableContents"/>
              <w:bidi w:val="0"/>
              <w:spacing w:before="0" w:after="0"/>
              <w:ind w:left="0" w:right="0" w:hanging="0"/>
              <w:jc w:val="left"/>
              <w:rPr/>
            </w:pPr>
            <w:r>
              <w:rPr/>
              <w:t>​</w:t>
            </w:r>
          </w:p>
        </w:tc>
        <w:tc>
          <w:tcPr>
            <w:tcW w:w="24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Future Accretion to Property Revenue </w:t>
            </w:r>
          </w:p>
        </w:tc>
        <w:tc>
          <w:tcPr>
            <w:tcW w:w="109" w:type="dxa"/>
            <w:tcBorders/>
            <w:vAlign w:val="center"/>
          </w:tcPr>
          <w:p>
            <w:pPr>
              <w:pStyle w:val="TableContents"/>
              <w:bidi w:val="0"/>
              <w:spacing w:before="0" w:after="0"/>
              <w:ind w:left="0" w:right="0" w:hanging="0"/>
              <w:jc w:val="left"/>
              <w:rPr/>
            </w:pPr>
            <w:r>
              <w:rPr/>
              <w:t>​</w:t>
            </w:r>
          </w:p>
        </w:tc>
        <w:tc>
          <w:tcPr>
            <w:tcW w:w="3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Net Future Amortization of Intangible Assets and Liabilities </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8,443</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7,997</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7,840</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5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7,423</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7,416</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pPr>
            <w:r>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pPr>
            <w:r>
              <w:rPr/>
              <w:t>​</w:t>
            </w:r>
          </w:p>
        </w:tc>
        <w:tc>
          <w:tcPr>
            <w:tcW w:w="2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6,974</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5,888</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5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5,463</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4,796</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pPr>
            <w:r>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pPr>
            <w:r>
              <w:rPr/>
              <w:t>​</w:t>
            </w:r>
          </w:p>
        </w:tc>
        <w:tc>
          <w:tcPr>
            <w:tcW w:w="2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4,420</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109" w:type="dxa"/>
            <w:tcBorders/>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12,933</w:t>
            </w:r>
          </w:p>
        </w:tc>
        <w:tc>
          <w:tcPr>
            <w:tcW w:w="109" w:type="dxa"/>
            <w:tcBorders/>
            <w:vAlign w:val="center"/>
          </w:tcPr>
          <w:p>
            <w:pPr>
              <w:pStyle w:val="TableContents"/>
              <w:bidi w:val="0"/>
              <w:spacing w:before="0" w:after="0"/>
              <w:ind w:left="0" w:right="0" w:hanging="0"/>
              <w:jc w:val="left"/>
              <w:rPr/>
            </w:pPr>
            <w:r>
              <w:rPr/>
              <w:t>​</w:t>
            </w:r>
          </w:p>
        </w:tc>
        <w:tc>
          <w:tcPr>
            <w:tcW w:w="6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c>
          <w:tcPr>
            <w:tcW w:w="109" w:type="dxa"/>
            <w:tcBorders/>
            <w:vAlign w:val="center"/>
          </w:tcPr>
          <w:p>
            <w:pPr>
              <w:pStyle w:val="TableContents"/>
              <w:bidi w:val="0"/>
              <w:spacing w:before="0" w:after="0"/>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12,108</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47,316</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(2,931)</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0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44,385</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2023, the weighted average amortization period of both the total intangible assets and liabilities was 8.8 years.</w:t>
      </w:r>
    </w:p>
    <w:p>
      <w:pPr>
        <w:pStyle w:val="TextBody"/>
        <w:bidi w:val="0"/>
        <w:spacing w:before="0" w:after="240"/>
        <w:ind w:left="0" w:right="0" w:firstLine="360"/>
        <w:jc w:val="both"/>
        <w:rPr/>
      </w:pPr>
      <w:r>
        <w:rPr/>
        <w:t>​</w:t>
      </w:r>
    </w:p>
    <w:p>
      <w:pPr>
        <w:pStyle w:val="TextBody"/>
        <w:bidi w:val="0"/>
        <w:spacing w:before="0" w:after="240"/>
        <w:ind w:left="0" w:right="0" w:hanging="0"/>
        <w:jc w:val="both"/>
        <w:rPr/>
      </w:pPr>
      <w:bookmarkStart w:id="949" w:name="_8d7808e0_5d61_493d_8862_f1bb689f46b1"/>
      <w:bookmarkEnd w:id="949"/>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7.      PROVISION FOR IMPAIRMENT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Income Properties</w:t>
      </w:r>
      <w:r>
        <w:rPr>
          <w:rFonts w:ascii="Times New Roman;Times;serif" w:hAnsi="Times New Roman;Times;serif"/>
          <w:sz w:val="20"/>
        </w:rPr>
        <w:t>. 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letters of intent on specific properties, executed purchase and sale agreements on specific properties, third person valuations, discounted cash flow models, and other model-based techniques.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2023, the Company recorded a $2.9 million impairment charge representing the provision for losses related to seven convenience store properties within our income properties segment. These seven convenience store properties were leased to one tenant that filed for bankruptcy during the three months ended March 31, 2023. The seven leases underlying these seven convenience store properties were rejected as a part of the bankruptcy proceedings during August of 2023. The impairment charge of $2.9 million is equal to the estimated sales prices for these seven convenience store properties (as set forth in executed letters of intent at the time the impairment was estimated), less the book value of the assets as of December 31, 2023, less estimated costs to sell. As of December 31, 2023, the Company is continuing to evaluate potential sales of all seven of the convenience store properties, as well as leasing opportunities for the convenience store properties not currently leased. There were no impairment charges on the Company’s income property portfolio during the years ended December 31, 2022 and 2021.</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Commercial Loans and Investments</w:t>
      </w:r>
      <w:r>
        <w:rPr>
          <w:rFonts w:ascii="Times New Roman;Times;serif" w:hAnsi="Times New Roman;Times;serif"/>
          <w:sz w:val="20"/>
        </w:rPr>
        <w:t>. The Company evaluates the collectability of its commercial loans and investments on a quarterly basis or whenever events or changes in circumstances indicate that the carrying amount of an asset may not be recoverable. The Company accounts for provisions for expected credit losses in accordance with ASC Topic 326, Measurement of Credit Losses on Financial Instruments. Changes in the Company’s allowance for credit losses are presented within change in provision for impairment in the accompanying consolidated statements of operations.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year ended December 31, 2023, the Company recorded a $0.3 million impairment charge representing the provision for credit losses related to our commercial loans and investments. The $0.3 million charge was driven by the initial estimated CECL allowance based on our investment activity during the year ended December 31, 2023.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 </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950" w:name="Tc_4fronbu31kWcTBW1H_fAiQ_10_5"/>
      <w:bookmarkStart w:id="951" w:name="Tc_Ine9LDZEukurjkaiNC9v7A_10_2"/>
      <w:bookmarkStart w:id="952" w:name="Tc_-u8Z5FPDckiTFW7DA0Iz3A_10_0"/>
      <w:bookmarkStart w:id="953" w:name="Tc_dkS8v7u-UEaSldbQQPRXGQ_9_0"/>
      <w:bookmarkStart w:id="954" w:name="Tc_bNUdF1vrSEagBU_9y4IcAg_8_0"/>
      <w:bookmarkStart w:id="955" w:name="Tc_9xbJ0EKKc02tFioZPj8cJA_7_0"/>
      <w:bookmarkStart w:id="956" w:name="Tc_BME42mLKxk69AoKqpRp77A_6_0"/>
      <w:bookmarkStart w:id="957" w:name="Tc_ZLoinrAaukapHVAkdVdzeg_5_0"/>
      <w:bookmarkStart w:id="958" w:name="Tc_CtsIdBX7mESNlpljHzTHgw_4_0"/>
      <w:bookmarkStart w:id="959" w:name="Tc_oDMgET__WUGsTeiZ0UJy7Q_3_5"/>
      <w:bookmarkStart w:id="960" w:name="Tc_Ft3Rx6v5DUyc8_bT82mLuw_3_2"/>
      <w:bookmarkStart w:id="961" w:name="Tc_Al9iTiJiCEigVPBPthGyNA_3_0"/>
      <w:bookmarkStart w:id="962" w:name="Tc_UeJtwT65CkipccTA4QzYpg_2_5"/>
      <w:bookmarkStart w:id="963" w:name="Tc_zbNKHUrGdEinmLw1v_ukYQ_2_2"/>
      <w:bookmarkStart w:id="964" w:name="Tc_J_o9a2pUZkyer314e8FibA_1_2"/>
      <w:bookmarkStart w:id="965" w:name="_024849bd_e7cf_43d4_9ae0_8f76c403ca41"/>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r>
        <w:rPr>
          <w:rFonts w:ascii="Times New Roman;Times;serif" w:hAnsi="Times New Roman;Times;serif"/>
          <w:b/>
          <w:sz w:val="20"/>
        </w:rPr>
        <w:t>NOTE 8.      OTHER ASSETS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assets consisted of the following (in thousands):</w:t>
      </w:r>
    </w:p>
    <w:p>
      <w:pPr>
        <w:pStyle w:val="TextBody"/>
        <w:bidi w:val="0"/>
        <w:spacing w:before="0" w:after="240"/>
        <w:ind w:left="0" w:right="0" w:firstLine="360"/>
        <w:jc w:val="both"/>
        <w:rPr/>
      </w:pPr>
      <w:r>
        <w:rPr/>
        <w:t>​</w:t>
      </w:r>
    </w:p>
    <w:tbl>
      <w:tblPr>
        <w:tblW w:w="9114" w:type="dxa"/>
        <w:jc w:val="left"/>
        <w:tblInd w:w="0" w:type="dxa"/>
        <w:tblLayout w:type="fixed"/>
        <w:tblCellMar>
          <w:top w:w="0" w:type="dxa"/>
          <w:left w:w="0" w:type="dxa"/>
          <w:bottom w:w="0" w:type="dxa"/>
          <w:right w:w="0" w:type="dxa"/>
        </w:tblCellMar>
      </w:tblPr>
      <w:tblGrid>
        <w:gridCol w:w="5401"/>
        <w:gridCol w:w="109"/>
        <w:gridCol w:w="409"/>
        <w:gridCol w:w="1316"/>
        <w:gridCol w:w="109"/>
        <w:gridCol w:w="375"/>
        <w:gridCol w:w="1395"/>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429635" cy="175260"/>
                      <wp:effectExtent l="0" t="0" r="0" b="0"/>
                      <wp:wrapNone/>
                      <wp:docPr id="246" name="Frame246"/>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7"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59715" cy="175260"/>
                      <wp:effectExtent l="0" t="0" r="0" b="0"/>
                      <wp:wrapNone/>
                      <wp:docPr id="248" name="Frame248"/>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835660" cy="175260"/>
                      <wp:effectExtent l="0" t="0" r="0" b="0"/>
                      <wp:wrapNone/>
                      <wp:docPr id="249" name="Frame249"/>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38125" cy="175260"/>
                      <wp:effectExtent l="0" t="0" r="0" b="0"/>
                      <wp:wrapNone/>
                      <wp:docPr id="251" name="Frame25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885825" cy="175260"/>
                      <wp:effectExtent l="0" t="0" r="0" b="0"/>
                      <wp:wrapNone/>
                      <wp:docPr id="252" name="Frame252"/>
                      <a:graphic xmlns:a="http://schemas.openxmlformats.org/drawingml/2006/main">
                        <a:graphicData uri="http://schemas.microsoft.com/office/word/2010/wordprocessingShape">
                          <wps:wsp>
                            <wps:cNvSpPr txBox="1"/>
                            <wps:spPr>
                              <a:xfrm>
                                <a:off x="0" y="0"/>
                                <a:ext cx="885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Tenant Receivables—Net of Allowance for Doubtful Accounts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Insurance </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on Acquisitions</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Deposits, and Other</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Financing Costs—Net</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10,957</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14,632</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Leases - Right-of-Use Asset </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109" w:type="dxa"/>
            <w:tcBorders/>
            <w:vAlign w:val="center"/>
          </w:tcPr>
          <w:p>
            <w:pPr>
              <w:pStyle w:val="TableContents"/>
              <w:bidi w:val="0"/>
              <w:spacing w:before="0" w:after="0"/>
              <w:ind w:left="0" w:right="0" w:hanging="0"/>
              <w:jc w:val="left"/>
              <w:rPr/>
            </w:pPr>
            <w:r>
              <w:rPr/>
              <w:t>​</w:t>
            </w:r>
          </w:p>
        </w:tc>
        <w:tc>
          <w:tcPr>
            <w:tcW w:w="4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17,045</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21,233</w:t>
            </w:r>
          </w:p>
        </w:tc>
      </w:tr>
    </w:tbl>
    <w:tbl>
      <w:tblPr>
        <w:tblW w:w="6752" w:type="dxa"/>
        <w:jc w:val="left"/>
        <w:tblInd w:w="0" w:type="dxa"/>
        <w:tblLayout w:type="fixed"/>
        <w:tblCellMar>
          <w:top w:w="0" w:type="dxa"/>
          <w:left w:w="0" w:type="dxa"/>
          <w:bottom w:w="0" w:type="dxa"/>
          <w:right w:w="0" w:type="dxa"/>
        </w:tblCellMar>
      </w:tblPr>
      <w:tblGrid>
        <w:gridCol w:w="271"/>
        <w:gridCol w:w="648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648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$0.4</w:t>
            </w:r>
            <w:r>
              <w:rPr>
                <w:caps w:val="false"/>
                <w:smallCaps w:val="false"/>
              </w:rPr>
              <w:t xml:space="preserve"> </w:t>
            </w:r>
            <w:r>
              <w:rPr>
                <w:rFonts w:ascii="Times New Roman;Times;serif" w:hAnsi="Times New Roman;Times;serif"/>
                <w:b w:val="false"/>
                <w:i w:val="false"/>
                <w:caps w:val="false"/>
                <w:smallCaps w:val="false"/>
                <w:sz w:val="16"/>
              </w:rPr>
              <w:t>million allowance for doubtful accounts as of December 31, 2023 and 2022.</w:t>
            </w:r>
          </w:p>
        </w:tc>
      </w:tr>
    </w:tbl>
    <w:tbl>
      <w:tblPr>
        <w:tblW w:w="9947" w:type="dxa"/>
        <w:jc w:val="left"/>
        <w:tblInd w:w="0" w:type="dxa"/>
        <w:tblLayout w:type="fixed"/>
        <w:tblCellMar>
          <w:top w:w="0" w:type="dxa"/>
          <w:left w:w="0" w:type="dxa"/>
          <w:bottom w:w="0" w:type="dxa"/>
          <w:right w:w="0" w:type="dxa"/>
        </w:tblCellMar>
      </w:tblPr>
      <w:tblGrid>
        <w:gridCol w:w="271"/>
        <w:gridCol w:w="967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See Note 9, “Operating Land Leases” for further disclosure related to the Company’s right-of-use asset balance as of December 31, 2023.</w:t>
            </w:r>
          </w:p>
        </w:tc>
      </w:tr>
    </w:tbl>
    <w:p>
      <w:pPr>
        <w:pStyle w:val="TextBody"/>
        <w:bidi w:val="0"/>
        <w:spacing w:before="0" w:after="0"/>
        <w:ind w:left="0" w:right="0" w:hanging="0"/>
        <w:jc w:val="left"/>
        <w:rPr/>
      </w:pPr>
      <w:r>
        <w:rPr/>
        <w:t>​</w:t>
      </w:r>
    </w:p>
    <w:p>
      <w:pPr>
        <w:pStyle w:val="TextBody"/>
        <w:bidi w:val="0"/>
        <w:spacing w:before="0" w:after="0"/>
        <w:ind w:left="720" w:right="0" w:hanging="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66" w:name="Tc_gDkn7E6zsk2Lk5C7rD8u_A_10_2"/>
      <w:bookmarkStart w:id="967" w:name="Tc_vHeZM0VV9kilNfNDmGe6hw_10_0"/>
      <w:bookmarkStart w:id="968" w:name="Tc_b-Z10lMxKEmbyNGa7euq4g_9_0"/>
      <w:bookmarkStart w:id="969" w:name="Tc_H_UizQ9_p0uVSm5mF1Zp0w_8_2"/>
      <w:bookmarkStart w:id="970" w:name="Tc_K-OgkntS10uEcbNAzGOEyQ_8_0"/>
      <w:bookmarkStart w:id="971" w:name="Tc_plaBtNCe5EOcFRmPm_Wwwg_7_0"/>
      <w:bookmarkStart w:id="972" w:name="Tc_2vpkBd9vEUCIZ-uu1zBWVA_6_0"/>
      <w:bookmarkStart w:id="973" w:name="Tc_BrcN1Vi4QkaJpsGMWFrHqA_5_0"/>
      <w:bookmarkStart w:id="974" w:name="Tc_zuZUf1dKbUCAdPBHrwWzwg_4_0"/>
      <w:bookmarkStart w:id="975" w:name="Tc_SV6Z3iFIR0GjBjgBe_evoA_3_0"/>
      <w:bookmarkStart w:id="976" w:name="Tc_aRmvpEcyGUW7F9w-y2qFNQ_2_2"/>
      <w:bookmarkStart w:id="977" w:name="Tc_1yunXwa8bkqS5GmIDrfhog_2_0"/>
      <w:bookmarkStart w:id="978" w:name="Tc_E1hIFaW0iU2LHIKqxENZdw_1_0"/>
      <w:bookmarkStart w:id="979" w:name="_c8179c60_4ae9_432e_9a5a_007a2df96a32"/>
      <w:bookmarkStart w:id="980" w:name="Tc_a7s65PW_qUuWM2fe11TzXw_5_9"/>
      <w:bookmarkStart w:id="981" w:name="Tc_2E8t6Tc8Y0K907hdFi8PVg_5_0"/>
      <w:bookmarkStart w:id="982" w:name="Tc_YAeFYLQaj0iWUNH-UcDcow_4_9"/>
      <w:bookmarkStart w:id="983" w:name="Tc_Bxz7OeQIBUuBP-21n0nrrA_4_0"/>
      <w:bookmarkStart w:id="984" w:name="Tc_GvCKzTwFrEGov0cQciKMQg_3_9"/>
      <w:bookmarkStart w:id="985" w:name="Tc_1OFNy9UCVEaMDQdHmFKjog_3_8"/>
      <w:bookmarkStart w:id="986" w:name="Tc_yXrp8pzcXU-FxsoNWWAJ2Q_3_5"/>
      <w:bookmarkStart w:id="987" w:name="Tc_WCXayjKN_USx1p6wLAmyhA_3_2"/>
      <w:bookmarkStart w:id="988" w:name="Tc_YuEtEX-zj0Wk_8Fle6nLMA_3_0"/>
      <w:bookmarkStart w:id="989" w:name="Tc_GbZEi0xevE6tUhteVj8xNw_2_8"/>
      <w:bookmarkStart w:id="990" w:name="Tc_IXI1am66kU6CXJ96hXts7Q_2_5"/>
      <w:bookmarkStart w:id="991" w:name="Tc_DvUjiif3V06-cUzkQRqSwg_2_2"/>
      <w:bookmarkStart w:id="992" w:name="Tc_vI1LLAxhp0WadB0XjAfMTg_1_2"/>
      <w:bookmarkStart w:id="993" w:name="_572b4d77_6fc8_4a7e_ae46_cedcf227886d"/>
      <w:bookmarkStart w:id="994" w:name="_6891b0e6_799d_406b_a75c_764299990f32_3"/>
      <w:bookmarkStart w:id="995" w:name="_6891b0e6_799d_406b_a75c_764299990f32_2"/>
      <w:bookmarkStart w:id="996" w:name="_6891b0e6_799d_406b_a75c_764299990f32"/>
      <w:bookmarkStart w:id="997" w:name="_0c0ca1c1_2e63_4c36_9482_268b72fc7759_3"/>
      <w:bookmarkStart w:id="998" w:name="_0c0ca1c1_2e63_4c36_9482_268b72fc7759_2"/>
      <w:bookmarkStart w:id="999" w:name="_0c0ca1c1_2e63_4c36_9482_268b72fc7759"/>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r>
        <w:rPr>
          <w:rFonts w:ascii="Times New Roman;Times;serif" w:hAnsi="Times New Roman;Times;serif"/>
          <w:b/>
          <w:sz w:val="20"/>
        </w:rPr>
        <w:t>NOTE 9. OPERATING LAND LEASES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is the lessee under operating land leases for certain of its properties. FASB ASC Topic 842, Leases, requires a lessee to recognize right-of-use assets and lease liabilities that arise from leases, whether qualifying as an operating or finance lease. As of December 31, 2023, the Company’s right-of-use assets totaled $1.4 million and the corresponding lease liabilities totaled $1.5 million,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 borrow on a collateralized basis over a similar term, for an amount equal to the lease payments, in a similar economic environment.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Amortization of right-of-use assets for operating land leases is recognized on a straight-line basis over the term of the lease and is included within real estate expenses in the consolidated statements of operations. Amortization totaled $0.3 million and $0.1 million during the years ended December 31, 2023 and 2022, respectively, with no such expense recognized during the year ended December 31, 2021.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reflects a summary of operating land leases, under which the Company is the lessee, for the years ended December 31, 2023, 2022, and 2021 (in thousands):</w:t>
      </w:r>
    </w:p>
    <w:p>
      <w:pPr>
        <w:pStyle w:val="TextBody"/>
        <w:bidi w:val="0"/>
        <w:spacing w:lineRule="auto" w:line="256" w:before="0" w:after="0"/>
        <w:ind w:left="0" w:right="0" w:hanging="0"/>
        <w:jc w:val="both"/>
        <w:rPr/>
      </w:pPr>
      <w:r>
        <w:rPr/>
        <w:t>​</w:t>
      </w:r>
    </w:p>
    <w:tbl>
      <w:tblPr>
        <w:tblW w:w="9103" w:type="dxa"/>
        <w:jc w:val="left"/>
        <w:tblInd w:w="0" w:type="dxa"/>
        <w:tblLayout w:type="fixed"/>
        <w:tblCellMar>
          <w:top w:w="0" w:type="dxa"/>
          <w:left w:w="0" w:type="dxa"/>
          <w:bottom w:w="0" w:type="dxa"/>
          <w:right w:w="0" w:type="dxa"/>
        </w:tblCellMar>
      </w:tblPr>
      <w:tblGrid>
        <w:gridCol w:w="3556"/>
        <w:gridCol w:w="109"/>
        <w:gridCol w:w="574"/>
        <w:gridCol w:w="1151"/>
        <w:gridCol w:w="109"/>
        <w:gridCol w:w="574"/>
        <w:gridCol w:w="1151"/>
        <w:gridCol w:w="109"/>
        <w:gridCol w:w="563"/>
        <w:gridCol w:w="1207"/>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258060" cy="175260"/>
                      <wp:effectExtent l="0" t="0" r="0" b="0"/>
                      <wp:wrapNone/>
                      <wp:docPr id="253" name="Frame253"/>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215" cy="175260"/>
                      <wp:effectExtent l="0" t="0" r="0" b="0"/>
                      <wp:wrapNone/>
                      <wp:docPr id="254" name="Frame2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64490" cy="175260"/>
                      <wp:effectExtent l="0" t="0" r="0" b="0"/>
                      <wp:wrapNone/>
                      <wp:docPr id="255" name="Frame255"/>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730885" cy="175260"/>
                      <wp:effectExtent l="0" t="0" r="0" b="0"/>
                      <wp:wrapNone/>
                      <wp:docPr id="256" name="Frame256"/>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7"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64490" cy="175260"/>
                      <wp:effectExtent l="0" t="0" r="0" b="0"/>
                      <wp:wrapNone/>
                      <wp:docPr id="258" name="Frame258"/>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730885" cy="175260"/>
                      <wp:effectExtent l="0" t="0" r="0" b="0"/>
                      <wp:wrapNone/>
                      <wp:docPr id="259" name="Frame259"/>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57505" cy="175260"/>
                      <wp:effectExtent l="0" t="0" r="0" b="0"/>
                      <wp:wrapNone/>
                      <wp:docPr id="261" name="Frame261"/>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766445" cy="175260"/>
                      <wp:effectExtent l="0" t="0" r="0" b="0"/>
                      <wp:wrapNone/>
                      <wp:docPr id="262" name="Frame262"/>
                      <a:graphic xmlns:a="http://schemas.openxmlformats.org/drawingml/2006/main">
                        <a:graphicData uri="http://schemas.microsoft.com/office/word/2010/wordprocessingShape">
                          <wps:wsp>
                            <wps:cNvSpPr txBox="1"/>
                            <wps:spPr>
                              <a:xfrm>
                                <a:off x="0" y="0"/>
                                <a:ext cx="766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w:t>
            </w:r>
          </w:p>
        </w:tc>
        <w:tc>
          <w:tcPr>
            <w:tcW w:w="109"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109"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109"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109"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109"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109"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left"/>
              <w:rPr/>
            </w:pPr>
            <w:r>
              <w:rPr/>
              <w:t>​</w:t>
            </w:r>
          </w:p>
        </w:tc>
        <w:tc>
          <w:tcPr>
            <w:tcW w:w="1207"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Minimum future lease payments under non-cancelable operating land leases, having remaining terms in excess of one year subsequent to December 31, 2023, are summarized as follows (in thousands):</w:t>
      </w:r>
    </w:p>
    <w:p>
      <w:pPr>
        <w:pStyle w:val="TextBody"/>
        <w:bidi w:val="0"/>
        <w:spacing w:lineRule="auto" w:line="256" w:before="0" w:after="0"/>
        <w:ind w:left="0" w:right="0" w:hanging="0"/>
        <w:jc w:val="both"/>
        <w:rPr/>
      </w:pPr>
      <w:r>
        <w:rPr/>
        <w:t>​</w:t>
      </w:r>
    </w:p>
    <w:tbl>
      <w:tblPr>
        <w:tblW w:w="3427" w:type="dxa"/>
        <w:jc w:val="left"/>
        <w:tblInd w:w="0" w:type="dxa"/>
        <w:tblLayout w:type="fixed"/>
        <w:tblCellMar>
          <w:top w:w="0" w:type="dxa"/>
          <w:left w:w="0" w:type="dxa"/>
          <w:bottom w:w="0" w:type="dxa"/>
          <w:right w:w="0" w:type="dxa"/>
        </w:tblCellMar>
      </w:tblPr>
      <w:tblGrid>
        <w:gridCol w:w="2431"/>
        <w:gridCol w:w="109"/>
        <w:gridCol w:w="211"/>
        <w:gridCol w:w="676"/>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543685" cy="175260"/>
                      <wp:effectExtent l="0" t="0" r="0" b="0"/>
                      <wp:wrapNone/>
                      <wp:docPr id="263" name="Frame263"/>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64" name="Frame2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29260" cy="175260"/>
                      <wp:effectExtent l="0" t="0" r="0" b="0"/>
                      <wp:wrapNone/>
                      <wp:docPr id="266" name="Frame2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pPr>
            <w:r>
              <w:rPr/>
              <w:t>​</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1,539</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Imputed Interest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 – Liability</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1,454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000" w:name="Tc_Ihhl3Nlh5UqSR7ZjakKUtA_9_2"/>
      <w:bookmarkStart w:id="1001" w:name="Tc_wa1nXu3LNUeb8erotf2p7A_9_0"/>
      <w:bookmarkStart w:id="1002" w:name="Tc_bl35enxX702PSpiF90THDw_8_0"/>
      <w:bookmarkStart w:id="1003" w:name="Tc_e76mFfzE20OuD2cSeZ8pww_7_2"/>
      <w:bookmarkStart w:id="1004" w:name="Tc_tdT7th5rXUin_IvNdhSPKw_7_0"/>
      <w:bookmarkStart w:id="1005" w:name="Tc_QP_gizoGzkKD8rrW_YoPEw_6_0"/>
      <w:bookmarkStart w:id="1006" w:name="Tc_P_xnRVWP6EKZH9fjaJdlbQ_5_0"/>
      <w:bookmarkStart w:id="1007" w:name="Tc_GKA_iAEBWE-Aw2up1ZlGXA_4_0"/>
      <w:bookmarkStart w:id="1008" w:name="Tc_BUKLVKaiV0-uyT3tJyl-Dg_3_0"/>
      <w:bookmarkStart w:id="1009" w:name="Tc_4cGrlsO9rESELL_IeROfTQ_2_2"/>
      <w:bookmarkStart w:id="1010" w:name="Tc_PNLi_Az5NkKBgSIQ-3jHgA_2_0"/>
      <w:bookmarkStart w:id="1011" w:name="Tc__TLNtl7nXU2LAG-yYJLblg_1_2"/>
      <w:bookmarkStart w:id="1012" w:name="_75e2e0cd_8ea9_42e7_8c51_9685a3f430e7"/>
      <w:bookmarkEnd w:id="1000"/>
      <w:bookmarkEnd w:id="1001"/>
      <w:bookmarkEnd w:id="1002"/>
      <w:bookmarkEnd w:id="1003"/>
      <w:bookmarkEnd w:id="1004"/>
      <w:bookmarkEnd w:id="1005"/>
      <w:bookmarkEnd w:id="1006"/>
      <w:bookmarkEnd w:id="1007"/>
      <w:bookmarkEnd w:id="1008"/>
      <w:bookmarkEnd w:id="1009"/>
      <w:bookmarkEnd w:id="1010"/>
      <w:bookmarkEnd w:id="1011"/>
      <w:bookmarkEnd w:id="1012"/>
      <w:r>
        <w:rPr>
          <w:rFonts w:ascii="Times New Roman;Times;serif" w:hAnsi="Times New Roman;Times;serif"/>
          <w:b/>
          <w:sz w:val="20"/>
        </w:rPr>
        <w:t>NOTE 10.      ASSETS HELD FOR SALE</w:t>
      </w:r>
    </w:p>
    <w:p>
      <w:pPr>
        <w:pStyle w:val="TextBody"/>
        <w:bidi w:val="0"/>
        <w:spacing w:before="240" w:after="240"/>
        <w:ind w:left="0" w:right="0" w:firstLine="360"/>
        <w:jc w:val="both"/>
        <w:rPr>
          <w:rFonts w:ascii="Times New Roman;Times;serif" w:hAnsi="Times New Roman;Times;serif"/>
          <w:sz w:val="20"/>
        </w:rPr>
      </w:pPr>
      <w:r>
        <w:rPr>
          <w:rFonts w:ascii="Times New Roman;Times;serif" w:hAnsi="Times New Roman;Times;serif"/>
          <w:sz w:val="20"/>
        </w:rPr>
        <w:t xml:space="preserve">Assets held for sale as of December 31, 2023 are summarized below (in thousands). There were no assets or </w:t>
      </w:r>
      <w:r>
        <w:rPr>
          <w:rFonts w:ascii="Times New Roman;Times;serif" w:hAnsi="Times New Roman;Times;serif"/>
          <w:b w:val="false"/>
          <w:i w:val="false"/>
          <w:caps w:val="false"/>
          <w:smallCaps w:val="false"/>
          <w:sz w:val="20"/>
        </w:rPr>
        <w:t>liabilities</w:t>
      </w:r>
      <w:r>
        <w:rPr>
          <w:rFonts w:ascii="Times New Roman;Times;serif" w:hAnsi="Times New Roman;Times;serif"/>
          <w:sz w:val="20"/>
        </w:rPr>
        <w:t xml:space="preserve"> held for sale as of December 31, 2022.</w:t>
      </w:r>
    </w:p>
    <w:tbl>
      <w:tblPr>
        <w:tblW w:w="5690" w:type="dxa"/>
        <w:jc w:val="left"/>
        <w:tblInd w:w="0" w:type="dxa"/>
        <w:tblLayout w:type="fixed"/>
        <w:tblCellMar>
          <w:top w:w="0" w:type="dxa"/>
          <w:left w:w="0" w:type="dxa"/>
          <w:bottom w:w="0" w:type="dxa"/>
          <w:right w:w="0" w:type="dxa"/>
        </w:tblCellMar>
      </w:tblPr>
      <w:tblGrid>
        <w:gridCol w:w="3346"/>
        <w:gridCol w:w="109"/>
        <w:gridCol w:w="530"/>
        <w:gridCol w:w="1705"/>
      </w:tblGrid>
      <w:tr>
        <w:trPr/>
        <w:tc>
          <w:tcPr>
            <w:tcW w:w="3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7"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36550" cy="175260"/>
                      <wp:effectExtent l="0" t="0" r="0" b="0"/>
                      <wp:wrapNone/>
                      <wp:docPr id="268" name="Frame268"/>
                      <a:graphic xmlns:a="http://schemas.openxmlformats.org/drawingml/2006/main">
                        <a:graphicData uri="http://schemas.microsoft.com/office/word/2010/wordprocessingShape">
                          <wps:wsp>
                            <wps:cNvSpPr txBox="1"/>
                            <wps:spPr>
                              <a:xfrm>
                                <a:off x="0" y="0"/>
                                <a:ext cx="336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082675" cy="175260"/>
                      <wp:effectExtent l="0" t="0" r="0" b="0"/>
                      <wp:wrapNone/>
                      <wp:docPr id="269" name="Frame269"/>
                      <a:graphic xmlns:a="http://schemas.openxmlformats.org/drawingml/2006/main">
                        <a:graphicData uri="http://schemas.microsoft.com/office/word/2010/wordprocessingShape">
                          <wps:wsp>
                            <wps:cNvSpPr txBox="1"/>
                            <wps:spPr>
                              <a:xfrm>
                                <a:off x="0" y="0"/>
                                <a:ext cx="1082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2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 December 31, 2023</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109"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6,374</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109"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left"/>
              <w:rPr/>
            </w:pPr>
            <w:r>
              <w:rPr/>
              <w:t>​</w:t>
            </w:r>
          </w:p>
        </w:tc>
        <w:tc>
          <w:tcPr>
            <w:tcW w:w="17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109"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left"/>
              <w:rPr/>
            </w:pPr>
            <w:r>
              <w:rPr/>
              <w:t>​</w:t>
            </w:r>
          </w:p>
        </w:tc>
        <w:tc>
          <w:tcPr>
            <w:tcW w:w="17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left"/>
              <w:rPr/>
            </w:pPr>
            <w:r>
              <w:rPr/>
              <w:t>​</w:t>
            </w:r>
          </w:p>
        </w:tc>
        <w:tc>
          <w:tcPr>
            <w:tcW w:w="17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5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7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Prior to Provision for Impairment</w:t>
            </w:r>
          </w:p>
        </w:tc>
        <w:tc>
          <w:tcPr>
            <w:tcW w:w="109"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7,274</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Provision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5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7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(2,864)</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Held for Sale</w:t>
            </w:r>
          </w:p>
        </w:tc>
        <w:tc>
          <w:tcPr>
            <w:tcW w:w="109" w:type="dxa"/>
            <w:tcBorders/>
            <w:vAlign w:val="center"/>
          </w:tcPr>
          <w:p>
            <w:pPr>
              <w:pStyle w:val="TableContents"/>
              <w:bidi w:val="0"/>
              <w:spacing w:before="0" w:after="1"/>
              <w:ind w:left="0" w:right="0" w:hanging="0"/>
              <w:jc w:val="left"/>
              <w:rPr/>
            </w:pPr>
            <w:r>
              <w:rPr/>
              <w:t>​</w:t>
            </w:r>
          </w:p>
        </w:tc>
        <w:tc>
          <w:tcPr>
            <w:tcW w:w="5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0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4,410</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24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bookmarkStart w:id="1013" w:name="Tc_9ZSAt5JJwUSZ1zMKJLiCWQ_9_5"/>
      <w:bookmarkStart w:id="1014" w:name="Tc_0bWXXZ72b0CB57LNH2Mh0A_9_2"/>
      <w:bookmarkStart w:id="1015" w:name="Tc_mca_huKgx0qLsfSGxfOArg_9_0"/>
      <w:bookmarkStart w:id="1016" w:name="Tc_CkIm_m8EDkC7CfqM-R-HJQ_8_0"/>
      <w:bookmarkStart w:id="1017" w:name="Tc_9-KaRiRjB0y7KaQ_U2-XWQ_7_0"/>
      <w:bookmarkStart w:id="1018" w:name="Tc_0olwgN1lEEycZWthj4kRvw_5_0"/>
      <w:bookmarkStart w:id="1019" w:name="Tc_QGqHhCufaU-iMMMDQn12qg_4_0"/>
      <w:bookmarkStart w:id="1020" w:name="Tc_sjMqG6AWFUqewFS7XkqYFQ_3_5"/>
      <w:bookmarkStart w:id="1021" w:name="Tc_pRI7KRRDckC7zKP2mrOQpw_3_2"/>
      <w:bookmarkStart w:id="1022" w:name="Tc_2M6K2PhhW0SgG6zFVVfnvw_3_0"/>
      <w:bookmarkStart w:id="1023" w:name="Tc_rvtnTz299EmT2-IpvcMHQg_2_5"/>
      <w:bookmarkStart w:id="1024" w:name="Tc_Z9sEZzqT3UGBdCqJh84ToQ_2_2"/>
      <w:bookmarkStart w:id="1025" w:name="Tc_0PGbBF9S50yS7KYWCwbzNQ_1_2"/>
      <w:bookmarkStart w:id="1026" w:name="_3cdaab75_68bf_4732_9269_489e4ea99523"/>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r>
        <w:rPr>
          <w:rFonts w:ascii="Times New Roman;Times;serif" w:hAnsi="Times New Roman;Times;serif"/>
          <w:b/>
          <w:sz w:val="20"/>
        </w:rPr>
        <w:t>NOTE 11.      ACCOUNTS PAYABLE, ACCRUED EXPENSES, AND OTHER LIABILITIES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Accounts payable, accrued expenses and other liabilities consisted of the following (in thousands):</w:t>
      </w:r>
    </w:p>
    <w:tbl>
      <w:tblPr>
        <w:tblW w:w="9114" w:type="dxa"/>
        <w:jc w:val="left"/>
        <w:tblInd w:w="0" w:type="dxa"/>
        <w:tblLayout w:type="fixed"/>
        <w:tblCellMar>
          <w:top w:w="0" w:type="dxa"/>
          <w:left w:w="0" w:type="dxa"/>
          <w:bottom w:w="0" w:type="dxa"/>
          <w:right w:w="0" w:type="dxa"/>
        </w:tblCellMar>
      </w:tblPr>
      <w:tblGrid>
        <w:gridCol w:w="5401"/>
        <w:gridCol w:w="109"/>
        <w:gridCol w:w="465"/>
        <w:gridCol w:w="1260"/>
        <w:gridCol w:w="109"/>
        <w:gridCol w:w="420"/>
        <w:gridCol w:w="1350"/>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429635" cy="175260"/>
                      <wp:effectExtent l="0" t="0" r="0" b="0"/>
                      <wp:wrapNone/>
                      <wp:docPr id="270" name="Frame270"/>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1"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95275" cy="175260"/>
                      <wp:effectExtent l="0" t="0" r="0" b="0"/>
                      <wp:wrapNone/>
                      <wp:docPr id="272" name="Frame272"/>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800100" cy="175260"/>
                      <wp:effectExtent l="0" t="0" r="0" b="0"/>
                      <wp:wrapNone/>
                      <wp:docPr id="273" name="Frame273"/>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215" cy="175260"/>
                      <wp:effectExtent l="0" t="0" r="0" b="0"/>
                      <wp:wrapNone/>
                      <wp:docPr id="274" name="Frame2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66700" cy="175260"/>
                      <wp:effectExtent l="0" t="0" r="0" b="0"/>
                      <wp:wrapNone/>
                      <wp:docPr id="275" name="Frame275"/>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857250" cy="175260"/>
                      <wp:effectExtent l="0" t="0" r="0" b="0"/>
                      <wp:wrapNone/>
                      <wp:docPr id="276" name="Frame276"/>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Payable </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2,449</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Security Deposits</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CTO</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540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Leases - Liability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Payable, Accrued Expenses, and 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5,197</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4,411</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See Note 9, “Operating Land Leases” for further disclosure related to the Company’s operating land lease liability balance as of December 31, 2023.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027" w:name="Tc_a6Lo5JFe5UmhnCVZMtrO9Q_5_2"/>
      <w:bookmarkStart w:id="1028" w:name="Tc_QVQTRHgBJ0iagBCY0_3ZGA_5_0"/>
      <w:bookmarkStart w:id="1029" w:name="Tc_rR9Y70q1iEesk00Nj0tNuQ_4_7"/>
      <w:bookmarkStart w:id="1030" w:name="Tc_4_SdNXqQlE-xGEmYR5CPIw_4_5"/>
      <w:bookmarkStart w:id="1031" w:name="Tc_hGn5KBpwfkiPoyqVXO6qqw_4_0"/>
      <w:bookmarkStart w:id="1032" w:name="Tc_MBJcAK-6MUezDMM_Ig6RUw_3_7"/>
      <w:bookmarkStart w:id="1033" w:name="Tc_FZQBqvmPY0CiAduYeTXaVQ_3_5"/>
      <w:bookmarkStart w:id="1034" w:name="Tc_-j5epGX_r0KtgZiMauGGqA_3_0"/>
      <w:bookmarkStart w:id="1035" w:name="Tc_f47_hKuXTEWjJ0qHUinGWw_2_7"/>
      <w:bookmarkStart w:id="1036" w:name="Tc_jvJYzt5zk0u_ToSWJPhJ8Q_2_5"/>
      <w:bookmarkStart w:id="1037" w:name="Tc_nH2K-pko-Uqwvd6yKrxQdQ_2_2"/>
      <w:bookmarkStart w:id="1038" w:name="Tc_diIcULKVjEShlMHOGE2yBA_2_0"/>
      <w:bookmarkStart w:id="1039" w:name="Tc_ljzn0HfR4kOuLPowZ-wl6Q_1_7"/>
      <w:bookmarkStart w:id="1040" w:name="Tc_GiLoGATvEE-2J4yU0dJrKA_1_5"/>
      <w:bookmarkStart w:id="1041" w:name="Tc_-PkGl3IeBEC0AAGa2I28eQ_1_2"/>
      <w:bookmarkStart w:id="1042" w:name="_1908ecb2_a62c_40de_85f9_ba9d598264ec"/>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r>
        <w:rPr>
          <w:rFonts w:ascii="Times New Roman;Times;serif" w:hAnsi="Times New Roman;Times;serif"/>
          <w:b/>
          <w:sz w:val="20"/>
        </w:rPr>
        <w:t>NOTE 12.      LONG-TERM DEBT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2023, the Company’s outstanding indebtedness, at face value, was as follows (in thousands):</w:t>
      </w:r>
    </w:p>
    <w:p>
      <w:pPr>
        <w:pStyle w:val="TextBody"/>
        <w:bidi w:val="0"/>
        <w:spacing w:before="0" w:after="0"/>
        <w:ind w:left="0" w:right="0" w:hanging="0"/>
        <w:jc w:val="left"/>
        <w:rPr/>
      </w:pPr>
      <w:r>
        <w:rPr/>
        <w:t>​</w:t>
      </w:r>
    </w:p>
    <w:tbl>
      <w:tblPr>
        <w:tblW w:w="7965" w:type="dxa"/>
        <w:jc w:val="left"/>
        <w:tblInd w:w="0" w:type="dxa"/>
        <w:tblLayout w:type="fixed"/>
        <w:tblCellMar>
          <w:top w:w="0" w:type="dxa"/>
          <w:left w:w="0" w:type="dxa"/>
          <w:bottom w:w="0" w:type="dxa"/>
          <w:right w:w="0" w:type="dxa"/>
        </w:tblCellMar>
      </w:tblPr>
      <w:tblGrid>
        <w:gridCol w:w="3001"/>
        <w:gridCol w:w="109"/>
        <w:gridCol w:w="325"/>
        <w:gridCol w:w="1205"/>
        <w:gridCol w:w="109"/>
        <w:gridCol w:w="1756"/>
        <w:gridCol w:w="109"/>
        <w:gridCol w:w="1351"/>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905635" cy="175260"/>
                      <wp:effectExtent l="0" t="0" r="0" b="0"/>
                      <wp:wrapNone/>
                      <wp:docPr id="277" name="Frame277"/>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9215" cy="175260"/>
                      <wp:effectExtent l="0" t="0" r="0" b="0"/>
                      <wp:wrapNone/>
                      <wp:docPr id="278" name="Frame2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6375" cy="175260"/>
                      <wp:effectExtent l="0" t="0" r="0" b="0"/>
                      <wp:wrapNone/>
                      <wp:docPr id="279" name="Frame279"/>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65175" cy="175260"/>
                      <wp:effectExtent l="0" t="0" r="0" b="0"/>
                      <wp:wrapNone/>
                      <wp:docPr id="280" name="Frame280"/>
                      <a:graphic xmlns:a="http://schemas.openxmlformats.org/drawingml/2006/main">
                        <a:graphicData uri="http://schemas.microsoft.com/office/word/2010/wordprocessingShape">
                          <wps:wsp>
                            <wps:cNvSpPr txBox="1"/>
                            <wps:spPr>
                              <a:xfrm>
                                <a:off x="0" y="0"/>
                                <a:ext cx="765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9215" cy="175260"/>
                      <wp:effectExtent l="0" t="0" r="0" b="0"/>
                      <wp:wrapNone/>
                      <wp:docPr id="281" name="Frame2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115060" cy="175260"/>
                      <wp:effectExtent l="0" t="0" r="0" b="0"/>
                      <wp:wrapNone/>
                      <wp:docPr id="282" name="Frame282"/>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857885" cy="175260"/>
                      <wp:effectExtent l="0" t="0" r="0" b="0"/>
                      <wp:wrapNone/>
                      <wp:docPr id="284" name="Frame284"/>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Face Value Debt </w:t>
            </w:r>
          </w:p>
        </w:tc>
        <w:tc>
          <w:tcPr>
            <w:tcW w:w="109" w:type="dxa"/>
            <w:tcBorders/>
            <w:vAlign w:val="center"/>
          </w:tcPr>
          <w:p>
            <w:pPr>
              <w:pStyle w:val="TableContents"/>
              <w:bidi w:val="0"/>
              <w:spacing w:before="0" w:after="0"/>
              <w:ind w:left="0" w:right="0" w:hanging="0"/>
              <w:jc w:val="left"/>
              <w:rPr/>
            </w:pPr>
            <w:r>
              <w:rPr/>
              <w:t>​</w:t>
            </w:r>
          </w:p>
        </w:tc>
        <w:tc>
          <w:tcPr>
            <w:tcW w:w="17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Stated Interest Rate</w:t>
            </w:r>
          </w:p>
        </w:tc>
        <w:tc>
          <w:tcPr>
            <w:tcW w:w="109" w:type="dxa"/>
            <w:tcBorders/>
            <w:vAlign w:val="center"/>
          </w:tcPr>
          <w:p>
            <w:pPr>
              <w:pStyle w:val="TableContents"/>
              <w:bidi w:val="0"/>
              <w:spacing w:before="0" w:after="0"/>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 Date</w:t>
            </w:r>
          </w:p>
        </w:tc>
      </w:tr>
      <w:tr>
        <w:trPr/>
        <w:tc>
          <w:tcPr>
            <w:tcW w:w="30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Facility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76,500</w:t>
            </w:r>
          </w:p>
        </w:tc>
        <w:tc>
          <w:tcPr>
            <w:tcW w:w="109" w:type="dxa"/>
            <w:tcBorders/>
            <w:shd w:fill="CCEEFF" w:val="clear"/>
            <w:vAlign w:val="center"/>
          </w:tcPr>
          <w:p>
            <w:pPr>
              <w:pStyle w:val="TableContents"/>
              <w:bidi w:val="0"/>
              <w:spacing w:before="0" w:after="0"/>
              <w:ind w:left="0" w:right="0" w:hanging="0"/>
              <w:jc w:val="left"/>
              <w:rPr/>
            </w:pPr>
            <w:r>
              <w:rPr/>
              <w:t>​</w:t>
            </w:r>
          </w:p>
        </w:tc>
        <w:tc>
          <w:tcPr>
            <w:tcW w:w="17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r>
      <w:tr>
        <w:trPr/>
        <w:tc>
          <w:tcPr>
            <w:tcW w:w="300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09"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[1.35% - 1.95%]</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2026</w:t>
            </w:r>
          </w:p>
        </w:tc>
      </w:tr>
      <w:tr>
        <w:trPr/>
        <w:tc>
          <w:tcPr>
            <w:tcW w:w="30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w:t>
            </w:r>
            <w:r>
              <w:rPr>
                <w:rFonts w:ascii="Times New Roman;Times;serif" w:hAnsi="Times New Roman;Times;serif"/>
                <w:sz w:val="15"/>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09" w:type="dxa"/>
            <w:tcBorders/>
            <w:shd w:fill="CCEEFF" w:val="clear"/>
            <w:vAlign w:val="center"/>
          </w:tcPr>
          <w:p>
            <w:pPr>
              <w:pStyle w:val="TableContents"/>
              <w:bidi w:val="0"/>
              <w:spacing w:before="0" w:after="0"/>
              <w:ind w:left="0" w:right="0" w:hanging="0"/>
              <w:jc w:val="left"/>
              <w:rPr/>
            </w:pPr>
            <w:r>
              <w:rPr/>
              <w:t>​</w:t>
            </w:r>
          </w:p>
        </w:tc>
        <w:tc>
          <w:tcPr>
            <w:tcW w:w="175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- 1.90%]</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Debt/Weighted-Average Rate</w:t>
            </w:r>
          </w:p>
        </w:tc>
        <w:tc>
          <w:tcPr>
            <w:tcW w:w="109" w:type="dxa"/>
            <w:tcBorders/>
            <w:vAlign w:val="center"/>
          </w:tcPr>
          <w:p>
            <w:pPr>
              <w:pStyle w:val="TableContents"/>
              <w:bidi w:val="0"/>
              <w:spacing w:before="0" w:after="0"/>
              <w:ind w:left="0" w:right="0" w:hanging="0"/>
              <w:jc w:val="left"/>
              <w:rPr/>
            </w:pPr>
            <w:r>
              <w:rPr/>
              <w:t>​</w:t>
            </w:r>
          </w:p>
        </w:tc>
        <w:tc>
          <w:tcPr>
            <w:tcW w:w="3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276,500</w:t>
            </w:r>
          </w:p>
        </w:tc>
        <w:tc>
          <w:tcPr>
            <w:tcW w:w="109" w:type="dxa"/>
            <w:tcBorders/>
            <w:vAlign w:val="center"/>
          </w:tcPr>
          <w:p>
            <w:pPr>
              <w:pStyle w:val="TableContents"/>
              <w:bidi w:val="0"/>
              <w:spacing w:before="0" w:after="0"/>
              <w:ind w:left="0" w:right="0" w:hanging="0"/>
              <w:jc w:val="left"/>
              <w:rPr/>
            </w:pPr>
            <w:r>
              <w:rPr/>
              <w:t>​</w:t>
            </w:r>
          </w:p>
        </w:tc>
        <w:tc>
          <w:tcPr>
            <w:tcW w:w="175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3.84%</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2023,</w:t>
            </w:r>
            <w:r>
              <w:rPr>
                <w:caps w:val="false"/>
                <w:smallCaps w:val="false"/>
              </w:rPr>
              <w:t xml:space="preserve"> </w:t>
            </w:r>
            <w:r>
              <w:rPr>
                <w:rFonts w:ascii="Times New Roman;Times;serif" w:hAnsi="Times New Roman;Times;serif"/>
                <w:b w:val="false"/>
                <w:i w:val="false"/>
                <w:caps w:val="false"/>
                <w:smallCaps w:val="false"/>
                <w:sz w:val="16"/>
              </w:rPr>
              <w:t>the Company utilized an interest rate swap to fix SOFR and achieve a fixed interest rate of 3.21%</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$50</w:t>
            </w:r>
            <w:r>
              <w:rPr>
                <w:caps w:val="false"/>
                <w:smallCaps w:val="false"/>
              </w:rPr>
              <w:t xml:space="preserve"> </w:t>
            </w:r>
            <w:r>
              <w:rPr>
                <w:rFonts w:ascii="Times New Roman;Times;serif" w:hAnsi="Times New Roman;Times;serif"/>
                <w:b w:val="false"/>
                <w:i w:val="false"/>
                <w:caps w:val="false"/>
                <w:smallCaps w:val="false"/>
                <w:sz w:val="16"/>
              </w:rPr>
              <w:t>million of the outstanding balance on the Credit Facility (hereinafter defined). See Note 13, “Interest Rate Swaps” for further disclosure related to the Company's interest rate swaps.</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2023,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the $100</w:t>
            </w:r>
            <w:r>
              <w:rPr>
                <w:caps w:val="false"/>
                <w:smallCaps w:val="false"/>
              </w:rPr>
              <w:t xml:space="preserve"> </w:t>
            </w:r>
            <w:r>
              <w:rPr>
                <w:rFonts w:ascii="Times New Roman;Times;serif" w:hAnsi="Times New Roman;Times;serif"/>
                <w:b w:val="false"/>
                <w:i w:val="false"/>
                <w:caps w:val="false"/>
                <w:smallCaps w:val="false"/>
                <w:sz w:val="16"/>
              </w:rPr>
              <w:t>million 2026 Term Loan (hereinafter defined) balance. See Note 13, “Interest Rate Swaps” for further disclosure related to the Company’s interest rate swaps.</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2023, the Company has utilized interest rate swaps to fix SOFR and achieve a weighted average fixed interest rate of 1.18%</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the $100</w:t>
            </w:r>
            <w:r>
              <w:rPr>
                <w:caps w:val="false"/>
                <w:smallCaps w:val="false"/>
              </w:rPr>
              <w:t xml:space="preserve"> </w:t>
            </w:r>
            <w:r>
              <w:rPr>
                <w:rFonts w:ascii="Times New Roman;Times;serif" w:hAnsi="Times New Roman;Times;serif"/>
                <w:b w:val="false"/>
                <w:i w:val="false"/>
                <w:caps w:val="false"/>
                <w:smallCaps w:val="false"/>
                <w:sz w:val="16"/>
              </w:rPr>
              <w:t>million 2027 Term Loan (hereinafter defined) balance. See Note 13, “Interest Rate Swaps” for further disclosure related to the Company’s interest rate swaps.</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Credit Facility.</w:t>
      </w:r>
      <w:r>
        <w:rPr>
          <w:rFonts w:ascii="Times New Roman;Times;serif" w:hAnsi="Times New Roman;Times;serif"/>
          <w:sz w:val="20"/>
        </w:rPr>
        <w:t xml:space="preserve"> On September 30, 2022, the Company and the Operating Partnership entered into a credit agreement (the “2022 Amended and Restated Credit Agreement”) with KeyBank National Association, as administrative agent, and certain other lenders named therein, which amended and restated the 2027 Term Loan Credit Agreement (hereinafter defined)  to include, among other things:</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origination of a new senior unsecured revolving credit facility in the amount of $250</w:t>
            </w:r>
            <w:r>
              <w:rPr>
                <w:caps w:val="false"/>
                <w:smallCaps w:val="false"/>
              </w:rPr>
              <w:t xml:space="preserve"> </w:t>
            </w:r>
            <w:r>
              <w:rPr>
                <w:rFonts w:ascii="Times New Roman;Times;serif" w:hAnsi="Times New Roman;Times;serif"/>
                <w:b w:val="false"/>
                <w:i w:val="false"/>
                <w:caps w:val="false"/>
                <w:smallCaps w:val="false"/>
                <w:sz w:val="20"/>
              </w:rPr>
              <w:t>million (the “Credit Facility”) which matures on January 31, 2027, with the option to extend for one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an accordion option that allows the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sz w:val="20"/>
                <w:shd w:fill="FFFFFF" w:val="clear"/>
              </w:rPr>
              <w:t>to request additional revolving loan commitments and additional term loan commitments, provided the aggregate amount of revolving loan commitments and term loan commitments shall not exceed $750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amendment of certain financial covenants;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the addition of a sustainability-linked pricing component pursuant to which the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sz w:val="20"/>
                <w:shd w:fill="FFFFFF" w:val="clear"/>
              </w:rPr>
              <w:t>will receive interest rate reductions up to 0.025%</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based on performance against sustainability performance targets.</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2022 Amended and Restated Credit Agreement, the indebtedness outstanding under the Credit Facility accrues at a rate ranging from SOFR plus 0.10% plus 125 basis points to SOFR plus 0.10% plus 220 basis points, based on the total balance outstanding under the Credit Facility as a percentage of the total asset value of the Company, as defined in the 2022 Amended and Restated Credit Agreement. The Company may utilize daily simple SOFR or term SOFR, at its election. The Credit Facility also accrues a fee of 15 or 25 basis points for any unused portion of the borrowing capacity based on whether the unused portion is greater or less than 50% of the total borrowing capacity.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subject to customary restrictive covenants under the 2022 Amended and Restated Credit Agreement and the 2026 Term Loan Credit Agreement (hereinafter defined), as amended, collectively referred to herein as the “Credit Agreements”, including, but not limited to, limitations on the Company’s ability to: (a) incur indebtedness; (b) make certain investments; (c) incur certain liens; (d) engage in certain affiliate transactions; and (e) engage in certain major transactions such as mergers. The Credit Agreements also contain financial covenants covering the Company, including but not limited to, tangible net worth and fixed charge coverage ratios.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At December 31, 2023, the commitment level under the Credit Facility was $250.0 million and the Company had an outstanding balance of $76.5 million.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Prior Credit Facility. </w:t>
      </w:r>
      <w:r>
        <w:rPr>
          <w:rFonts w:ascii="Times New Roman;Times;serif" w:hAnsi="Times New Roman;Times;serif"/>
          <w:sz w:val="20"/>
        </w:rPr>
        <w:t xml:space="preserve">On September 30, 2022, in connection with the Company’s entry into the 2022 Amended and Restated Credit Agreement, the Company repaid all obligations outstanding under the Credit Agreement, dated as of November 26, 2019, as amended, among the Company, the Bank of Montreal, as administrative agent, and certain other lenders party thereto  (the “Prior Revolving Credit Facility”), and the Prior Revolving Credit Facility was terminated and the obligations thereunder discharged. As a result of the termination of the Prior Revolving Credit Facility, $0.3 million of unamortized deferred financing costs were written off during the three months ended September 30, 2022 and are included in the consolidated statements of operations as Loss on Extinguishment of Debt.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2026 Term Loan. </w:t>
      </w:r>
      <w:r>
        <w:rPr>
          <w:rFonts w:ascii="Times New Roman;Times;serif" w:hAnsi="Times New Roman;Times;serif"/>
          <w:sz w:val="20"/>
        </w:rPr>
        <w:t xml:space="preserve">On May 21, 2021, the Operating Partnership, the Company and certain subsidiaries of the Company entered into a credit agreement (the “2026 Term Loan Credit Agreement”) with Truist Bank, N.A. as administrative agent, and certain other lenders named therein, for a term loan (the “2026 Term Loan”) in an aggregate principal amount of $60.0 million with a maturity of five years. On April 14, 2022, the Company entered into the Amendment, Increase and Joinder to the 2026 Term Loan Credit Agreement (the “2026 Term Loan Amendment”), which increased the term loan commitment under the 2026 Term Loan by $40 million to an aggregate of $100 million. The 2026 Term Loan Amendment also effectuated the transition of the underlying variable interest rate from LIBOR to SOFR.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5, 2022, the Company entered into an amendment which, among other things, amended certain financial covenants and added a sustainability-linked pricing component consistent with what is contained in the 2022 Amended and Restated Credit Agreement (the “2026 Term Loan Second Amendment”), effective September 30, 2022.</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043" w:name="Tc_a3lR3cGp9UiKnGmcChV62A_4_2"/>
      <w:bookmarkStart w:id="1044" w:name="Tc_FP-jiGYSsE6k_oMD8wnMjg_4_0"/>
      <w:bookmarkStart w:id="1045" w:name="Tc_K5kc3LGXvEi58IqTyDkzKA_3_0"/>
      <w:bookmarkStart w:id="1046" w:name="Tc_lDOaTv_s-0OVs9-2SO2AcQ_2_2"/>
      <w:bookmarkStart w:id="1047" w:name="Tc_qOKup0U2nkS-Kn1eo6az1g_2_0"/>
      <w:bookmarkStart w:id="1048" w:name="Tc_aQrgmwkyJkCVtwhZ46O8Fg_1_2"/>
      <w:bookmarkStart w:id="1049" w:name="_f20272f6_526f_4a98_af38_7d86d693e2da"/>
      <w:bookmarkStart w:id="1050" w:name="Tc_DYyRw6yGMkqpgQ2p9Zd2Vw_8_2"/>
      <w:bookmarkStart w:id="1051" w:name="Tc_4dsI1gqJnkqdoqAD0pw1ig_8_0"/>
      <w:bookmarkStart w:id="1052" w:name="Tc_lzbV0vVp_USuaEaiP2g6Ow_7_3"/>
      <w:bookmarkStart w:id="1053" w:name="Tc_CN4mfyBmNE6Zfkxv80ibvg_7_0"/>
      <w:bookmarkStart w:id="1054" w:name="Tc_tQO2AlyOB06zwycnOtlJRg_6_3"/>
      <w:bookmarkStart w:id="1055" w:name="Tc_csjewB71bkqTRDuZJ5-IHw_6_0"/>
      <w:bookmarkStart w:id="1056" w:name="Tc_3DvDnKmJQEm1DNCGj1O8UA_5_0"/>
      <w:bookmarkStart w:id="1057" w:name="Tc_Jw2GssCCBUCYBNhMxdF-oA_4_0"/>
      <w:bookmarkStart w:id="1058" w:name="Tc_UqmgT6Elu0iaShOZekZlfQ_3_3"/>
      <w:bookmarkStart w:id="1059" w:name="Tc_bRgCunW-I0uPlqDShR4ySg_3_0"/>
      <w:bookmarkStart w:id="1060" w:name="Tc_RRea1U3-LEaUk8jo-Hoh5g_2_3"/>
      <w:bookmarkStart w:id="1061" w:name="Tc_PH7oMY7ypkOZ3J2SYceGxA_2_0"/>
      <w:bookmarkStart w:id="1062" w:name="Tc_lvV6GKZqw0uqZXeXrHQ54A_1_2"/>
      <w:bookmarkStart w:id="1063" w:name="Tc_x9jfyLbfrU68Znc9GKC90w_1_0"/>
      <w:bookmarkStart w:id="1064" w:name="_4d31315e_ae90_444d_8762_851694c239ea"/>
      <w:bookmarkStart w:id="1065" w:name="Tc_p-dWF_NLPkGPEd-hRfE-GA_7_12"/>
      <w:bookmarkStart w:id="1066" w:name="Tc_I28caZnntEqbvS6zM7uitw_7_11"/>
      <w:bookmarkStart w:id="1067" w:name="Tc_LDiTXEJ2NUO2KSiTpOIRcA_7_8"/>
      <w:bookmarkStart w:id="1068" w:name="Tc_-iz_EOaKEk2uTSfkBRhgfQ_7_6"/>
      <w:bookmarkStart w:id="1069" w:name="Tc_p49C7idXZ0-eMYejpUFiBg_7_5"/>
      <w:bookmarkStart w:id="1070" w:name="Tc_eMJ63ZDVBEKLyCHyYidgSA_7_2"/>
      <w:bookmarkStart w:id="1071" w:name="Tc_pbHgZ5bUdEOkpGSVDQDj2A_7_0"/>
      <w:bookmarkStart w:id="1072" w:name="Tc_MuUmi0eEH069Xfv-4uTwlA_6_12"/>
      <w:bookmarkStart w:id="1073" w:name="Tc_eMOIuvy26kq92Rq6oSj_lg_6_6"/>
      <w:bookmarkStart w:id="1074" w:name="Tc_tuw1KEb0hU6ynd3MeezLcQ_6_0"/>
      <w:bookmarkStart w:id="1075" w:name="Tc_S7FnUQN_N0mbB4qv15VHMA_5_12"/>
      <w:bookmarkStart w:id="1076" w:name="Tc_nuZH1Qi_AUCqY_YzRVL5rw_5_6"/>
      <w:bookmarkStart w:id="1077" w:name="Tc_gs_QB0CjvU-SBJuIpFpScQ_5_0"/>
      <w:bookmarkStart w:id="1078" w:name="Tc_vgw78J8NhUmMiirRAtarGA_4_12"/>
      <w:bookmarkStart w:id="1079" w:name="Tc_ZW6VuWLuhEaoMPd7MK8TwQ_4_6"/>
      <w:bookmarkStart w:id="1080" w:name="Tc_zehyTWvI-UihJr2EBrulxA_4_0"/>
      <w:bookmarkStart w:id="1081" w:name="Tc_reqhMwIIeU-9SpxWbGbvYw_3_12"/>
      <w:bookmarkStart w:id="1082" w:name="Tc_AUyBGwud-0ikESZmeZZtPw_3_11"/>
      <w:bookmarkStart w:id="1083" w:name="Tc_WW-sCEu_SUS5hoXN5pO8xg_3_8"/>
      <w:bookmarkStart w:id="1084" w:name="Tc_NIKcH-IinkqGvCJKspGxPA_3_6"/>
      <w:bookmarkStart w:id="1085" w:name="Tc_oNHMmqxxAkKpVt3P9XlRkg_3_5"/>
      <w:bookmarkStart w:id="1086" w:name="Tc_OliDNJttQ0-DhhcqHWX1zQ_3_2"/>
      <w:bookmarkStart w:id="1087" w:name="Tc_iQ6A7ur-aUydf3qqNkG1cA_3_0"/>
      <w:bookmarkStart w:id="1088" w:name="Tc_ILmg3FetXkWI2y_gYc-KSw_2_11"/>
      <w:bookmarkStart w:id="1089" w:name="Tc_IwrzeQLNykedJcsC8dGmNQ_2_8"/>
      <w:bookmarkStart w:id="1090" w:name="Tc_20qwX3vDpUODfRoWELZCzg_2_5"/>
      <w:bookmarkStart w:id="1091" w:name="Tc_RNk_RjYHcEWzVdufRehtlw_2_2"/>
      <w:bookmarkStart w:id="1092" w:name="Tc_Yubxeuo6y0OUVFfsFuZoRA_1_8"/>
      <w:bookmarkStart w:id="1093" w:name="Tc_qmgC38vyo0q4Lt2RT7HdwQ_1_2"/>
      <w:bookmarkStart w:id="1094" w:name="_2001e434_8e25_4768_9a82_24d5c357f614"/>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r>
        <w:rPr>
          <w:rFonts w:ascii="Times New Roman;Times;serif" w:hAnsi="Times New Roman;Times;serif"/>
          <w:i/>
          <w:sz w:val="20"/>
        </w:rPr>
        <w:t xml:space="preserve">2027 Term Loan. </w:t>
      </w:r>
      <w:r>
        <w:rPr>
          <w:rFonts w:ascii="Times New Roman;Times;serif" w:hAnsi="Times New Roman;Times;serif"/>
          <w:sz w:val="20"/>
        </w:rPr>
        <w:t xml:space="preserve">On September 30, 2021, the Operating Partnership, the Company and certain subsidiaries of the Company entered into a credit agreement (the “2027 Term Loan Credit Agreement”) with KeyBank National Association as administrative agent, and certain other lenders named therein, for a term loan (the “2027 Term Loan”) in an aggregate principal amount of $80.0 million (the “Term Commitment”) maturing in January 2027. On April 14, 2022, the Company entered into the Amendment, Increase and Joinder to the 2027 Term Loan Credit Agreement (the “2027 Term Loan Amendment”), which increased the Term Commitment by $20 million to an aggregate of $100 million. The 2027 Term Loan Amendment also effectuated the transition of the underlying variable interest rate from LIBOR to SOFR.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September 30, 2022, the Company entered into the 2022 Amended and Restated Credit Agreement which amended and restated the 2027 Term Loan Credit Agreement to include the origination of a new revolving credit facility in the amount of $250.0 million as previously described. The 2022 Amended and Restated Credit Agreement includes an accordion option that allows the Company to request additional revolving loan commitments and additional term loan commitments not to exceed $750.0 million in the aggregate.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Mortgage Notes Payable. </w:t>
      </w:r>
      <w:r>
        <w:rPr>
          <w:rFonts w:ascii="Times New Roman;Times;serif" w:hAnsi="Times New Roman;Times;serif"/>
          <w:sz w:val="20"/>
        </w:rPr>
        <w:t xml:space="preserve">On June 30, 2021, in connection with the acquisition of six net lease properties from CTO (the “CMBS Portfolio”), the Company assumed an existing $30.0 million secured mortgage, which bears interest at a fixed rate of 4.33% (the “CMBS Loan”). On December 1, 2022, the Company completed the defeasance of the CMBS Loan, unencumbering the CMBS Portfolio. The Company sold four of the six properties subsequent to the defeasance, during the year ended December 31, 2022. Additionally, on June 30, 2021, in connection with the acquisition of two net lease properties from an unrelated third party, the Company assumed mortgage notes totaling an aggregate of $1.6 million, which balance was repaid on July 1, 2021.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Long-term debt as of December 31, 2023 and 2022 consisted of the following (in thousands): </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753"/>
        <w:gridCol w:w="109"/>
        <w:gridCol w:w="211"/>
        <w:gridCol w:w="781"/>
        <w:gridCol w:w="326"/>
        <w:gridCol w:w="663"/>
        <w:gridCol w:w="1093"/>
        <w:gridCol w:w="146"/>
        <w:gridCol w:w="211"/>
        <w:gridCol w:w="781"/>
        <w:gridCol w:w="326"/>
        <w:gridCol w:w="574"/>
        <w:gridCol w:w="1231"/>
      </w:tblGrid>
      <w:tr>
        <w:trPr/>
        <w:tc>
          <w:tcPr>
            <w:tcW w:w="37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85" name="Frame2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95935" cy="175260"/>
                      <wp:effectExtent l="0" t="0" r="0" b="0"/>
                      <wp:wrapNone/>
                      <wp:docPr id="287" name="Frame2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21005" cy="175260"/>
                      <wp:effectExtent l="0" t="0" r="0" b="0"/>
                      <wp:wrapNone/>
                      <wp:docPr id="289" name="Frame289"/>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4055" cy="175260"/>
                      <wp:effectExtent l="0" t="0" r="0" b="0"/>
                      <wp:wrapNone/>
                      <wp:docPr id="290" name="Frame290"/>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92710" cy="175260"/>
                      <wp:effectExtent l="0" t="0" r="0" b="0"/>
                      <wp:wrapNone/>
                      <wp:docPr id="291" name="Frame29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95935" cy="175260"/>
                      <wp:effectExtent l="0" t="0" r="0" b="0"/>
                      <wp:wrapNone/>
                      <wp:docPr id="293" name="Frame2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364490" cy="175260"/>
                      <wp:effectExtent l="0" t="0" r="0" b="0"/>
                      <wp:wrapNone/>
                      <wp:docPr id="295" name="Frame295"/>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781685" cy="175260"/>
                      <wp:effectExtent l="0" t="0" r="0" b="0"/>
                      <wp:wrapNone/>
                      <wp:docPr id="296" name="Frame296"/>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46" w:type="dxa"/>
            <w:tcBorders/>
            <w:vAlign w:val="center"/>
          </w:tcPr>
          <w:p>
            <w:pPr>
              <w:pStyle w:val="TableContents"/>
              <w:bidi w:val="0"/>
              <w:spacing w:before="0" w:after="0"/>
              <w:ind w:left="0" w:right="0" w:hanging="0"/>
              <w:jc w:val="left"/>
              <w:rPr/>
            </w:pPr>
            <w:r>
              <w:rPr/>
              <w:t>​</w:t>
            </w:r>
          </w:p>
        </w:tc>
        <w:tc>
          <w:tcPr>
            <w:tcW w:w="31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7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7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w:t>
            </w:r>
          </w:p>
        </w:tc>
        <w:tc>
          <w:tcPr>
            <w:tcW w:w="326" w:type="dxa"/>
            <w:tcBorders/>
            <w:vAlign w:val="center"/>
          </w:tcPr>
          <w:p>
            <w:pPr>
              <w:pStyle w:val="TableContents"/>
              <w:bidi w:val="0"/>
              <w:spacing w:before="0" w:after="0"/>
              <w:ind w:left="0" w:right="0" w:hanging="0"/>
              <w:jc w:val="left"/>
              <w:rPr/>
            </w:pPr>
            <w:r>
              <w:rPr/>
              <w:t>    </w:t>
            </w:r>
          </w:p>
        </w:tc>
        <w:tc>
          <w:tcPr>
            <w:tcW w:w="18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r>
      <w:tr>
        <w:trPr/>
        <w:tc>
          <w:tcPr>
            <w:tcW w:w="37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76,500</w:t>
            </w:r>
          </w:p>
        </w:tc>
        <w:tc>
          <w:tcPr>
            <w:tcW w:w="32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68,250</w:t>
            </w:r>
          </w:p>
        </w:tc>
        <w:tc>
          <w:tcPr>
            <w:tcW w:w="326"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Term Loan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37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326" w:type="dxa"/>
            <w:tcBorders/>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w:t>
            </w:r>
          </w:p>
        </w:tc>
        <w:tc>
          <w:tcPr>
            <w:tcW w:w="326" w:type="dxa"/>
            <w:tcBorders/>
            <w:vAlign w:val="center"/>
          </w:tcPr>
          <w:p>
            <w:pPr>
              <w:pStyle w:val="TableContents"/>
              <w:bidi w:val="0"/>
              <w:spacing w:before="0" w:after="0"/>
              <w:ind w:left="0" w:right="0" w:hanging="0"/>
              <w:jc w:val="left"/>
              <w:rPr/>
            </w:pPr>
            <w:r>
              <w:rPr/>
              <w:t>​</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275,677</w:t>
            </w:r>
          </w:p>
        </w:tc>
        <w:tc>
          <w:tcPr>
            <w:tcW w:w="326" w:type="dxa"/>
            <w:tcBorders/>
            <w:shd w:fill="CCEEFF" w:val="clear"/>
            <w:vAlign w:val="center"/>
          </w:tcPr>
          <w:p>
            <w:pPr>
              <w:pStyle w:val="TableContents"/>
              <w:bidi w:val="0"/>
              <w:spacing w:before="0" w:after="0"/>
              <w:ind w:left="0" w:right="0" w:hanging="0"/>
              <w:jc w:val="left"/>
              <w:rPr/>
            </w:pPr>
            <w:r>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267,116</w:t>
            </w:r>
          </w:p>
        </w:tc>
        <w:tc>
          <w:tcPr>
            <w:tcW w:w="326" w:type="dxa"/>
            <w:tcBorders/>
            <w:shd w:fill="CCEEFF" w:val="clear"/>
            <w:vAlign w:val="center"/>
          </w:tcPr>
          <w:p>
            <w:pPr>
              <w:pStyle w:val="TableContents"/>
              <w:bidi w:val="0"/>
              <w:spacing w:before="0" w:after="0"/>
              <w:ind w:left="0" w:right="0" w:hanging="0"/>
              <w:jc w:val="left"/>
              <w:rPr/>
            </w:pPr>
            <w:r>
              <w:rPr/>
              <w:t>​</w:t>
            </w:r>
          </w:p>
        </w:tc>
        <w:tc>
          <w:tcPr>
            <w:tcW w:w="5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Payments applicable to reduction of principal amounts as of December 31, 2023 will be required as follows (in thousands):</w:t>
      </w:r>
    </w:p>
    <w:p>
      <w:pPr>
        <w:pStyle w:val="TextBody"/>
        <w:bidi w:val="0"/>
        <w:spacing w:before="0" w:after="0"/>
        <w:ind w:left="0" w:right="0" w:firstLine="360"/>
        <w:jc w:val="both"/>
        <w:rPr/>
      </w:pPr>
      <w:r>
        <w:rPr/>
        <w:t>​</w:t>
      </w:r>
    </w:p>
    <w:tbl>
      <w:tblPr>
        <w:tblW w:w="4207" w:type="dxa"/>
        <w:jc w:val="left"/>
        <w:tblInd w:w="0" w:type="dxa"/>
        <w:tblLayout w:type="fixed"/>
        <w:tblCellMar>
          <w:top w:w="0" w:type="dxa"/>
          <w:left w:w="0" w:type="dxa"/>
          <w:bottom w:w="0" w:type="dxa"/>
          <w:right w:w="0" w:type="dxa"/>
        </w:tblCellMar>
      </w:tblPr>
      <w:tblGrid>
        <w:gridCol w:w="3001"/>
        <w:gridCol w:w="109"/>
        <w:gridCol w:w="211"/>
        <w:gridCol w:w="886"/>
      </w:tblGrid>
      <w:tr>
        <w:trPr/>
        <w:tc>
          <w:tcPr>
            <w:tcW w:w="30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9215" cy="175260"/>
                      <wp:effectExtent l="0" t="0" r="0" b="0"/>
                      <wp:wrapNone/>
                      <wp:docPr id="297"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62610" cy="175260"/>
                      <wp:effectExtent l="0" t="0" r="0" b="0"/>
                      <wp:wrapNone/>
                      <wp:docPr id="299" name="Frame29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 Face Value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276,500</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carrying value of long-term debt as of December 31, 2023 consisted of the following (in thousands):</w:t>
      </w:r>
    </w:p>
    <w:p>
      <w:pPr>
        <w:pStyle w:val="TextBody"/>
        <w:bidi w:val="0"/>
        <w:spacing w:before="0" w:after="0"/>
        <w:ind w:left="0" w:right="0" w:firstLine="360"/>
        <w:jc w:val="both"/>
        <w:rPr/>
      </w:pPr>
      <w:r>
        <w:rPr/>
        <w:t>​</w:t>
      </w:r>
    </w:p>
    <w:tbl>
      <w:tblPr>
        <w:tblW w:w="5452" w:type="dxa"/>
        <w:jc w:val="left"/>
        <w:tblInd w:w="0" w:type="dxa"/>
        <w:tblLayout w:type="fixed"/>
        <w:tblCellMar>
          <w:top w:w="0" w:type="dxa"/>
          <w:left w:w="0" w:type="dxa"/>
          <w:bottom w:w="0" w:type="dxa"/>
          <w:right w:w="0" w:type="dxa"/>
        </w:tblCellMar>
      </w:tblPr>
      <w:tblGrid>
        <w:gridCol w:w="4246"/>
        <w:gridCol w:w="109"/>
        <w:gridCol w:w="211"/>
        <w:gridCol w:w="886"/>
      </w:tblGrid>
      <w:tr>
        <w:trPr/>
        <w:tc>
          <w:tcPr>
            <w:tcW w:w="4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62610" cy="175260"/>
                      <wp:effectExtent l="0" t="0" r="0" b="0"/>
                      <wp:wrapNone/>
                      <wp:docPr id="302" name="Frame30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276,500</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275,677</w:t>
            </w:r>
          </w:p>
        </w:tc>
      </w:tr>
    </w:tbl>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095" w:name="Tc_0vGK0ng6hUa9Ch4Krf_sIg_7_8"/>
      <w:bookmarkStart w:id="1096" w:name="Tc_5KkHE7vym0y8hnWrn8r9gA_7_5"/>
      <w:bookmarkStart w:id="1097" w:name="Tc_SWa5kPz5REuFCI57zHsuxQ_7_2"/>
      <w:bookmarkStart w:id="1098" w:name="Tc_DruJ02MrPka-ZnwDdr12rg_7_0"/>
      <w:bookmarkStart w:id="1099" w:name="Tc_arxPZ-1MvUmr3M5SS2IvbQ_5_8"/>
      <w:bookmarkStart w:id="1100" w:name="Tc_tsIIU6nZyEy7qOGhC68XQg_5_5"/>
      <w:bookmarkStart w:id="1101" w:name="Tc_wEDMSk-d_0ybG9i_prCQdw_5_2"/>
      <w:bookmarkStart w:id="1102" w:name="Tc_uyqzBKw4okGaeLKOo7iQWg_5_0"/>
      <w:bookmarkStart w:id="1103" w:name="Tc_2Y8n1EYJ_k-war5ak-gd1A_4_0"/>
      <w:bookmarkStart w:id="1104" w:name="Tc_RypYyk16pUGlLEY1qLlRaQ_3_8"/>
      <w:bookmarkStart w:id="1105" w:name="Tc_nl92d78az0e0zIDvBS3cVg_3_5"/>
      <w:bookmarkStart w:id="1106" w:name="Tc_RRAElUlBGk2HuedZ2oTTzw_3_2"/>
      <w:bookmarkStart w:id="1107" w:name="Tc_okRuy9oUgkWI5yC_bpZh9w_3_0"/>
      <w:bookmarkStart w:id="1108" w:name="Tc_p045noeFFUSLceM-5Yzktw_2_8"/>
      <w:bookmarkStart w:id="1109" w:name="Tc_FF1pJKCVJkyevOaBmbv29g_2_5"/>
      <w:bookmarkStart w:id="1110" w:name="Tc_ngN1fD48hk2fYI-U4_xpgA_2_2"/>
      <w:bookmarkStart w:id="1111" w:name="Tc_Cy-qLTDJUkKZlBYVDP5jIQ_1_2"/>
      <w:bookmarkStart w:id="1112" w:name="_69c49bfe_ed37_4009_83d3_5fcf38f8c8c8"/>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r>
        <w:rPr>
          <w:rFonts w:ascii="Times New Roman;Times;serif" w:hAnsi="Times New Roman;Times;serif"/>
          <w:sz w:val="20"/>
        </w:rPr>
        <w:t xml:space="preserve">In addition to the $0.8 million of financing costs, net of accumulated amortization included in the table above, as of December 31, 2023, the Company also had financing costs, net of accumulated amortization related to the Credit Facility of $1.2 million which is included in other assets on the consolidated balance sheets. These costs are amortized on a straight-line basis over the term of the Credit Facility and are included in interest expense in the Company’s accompanying consolidated statements of operations.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reflects a summary of interest expense incurred and paid during the years ended December 31, 2023, 2022, and 2021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792"/>
        <w:gridCol w:w="109"/>
        <w:gridCol w:w="400"/>
        <w:gridCol w:w="1287"/>
        <w:gridCol w:w="109"/>
        <w:gridCol w:w="455"/>
        <w:gridCol w:w="1233"/>
        <w:gridCol w:w="109"/>
        <w:gridCol w:w="405"/>
        <w:gridCol w:w="1306"/>
      </w:tblGrid>
      <w:tr>
        <w:trPr/>
        <w:tc>
          <w:tcPr>
            <w:tcW w:w="47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303"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54000" cy="175260"/>
                      <wp:effectExtent l="0" t="0" r="0" b="0"/>
                      <wp:wrapNone/>
                      <wp:docPr id="304" name="Frame304"/>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817245" cy="175260"/>
                      <wp:effectExtent l="0" t="0" r="0" b="0"/>
                      <wp:wrapNone/>
                      <wp:docPr id="305" name="Frame305"/>
                      <a:graphic xmlns:a="http://schemas.openxmlformats.org/drawingml/2006/main">
                        <a:graphicData uri="http://schemas.microsoft.com/office/word/2010/wordprocessingShape">
                          <wps:wsp>
                            <wps:cNvSpPr txBox="1"/>
                            <wps:spPr>
                              <a:xfrm>
                                <a:off x="0" y="0"/>
                                <a:ext cx="817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9215" cy="175260"/>
                      <wp:effectExtent l="0" t="0" r="0" b="0"/>
                      <wp:wrapNone/>
                      <wp:docPr id="306" name="Frame3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88925" cy="175260"/>
                      <wp:effectExtent l="0" t="0" r="0" b="0"/>
                      <wp:wrapNone/>
                      <wp:docPr id="307" name="Frame307"/>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782955" cy="175260"/>
                      <wp:effectExtent l="0" t="0" r="0" b="0"/>
                      <wp:wrapNone/>
                      <wp:docPr id="308" name="Frame308"/>
                      <a:graphic xmlns:a="http://schemas.openxmlformats.org/drawingml/2006/main">
                        <a:graphicData uri="http://schemas.microsoft.com/office/word/2010/wordprocessingShape">
                          <wps:wsp>
                            <wps:cNvSpPr txBox="1"/>
                            <wps:spPr>
                              <a:xfrm>
                                <a:off x="0" y="0"/>
                                <a:ext cx="782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9215" cy="175260"/>
                      <wp:effectExtent l="0" t="0" r="0" b="0"/>
                      <wp:wrapNone/>
                      <wp:docPr id="309" name="Frame3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57175" cy="175260"/>
                      <wp:effectExtent l="0" t="0" r="0" b="0"/>
                      <wp:wrapNone/>
                      <wp:docPr id="310" name="Frame310"/>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829310" cy="175260"/>
                      <wp:effectExtent l="0" t="0" r="0" b="0"/>
                      <wp:wrapNone/>
                      <wp:docPr id="311" name="Frame31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0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7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6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center"/>
              <w:rPr/>
            </w:pPr>
            <w:r>
              <w:rPr/>
              <w:t>​</w:t>
            </w:r>
          </w:p>
        </w:tc>
        <w:tc>
          <w:tcPr>
            <w:tcW w:w="17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47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9,455</w:t>
            </w:r>
          </w:p>
        </w:tc>
        <w:tc>
          <w:tcPr>
            <w:tcW w:w="109"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8,940</w:t>
            </w:r>
          </w:p>
        </w:tc>
        <w:tc>
          <w:tcPr>
            <w:tcW w:w="109"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3,340</w:t>
            </w:r>
          </w:p>
        </w:tc>
      </w:tr>
      <w:tr>
        <w:trPr/>
        <w:tc>
          <w:tcPr>
            <w:tcW w:w="47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to Interest Expense</w:t>
            </w:r>
          </w:p>
        </w:tc>
        <w:tc>
          <w:tcPr>
            <w:tcW w:w="109"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109" w:type="dxa"/>
            <w:tcBorders/>
            <w:vAlign w:val="center"/>
          </w:tcPr>
          <w:p>
            <w:pPr>
              <w:pStyle w:val="TableContents"/>
              <w:bidi w:val="0"/>
              <w:spacing w:before="0" w:after="0"/>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109" w:type="dxa"/>
            <w:tcBorders/>
            <w:vAlign w:val="center"/>
          </w:tcPr>
          <w:p>
            <w:pPr>
              <w:pStyle w:val="TableContents"/>
              <w:bidi w:val="0"/>
              <w:spacing w:before="0" w:after="0"/>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r>
      <w:tr>
        <w:trPr/>
        <w:tc>
          <w:tcPr>
            <w:tcW w:w="47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10,165</w:t>
            </w:r>
          </w:p>
        </w:tc>
        <w:tc>
          <w:tcPr>
            <w:tcW w:w="109" w:type="dxa"/>
            <w:tcBorders/>
            <w:shd w:fill="CCEEFF" w:val="clear"/>
            <w:vAlign w:val="center"/>
          </w:tcPr>
          <w:p>
            <w:pPr>
              <w:pStyle w:val="TableContents"/>
              <w:bidi w:val="0"/>
              <w:spacing w:before="0" w:after="0"/>
              <w:ind w:left="0" w:right="0" w:hanging="0"/>
              <w:jc w:val="left"/>
              <w:rPr/>
            </w:pPr>
            <w:r>
              <w:rPr/>
              <w:t>​</w:t>
            </w:r>
          </w:p>
        </w:tc>
        <w:tc>
          <w:tcPr>
            <w:tcW w:w="4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9,539</w:t>
            </w:r>
          </w:p>
        </w:tc>
        <w:tc>
          <w:tcPr>
            <w:tcW w:w="109" w:type="dxa"/>
            <w:tcBorders/>
            <w:shd w:fill="CCEEFF" w:val="clear"/>
            <w:vAlign w:val="center"/>
          </w:tcPr>
          <w:p>
            <w:pPr>
              <w:pStyle w:val="TableContents"/>
              <w:bidi w:val="0"/>
              <w:spacing w:before="0" w:after="0"/>
              <w:ind w:left="0" w:right="0" w:hanging="0"/>
              <w:jc w:val="lef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3,702</w:t>
            </w:r>
          </w:p>
        </w:tc>
      </w:tr>
      <w:tr>
        <w:trPr/>
        <w:tc>
          <w:tcPr>
            <w:tcW w:w="47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2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47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Paid</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9,245</w:t>
            </w:r>
          </w:p>
        </w:tc>
        <w:tc>
          <w:tcPr>
            <w:tcW w:w="109" w:type="dxa"/>
            <w:tcBorders/>
            <w:shd w:fill="CCEEFF" w:val="clear"/>
            <w:vAlign w:val="center"/>
          </w:tcPr>
          <w:p>
            <w:pPr>
              <w:pStyle w:val="TableContents"/>
              <w:bidi w:val="0"/>
              <w:spacing w:before="0" w:after="0"/>
              <w:ind w:left="0" w:right="0" w:hanging="0"/>
              <w:jc w:val="left"/>
              <w:rPr/>
            </w:pPr>
            <w:r>
              <w:rPr/>
              <w:t>​</w:t>
            </w:r>
          </w:p>
        </w:tc>
        <w:tc>
          <w:tcPr>
            <w:tcW w:w="4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7,753</w:t>
            </w:r>
          </w:p>
        </w:tc>
        <w:tc>
          <w:tcPr>
            <w:tcW w:w="109" w:type="dxa"/>
            <w:tcBorders/>
            <w:shd w:fill="CCEEFF" w:val="clear"/>
            <w:vAlign w:val="center"/>
          </w:tcPr>
          <w:p>
            <w:pPr>
              <w:pStyle w:val="TableContents"/>
              <w:bidi w:val="0"/>
              <w:spacing w:before="0" w:after="0"/>
              <w:ind w:left="0" w:right="0" w:hanging="0"/>
              <w:jc w:val="lef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3,131</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was in compliance with all of its debt covenants as of December 31, 2023.</w:t>
      </w:r>
    </w:p>
    <w:p>
      <w:pPr>
        <w:pStyle w:val="TextBody"/>
        <w:bidi w:val="0"/>
        <w:spacing w:before="120" w:after="240"/>
        <w:ind w:left="0" w:right="0" w:hanging="0"/>
        <w:jc w:val="left"/>
        <w:rPr>
          <w:rFonts w:ascii="Times New Roman;Times;serif" w:hAnsi="Times New Roman;Times;serif"/>
          <w:b/>
          <w:sz w:val="20"/>
        </w:rPr>
      </w:pPr>
      <w:bookmarkStart w:id="1113" w:name="Tc_wAiwHk2zQ0uZ3n6935yRfg_5_11"/>
      <w:bookmarkStart w:id="1114" w:name="Tc_LixdlETI2E-VJ2ib4C40cg_5_8"/>
      <w:bookmarkStart w:id="1115" w:name="Tc_o3n_om_YFEid93O1m_dAiA_5_6"/>
      <w:bookmarkStart w:id="1116" w:name="Tc_H_K-IigZQU2CHNruFllDaQ_5_4"/>
      <w:bookmarkStart w:id="1117" w:name="Tc_vHHnyJXmbEqhRpMB4CLJsA_5_2"/>
      <w:bookmarkStart w:id="1118" w:name="Tc_dxYoAVKnI0qHDADgh3yRpA_5_0"/>
      <w:bookmarkStart w:id="1119" w:name="Tc_GX4_xZWguECcvEYB4LH_kw_4_11"/>
      <w:bookmarkStart w:id="1120" w:name="Tc_-F-VTepP7EiAd3zH5e4Z2w_4_8"/>
      <w:bookmarkStart w:id="1121" w:name="Tc_tarkY42inkiycfoocW3Kgw_4_6"/>
      <w:bookmarkStart w:id="1122" w:name="Tc_4zehPoYPt0yT6WlrROrdnw_4_4"/>
      <w:bookmarkStart w:id="1123" w:name="Tc_8lEYd-9bg0-iCpdkGZn-uA_4_2"/>
      <w:bookmarkStart w:id="1124" w:name="Tc_zd3_J5rwrUCrsNOba-A0fg_4_0"/>
      <w:bookmarkStart w:id="1125" w:name="Tc_sq90kcucjk-sHJwHmSy1NA_3_11"/>
      <w:bookmarkStart w:id="1126" w:name="Tc_f4v4QbxEMkmMlwqxBKUBQQ_3_8"/>
      <w:bookmarkStart w:id="1127" w:name="Tc_kXGcdAhD6k2_YjWmkUgmWg_3_6"/>
      <w:bookmarkStart w:id="1128" w:name="Tc_zQfEqnJUj0impJGlKqHoxA_3_4"/>
      <w:bookmarkStart w:id="1129" w:name="Tc_2GrZOK7kdkqUUet9xJl1kQ_3_2"/>
      <w:bookmarkStart w:id="1130" w:name="Tc_lsgD_LUgY0ev5cZyGWcpow_3_0"/>
      <w:bookmarkStart w:id="1131" w:name="Tc_-gMh6ek3R0yVQL5Xa4iIwg_2_11"/>
      <w:bookmarkStart w:id="1132" w:name="Tc_MyRODb6VzEiguT9XcwKPnA_2_8"/>
      <w:bookmarkStart w:id="1133" w:name="Tc_yqJLa2gXdUGas3Gk8pRoQw_2_6"/>
      <w:bookmarkStart w:id="1134" w:name="Tc_BD8SVB2v5kSh3t4YnGL_eg_2_4"/>
      <w:bookmarkStart w:id="1135" w:name="Tc_fHvdqDzg5EecSnZsHLDfaA_2_2"/>
      <w:bookmarkStart w:id="1136" w:name="Tc_nIW1QFSLxECZG1rVS_FOXA_2_0"/>
      <w:bookmarkStart w:id="1137" w:name="Tc_4dtoyVn2h02QeVrcqdP4Cg_1_11"/>
      <w:bookmarkStart w:id="1138" w:name="Tc_9u5-jaI2dUyUffAki41iAA_1_8"/>
      <w:bookmarkStart w:id="1139" w:name="Tc_EglR9cuef0m03hmiid6UCw_1_6"/>
      <w:bookmarkStart w:id="1140" w:name="Tc_Cy-NGHhNKkCOHvk7lZbPyg_1_4"/>
      <w:bookmarkStart w:id="1141" w:name="Tc_MUjSdExQXE-ok5MBQOJgWw_1_2"/>
      <w:bookmarkStart w:id="1142" w:name="Tc_HSqWr7u_s0GPoO0v4pyBRQ_1_0"/>
      <w:bookmarkStart w:id="1143" w:name="_cd864ce4_29e0_4bc7_aecb_6dfe4f0ae647"/>
      <w:bookmarkStart w:id="1144" w:name="_fcb361f1_3413_4e98_a27d_30d75f9ea5ab_3"/>
      <w:bookmarkStart w:id="1145" w:name="_fcb361f1_3413_4e98_a27d_30d75f9ea5ab_2"/>
      <w:bookmarkStart w:id="1146" w:name="_fcb361f1_3413_4e98_a27d_30d75f9ea5ab"/>
      <w:bookmarkStart w:id="1147" w:name="_0f34b5d6_796b_4f86_b9da_bf98e26a56c1_3"/>
      <w:bookmarkStart w:id="1148" w:name="_0f34b5d6_796b_4f86_b9da_bf98e26a56c1_2"/>
      <w:bookmarkStart w:id="1149" w:name="_0f34b5d6_796b_4f86_b9da_bf98e26a56c1"/>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r>
        <w:rPr>
          <w:rFonts w:ascii="Times New Roman;Times;serif" w:hAnsi="Times New Roman;Times;serif"/>
          <w:b/>
          <w:sz w:val="20"/>
        </w:rPr>
        <w:t>NOTE 13. INTEREST RATE SWAPS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has entered into interest rate swap agreements to hedge against changes in future cash flows resulting from fluctuating interest rates related to the below noted borrowings. The interest rate agreements were 100% effective during the years ended December 31, 2023, 2022, and 2021. Accordingly, the changes in fair value on the interest rate swaps have been classified in accumulated other comprehensive income (loss). The fair value of the interest rate swap agreements are included in other assets and accrued and other liabilities, respectively, on the consolidated balance sheets. Information related to the Company’s interest rate swap agreements are noted below (in thousands): </w:t>
      </w:r>
    </w:p>
    <w:tbl>
      <w:tblPr>
        <w:tblW w:w="9551" w:type="dxa"/>
        <w:jc w:val="left"/>
        <w:tblInd w:w="0" w:type="dxa"/>
        <w:tblLayout w:type="fixed"/>
        <w:tblCellMar>
          <w:top w:w="0" w:type="dxa"/>
          <w:left w:w="0" w:type="dxa"/>
          <w:bottom w:w="0" w:type="dxa"/>
          <w:right w:w="0" w:type="dxa"/>
        </w:tblCellMar>
      </w:tblPr>
      <w:tblGrid>
        <w:gridCol w:w="1516"/>
        <w:gridCol w:w="109"/>
        <w:gridCol w:w="1171"/>
        <w:gridCol w:w="109"/>
        <w:gridCol w:w="1201"/>
        <w:gridCol w:w="109"/>
        <w:gridCol w:w="1381"/>
        <w:gridCol w:w="109"/>
        <w:gridCol w:w="196"/>
        <w:gridCol w:w="691"/>
        <w:gridCol w:w="109"/>
        <w:gridCol w:w="742"/>
        <w:gridCol w:w="2108"/>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962660" cy="175260"/>
                      <wp:effectExtent l="0" t="0" r="0" b="0"/>
                      <wp:wrapNone/>
                      <wp:docPr id="312" name="Frame312"/>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9215" cy="175260"/>
                      <wp:effectExtent l="0" t="0" r="0" b="0"/>
                      <wp:wrapNone/>
                      <wp:docPr id="313" name="Frame3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743585" cy="175260"/>
                      <wp:effectExtent l="0" t="0" r="0" b="0"/>
                      <wp:wrapNone/>
                      <wp:docPr id="314" name="Frame314"/>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9215" cy="175260"/>
                      <wp:effectExtent l="0" t="0" r="0" b="0"/>
                      <wp:wrapNone/>
                      <wp:docPr id="315" name="Frame3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762635" cy="175260"/>
                      <wp:effectExtent l="0" t="0" r="0" b="0"/>
                      <wp:wrapNone/>
                      <wp:docPr id="316" name="Frame31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215" cy="175260"/>
                      <wp:effectExtent l="0" t="0" r="0" b="0"/>
                      <wp:wrapNone/>
                      <wp:docPr id="317" name="Frame3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876935" cy="175260"/>
                      <wp:effectExtent l="0" t="0" r="0" b="0"/>
                      <wp:wrapNone/>
                      <wp:docPr id="318" name="Frame318"/>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9215" cy="175260"/>
                      <wp:effectExtent l="0" t="0" r="0" b="0"/>
                      <wp:wrapNone/>
                      <wp:docPr id="319" name="Frame3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24460" cy="175260"/>
                      <wp:effectExtent l="0" t="0" r="0" b="0"/>
                      <wp:wrapNone/>
                      <wp:docPr id="320" name="Frame3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38785" cy="175260"/>
                      <wp:effectExtent l="0" t="0" r="0" b="0"/>
                      <wp:wrapNone/>
                      <wp:docPr id="321" name="Frame3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9215" cy="175260"/>
                      <wp:effectExtent l="0" t="0" r="0" b="0"/>
                      <wp:wrapNone/>
                      <wp:docPr id="322" name="Frame3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71170" cy="175260"/>
                      <wp:effectExtent l="0" t="0" r="0" b="0"/>
                      <wp:wrapNone/>
                      <wp:docPr id="323" name="Frame323"/>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8580" cy="175260"/>
                      <wp:effectExtent l="0" t="0" r="0" b="0"/>
                      <wp:wrapNone/>
                      <wp:docPr id="324" name="Frame324"/>
                      <a:graphic xmlns:a="http://schemas.openxmlformats.org/drawingml/2006/main">
                        <a:graphicData uri="http://schemas.microsoft.com/office/word/2010/wordprocessingShape">
                          <wps:wsp>
                            <wps:cNvSpPr txBox="1"/>
                            <wps:spPr>
                              <a:xfrm>
                                <a:off x="0" y="0"/>
                                <a:ext cx="1338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Hedged Item</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Effective Date</w:t>
            </w:r>
          </w:p>
        </w:tc>
        <w:tc>
          <w:tcPr>
            <w:tcW w:w="109"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Maturity Date</w:t>
            </w:r>
          </w:p>
        </w:tc>
        <w:tc>
          <w:tcPr>
            <w:tcW w:w="109" w:type="dxa"/>
            <w:tcBorders/>
            <w:vAlign w:val="center"/>
          </w:tcPr>
          <w:p>
            <w:pPr>
              <w:pStyle w:val="TableContents"/>
              <w:bidi w:val="0"/>
              <w:spacing w:before="0" w:after="0"/>
              <w:ind w:left="0" w:right="0" w:hanging="0"/>
              <w:jc w:val="lef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Rate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0"/>
              <w:ind w:left="0" w:right="0" w:hanging="0"/>
              <w:jc w:val="center"/>
              <w:rPr/>
            </w:pPr>
            <w:r>
              <w:rPr/>
              <w:t>​</w:t>
            </w:r>
          </w:p>
        </w:tc>
        <w:tc>
          <w:tcPr>
            <w:tcW w:w="2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as of December 31, 2023</w:t>
            </w:r>
          </w:p>
        </w:tc>
      </w:tr>
      <w:tr>
        <w:trPr/>
        <w:tc>
          <w:tcPr>
            <w:tcW w:w="15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2026 Term Loan </w:t>
            </w: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5/21/2021</w:t>
            </w:r>
          </w:p>
        </w:tc>
        <w:tc>
          <w:tcPr>
            <w:tcW w:w="109"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5/21/2026</w:t>
            </w:r>
          </w:p>
        </w:tc>
        <w:tc>
          <w:tcPr>
            <w:tcW w:w="109"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2.05% + 0.10% +</w:t>
              <w:br/>
              <w:t>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shd w:fill="CCEEFF" w:val="clear"/>
            <w:vAlign w:val="center"/>
          </w:tcPr>
          <w:p>
            <w:pPr>
              <w:pStyle w:val="TableContents"/>
              <w:bidi w:val="0"/>
              <w:spacing w:before="0" w:after="0"/>
              <w:ind w:left="0" w:right="0" w:hanging="0"/>
              <w:jc w:val="right"/>
              <w:rPr/>
            </w:pPr>
            <w:r>
              <w:rPr/>
              <w:t>​</w:t>
            </w:r>
          </w:p>
        </w:tc>
        <w:tc>
          <w:tcPr>
            <w:tcW w:w="7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4,314</w:t>
            </w:r>
          </w:p>
        </w:tc>
      </w:tr>
      <w:tr>
        <w:trPr/>
        <w:tc>
          <w:tcPr>
            <w:tcW w:w="15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2027 Term Loan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9/30/2021</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11/26/2024</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1.18%+ 0.10% +</w:t>
              <w:br/>
              <w:t>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vAlign w:val="center"/>
          </w:tcPr>
          <w:p>
            <w:pPr>
              <w:pStyle w:val="TableContents"/>
              <w:bidi w:val="0"/>
              <w:spacing w:before="0" w:after="0"/>
              <w:ind w:left="0" w:right="0" w:hanging="0"/>
              <w:jc w:val="right"/>
              <w:rPr/>
            </w:pPr>
            <w:r>
              <w:rPr/>
              <w:t>​</w:t>
            </w:r>
          </w:p>
        </w:tc>
        <w:tc>
          <w:tcPr>
            <w:tcW w:w="7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3,048</w:t>
            </w:r>
          </w:p>
        </w:tc>
      </w:tr>
      <w:tr>
        <w:trPr/>
        <w:tc>
          <w:tcPr>
            <w:tcW w:w="15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2027 Term Loan </w:t>
            </w: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11/26/2024</w:t>
            </w:r>
          </w:p>
        </w:tc>
        <w:tc>
          <w:tcPr>
            <w:tcW w:w="109"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1/31/2027</w:t>
            </w:r>
          </w:p>
        </w:tc>
        <w:tc>
          <w:tcPr>
            <w:tcW w:w="109"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1.60%+ 0.10% +</w:t>
              <w:br/>
              <w:t>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80,000</w:t>
            </w:r>
          </w:p>
        </w:tc>
        <w:tc>
          <w:tcPr>
            <w:tcW w:w="109" w:type="dxa"/>
            <w:tcBorders/>
            <w:shd w:fill="CCEEFF" w:val="clear"/>
            <w:vAlign w:val="center"/>
          </w:tcPr>
          <w:p>
            <w:pPr>
              <w:pStyle w:val="TableContents"/>
              <w:bidi w:val="0"/>
              <w:spacing w:before="0" w:after="0"/>
              <w:ind w:left="0" w:right="0" w:hanging="0"/>
              <w:jc w:val="right"/>
              <w:rPr/>
            </w:pPr>
            <w:r>
              <w:rPr/>
              <w:t>​</w:t>
            </w:r>
          </w:p>
        </w:tc>
        <w:tc>
          <w:tcPr>
            <w:tcW w:w="7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2,745</w:t>
            </w:r>
          </w:p>
        </w:tc>
      </w:tr>
      <w:tr>
        <w:trPr/>
        <w:tc>
          <w:tcPr>
            <w:tcW w:w="15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Credit Facility </w:t>
            </w:r>
            <w:r>
              <w:rPr>
                <w:rFonts w:ascii="Times New Roman;Times;serif" w:hAnsi="Times New Roman;Times;serif"/>
                <w:sz w:val="14"/>
              </w:rPr>
              <w:t>(4)</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3/1/2023</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3/1/2028</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3.21%+ 0.10%+</w:t>
              <w:br/>
              <w:t>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7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08"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716</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7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2023,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the $100</w:t>
            </w:r>
            <w:r>
              <w:rPr>
                <w:caps w:val="false"/>
                <w:smallCaps w:val="false"/>
              </w:rPr>
              <w:t xml:space="preserve"> </w:t>
            </w:r>
            <w:r>
              <w:rPr>
                <w:rFonts w:ascii="Times New Roman;Times;serif" w:hAnsi="Times New Roman;Times;serif"/>
                <w:b w:val="false"/>
                <w:i w:val="false"/>
                <w:caps w:val="false"/>
                <w:smallCaps w:val="false"/>
                <w:sz w:val="16"/>
              </w:rPr>
              <w:t>million 2026 Term Loan balance. The weighted average fixed interest rate of 2.05%, is comprised of: (i) rate swaps on $60.0</w:t>
            </w:r>
            <w:r>
              <w:rPr>
                <w:caps w:val="false"/>
                <w:smallCaps w:val="false"/>
              </w:rPr>
              <w:t xml:space="preserve"> </w:t>
            </w:r>
            <w:r>
              <w:rPr>
                <w:rFonts w:ascii="Times New Roman;Times;serif" w:hAnsi="Times New Roman;Times;serif"/>
                <w:b w:val="false"/>
                <w:i w:val="false"/>
                <w:caps w:val="false"/>
                <w:smallCaps w:val="false"/>
                <w:sz w:val="16"/>
              </w:rPr>
              <w:t>million of the 2026 Term Loan balance effective May 21, 2021, as amended on April 14, 2022 in connection with the 2026 Term Loan Amendment, to fix SOFR (prior to April 14, 2022, the swap was to fix LIBOR), and (ii) a rate swap on $40.0</w:t>
            </w:r>
            <w:r>
              <w:rPr>
                <w:caps w:val="false"/>
                <w:smallCaps w:val="false"/>
              </w:rPr>
              <w:t xml:space="preserve"> </w:t>
            </w:r>
            <w:r>
              <w:rPr>
                <w:rFonts w:ascii="Times New Roman;Times;serif" w:hAnsi="Times New Roman;Times;serif"/>
                <w:b w:val="false"/>
                <w:i w:val="false"/>
                <w:caps w:val="false"/>
                <w:smallCaps w:val="false"/>
                <w:sz w:val="16"/>
              </w:rPr>
              <w:t>million of the 2026 Term Loan Balance effective September 30, 2022, to fix SOFR.</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7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2023, the Company has utilized interest rate swaps to fix SOFR and achieve a weighted average fixed interest rate of 1.18%</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the $100</w:t>
            </w:r>
            <w:r>
              <w:rPr>
                <w:caps w:val="false"/>
                <w:smallCaps w:val="false"/>
              </w:rPr>
              <w:t xml:space="preserve"> </w:t>
            </w:r>
            <w:r>
              <w:rPr>
                <w:rFonts w:ascii="Times New Roman;Times;serif" w:hAnsi="Times New Roman;Times;serif"/>
                <w:b w:val="false"/>
                <w:i w:val="false"/>
                <w:caps w:val="false"/>
                <w:smallCaps w:val="false"/>
                <w:sz w:val="16"/>
              </w:rPr>
              <w:t>million 2027 Term Loan balance. The weighted average fixed interest rate of 1.18%, is comprised of: (i) rate swaps on $80.0</w:t>
            </w:r>
            <w:r>
              <w:rPr>
                <w:caps w:val="false"/>
                <w:smallCaps w:val="false"/>
              </w:rPr>
              <w:t xml:space="preserve"> </w:t>
            </w:r>
            <w:r>
              <w:rPr>
                <w:rFonts w:ascii="Times New Roman;Times;serif" w:hAnsi="Times New Roman;Times;serif"/>
                <w:b w:val="false"/>
                <w:i w:val="false"/>
                <w:caps w:val="false"/>
                <w:smallCaps w:val="false"/>
                <w:sz w:val="16"/>
              </w:rPr>
              <w:t>million of the 2027 Term Loan balance effective September 30, 2021, as amended on April 14, 2022 in connection with the 2027 Term Loan Amendment, to fix SOFR, (prior to April 14, 2022, the swap was to fix LIBOR), and (ii) a rate swap on $20.0</w:t>
            </w:r>
            <w:r>
              <w:rPr>
                <w:caps w:val="false"/>
                <w:smallCaps w:val="false"/>
              </w:rPr>
              <w:t xml:space="preserve"> </w:t>
            </w:r>
            <w:r>
              <w:rPr>
                <w:rFonts w:ascii="Times New Roman;Times;serif" w:hAnsi="Times New Roman;Times;serif"/>
                <w:b w:val="false"/>
                <w:i w:val="false"/>
                <w:caps w:val="false"/>
                <w:smallCaps w:val="false"/>
                <w:sz w:val="16"/>
              </w:rPr>
              <w:t>million of the 2027 Term Loan balance effective September 30, 2022, to fix SOFR.</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5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interest rate swap agreement hedges $80.0</w:t>
            </w:r>
            <w:r>
              <w:rPr>
                <w:caps w:val="false"/>
                <w:smallCaps w:val="false"/>
              </w:rPr>
              <w:t xml:space="preserve"> </w:t>
            </w:r>
            <w:r>
              <w:rPr>
                <w:rFonts w:ascii="Times New Roman;Times;serif" w:hAnsi="Times New Roman;Times;serif"/>
                <w:b w:val="false"/>
                <w:i w:val="false"/>
                <w:caps w:val="false"/>
                <w:smallCaps w:val="false"/>
                <w:sz w:val="16"/>
              </w:rPr>
              <w:t>million of the $100.0</w:t>
            </w:r>
            <w:r>
              <w:rPr>
                <w:caps w:val="false"/>
                <w:smallCaps w:val="false"/>
              </w:rPr>
              <w:t xml:space="preserve"> </w:t>
            </w:r>
            <w:r>
              <w:rPr>
                <w:rFonts w:ascii="Times New Roman;Times;serif" w:hAnsi="Times New Roman;Times;serif"/>
                <w:b w:val="false"/>
                <w:i w:val="false"/>
                <w:caps w:val="false"/>
                <w:smallCaps w:val="false"/>
                <w:sz w:val="16"/>
              </w:rPr>
              <w:t>million 2027 Term Loan balance under different terms and commences concurrent to the interest rate agreements maturing on November 26, 2024 to extend the fixed interest rate through maturity on January 31, 2027.</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(4)</w:t>
            </w:r>
          </w:p>
        </w:tc>
        <w:tc>
          <w:tcPr>
            <w:tcW w:w="995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2023, the Company has utilized an interest rate swap to fix SOFR and achieve a fixed interest rate of 3.21%</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$50</w:t>
            </w:r>
            <w:r>
              <w:rPr>
                <w:caps w:val="false"/>
                <w:smallCaps w:val="false"/>
              </w:rPr>
              <w:t xml:space="preserve"> </w:t>
            </w:r>
            <w:r>
              <w:rPr>
                <w:rFonts w:ascii="Times New Roman;Times;serif" w:hAnsi="Times New Roman;Times;serif"/>
                <w:b w:val="false"/>
                <w:i w:val="false"/>
                <w:caps w:val="false"/>
                <w:smallCaps w:val="false"/>
                <w:sz w:val="16"/>
              </w:rPr>
              <w:t>million of the outstanding balance on the Credit Facility. The swap was effective on March 1, 2023.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December 31, 2023 and 2022, there were no events of default related to the Company's interest rate swap agreements.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14.      EQUITY</w:t>
      </w:r>
    </w:p>
    <w:p>
      <w:pPr>
        <w:pStyle w:val="TextBody"/>
        <w:bidi w:val="0"/>
        <w:spacing w:lineRule="auto" w:line="271" w:before="0" w:after="0"/>
        <w:ind w:left="0" w:right="0" w:hanging="0"/>
        <w:jc w:val="both"/>
        <w:rPr>
          <w:rFonts w:ascii="Times New Roman;Times;serif" w:hAnsi="Times New Roman;Times;serif"/>
          <w:i/>
          <w:sz w:val="20"/>
        </w:rPr>
      </w:pPr>
      <w:r>
        <w:rPr>
          <w:rFonts w:ascii="Times New Roman;Times;serif" w:hAnsi="Times New Roman;Times;serif"/>
          <w:i/>
          <w:sz w:val="20"/>
        </w:rPr>
        <w:t>SHELF REGISTRATION</w:t>
      </w:r>
    </w:p>
    <w:p>
      <w:pPr>
        <w:pStyle w:val="TextBody"/>
        <w:bidi w:val="0"/>
        <w:spacing w:lineRule="auto" w:line="271"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1, 2020, the Company filed a shelf registration statement on Form S-3, relating to the registration and potential issuance of its common stock, preferred stock, warrants, rights, and units with a maximum aggregate offering price of up to $350.0 million (the “2020 Registration Statement”). The Securities and Exchange Commission declared the 2020 Registration Statement effective on December 11, 2020.</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September 27, 2023, the Company filed a shelf registration statement on Form S-3, relating to the registration and potential issuance of common stock, preferred stock, debt securities, warrants, rights, and units with a maximum aggregate offering price of up to $350.0 million (the “2023 Registration Statement”). The 2020 Registration Statement was terminated concurrently with the filing of the 2023 Registration Statement. The Securities and Exchange Commission declared the 2023 Registration Statement effective on September 29, 2023.</w:t>
      </w:r>
    </w:p>
    <w:p>
      <w:pPr>
        <w:pStyle w:val="TextBody"/>
        <w:bidi w:val="0"/>
        <w:spacing w:before="0" w:after="240"/>
        <w:ind w:left="0" w:right="0" w:firstLine="36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FOLLOW-ON PUBLIC OFFERING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In June 2021, the Company completed a follow-on public offering of </w:t>
      </w:r>
      <w:r>
        <w:rPr>
          <w:rFonts w:ascii="Times New Roman;Times;serif" w:hAnsi="Times New Roman;Times;serif"/>
          <w:sz w:val="20"/>
        </w:rPr>
        <w:t xml:space="preserve">3,220,000 </w:t>
      </w:r>
      <w:r>
        <w:rPr>
          <w:rFonts w:ascii="Times New Roman;Times;serif" w:hAnsi="Times New Roman;Times;serif"/>
          <w:sz w:val="20"/>
          <w:shd w:fill="FFFFFF" w:val="clear"/>
        </w:rPr>
        <w:t>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pStyle w:val="TextBody"/>
        <w:bidi w:val="0"/>
        <w:spacing w:before="0" w:after="0"/>
        <w:ind w:left="0" w:right="0" w:hanging="0"/>
        <w:jc w:val="left"/>
        <w:rPr>
          <w:shd w:fill="FFFFFF" w:val="clear"/>
        </w:rPr>
      </w:pPr>
      <w:r>
        <w:rPr>
          <w:shd w:fill="FFFFFF" w:val="clear"/>
        </w:rPr>
        <w:t>​</w:t>
      </w:r>
    </w:p>
    <w:p>
      <w:pPr>
        <w:pStyle w:val="TextBody"/>
        <w:bidi w:val="0"/>
        <w:spacing w:lineRule="auto" w:line="271" w:before="0" w:after="0"/>
        <w:ind w:left="0" w:right="0" w:hanging="0"/>
        <w:jc w:val="both"/>
        <w:rPr>
          <w:rFonts w:ascii="Times New Roman;Times;serif" w:hAnsi="Times New Roman;Times;serif"/>
          <w:i/>
          <w:sz w:val="20"/>
        </w:rPr>
      </w:pPr>
      <w:r>
        <w:rPr>
          <w:rFonts w:ascii="Times New Roman;Times;serif" w:hAnsi="Times New Roman;Times;serif"/>
          <w:i/>
          <w:sz w:val="20"/>
        </w:rPr>
        <w:t>ATM PROGRAM</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14, 2020, the Company implemented a $100.0 million “at-the-market” equity offering program (the “2020 ATM Program”) pursuant to which the Company may sell, from time to time, shares of the Company’s common stock.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2020 ATM Program was terminated in advance of implementing the 2022 ATM Program, hereinafter defined.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On October 21, 2022, the Company implemented a $150.0 million “at-the-market” equity offering program (the “2022 ATM Program”) pursuant to which the Company may sell, from time to time, shares of the Company’s common stock. During the year ended December 31, 2023, the Company sold 665,929 shares under the 2022 ATM Program for gross proceeds of $12.6 million at a weighted average price of $18.96 per share, generating net proceeds of $12.4 million after deducting transaction fees totaling $0.2 million. </w:t>
      </w:r>
      <w:r>
        <w:rPr>
          <w:rFonts w:ascii="Times New Roman;Times;serif" w:hAnsi="Times New Roman;Times;serif"/>
          <w:sz w:val="20"/>
        </w:rPr>
        <w:t>During the year ended December 31, 2022, the Company sold 1,479,241 shares under the 2022 ATM Program for gross proceeds of $27.8 million at a weighted average price of $18.81 per share, generating net proceeds of $27.4 million after deducting transaction fees totaling $0.4 million.</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aggregate, under the 2020 ATM Program and 2022 ATM Program, during the year ended December 31, 2022, the Company sold 1,925,408 shares for gross proceeds of $36.5 million at a weighted average price of $18.96 per share, generating net proceeds of $36.0 million after deducting transaction fees totaling $0.5 million.</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NONCONTROLLING INTEREST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2023, CTO holds, directly and indirectly, an 8.2% noncontrolling ownership interest in the Operating Partnership as a result of 1,223,854 OP Units issued to CTO at the time of the Company’s IPO. On November 10, 2023, the Company redeemed the 479,640 OP Units held previously held by an unrelated third party. The 479,640 OP Units were redeemed on a one-for-one basis for shares of common stock of the Company.</w:t>
      </w:r>
    </w:p>
    <w:p>
      <w:pPr>
        <w:pStyle w:val="TextBody"/>
        <w:bidi w:val="0"/>
        <w:spacing w:before="0" w:after="0"/>
        <w:ind w:left="0" w:right="0" w:hanging="0"/>
        <w:jc w:val="left"/>
        <w:rPr/>
      </w:pPr>
      <w:r>
        <w:rPr/>
        <w:t>​</w:t>
      </w:r>
    </w:p>
    <w:p>
      <w:pPr>
        <w:pStyle w:val="TextBody"/>
        <w:bidi w:val="0"/>
        <w:spacing w:lineRule="auto" w:line="271" w:before="0" w:after="0"/>
        <w:ind w:left="0" w:right="0" w:hanging="0"/>
        <w:jc w:val="both"/>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0"/>
        <w:ind w:left="0" w:right="0" w:firstLine="360"/>
        <w:jc w:val="left"/>
        <w:rPr/>
      </w:pPr>
      <w:r>
        <w:rPr/>
        <w: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corporate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years ended December 31, 2023, 2022, and 2021, the Company declared and paid cash dividends on its common stock and OP Units of $1.100 per share, $1.090 per share, and $1.015 per share, respectively.</w:t>
      </w:r>
    </w:p>
    <w:p>
      <w:pPr>
        <w:pStyle w:val="TextBody"/>
        <w:bidi w:val="0"/>
        <w:spacing w:before="0" w:after="240"/>
        <w:ind w:left="0" w:right="0" w:hanging="0"/>
        <w:jc w:val="both"/>
        <w:rPr>
          <w:rFonts w:ascii="Times New Roman;Times;serif" w:hAnsi="Times New Roman;Times;serif"/>
          <w:b/>
          <w:sz w:val="20"/>
        </w:rPr>
      </w:pPr>
      <w:bookmarkStart w:id="1150" w:name="Tc_jqWeGPDVNEyDCpjPkZX7Yg_12_8"/>
      <w:bookmarkStart w:id="1151" w:name="Tc_fA2PR4kKCkC0R3G6hogsQg_12_5"/>
      <w:bookmarkStart w:id="1152" w:name="Tc_uUJkQH4q4kSQsjsOQSeWcw_12_2"/>
      <w:bookmarkStart w:id="1153" w:name="Tc_XSkCAf0G7UeqqBtRgT0-Hw_12_0"/>
      <w:bookmarkStart w:id="1154" w:name="Tc_ka8hwtLXakWK9R-eRwyEsw_11_8"/>
      <w:bookmarkStart w:id="1155" w:name="Tc_kbrJd8gNEUWXpjfvWuBqBA_11_5"/>
      <w:bookmarkStart w:id="1156" w:name="Tc_qvEm4VhDRUKR-hzsUq5Jng_11_2"/>
      <w:bookmarkStart w:id="1157" w:name="Tc_8IIRd4Sd00GA_7ruWt4skA_11_0"/>
      <w:bookmarkStart w:id="1158" w:name="Tc_IjPz7syTfkOTy8wjLeIlnQ_10_0"/>
      <w:bookmarkStart w:id="1159" w:name="Tc_TsaC5wYQEkyI8ajQxlkzzQ_9_0"/>
      <w:bookmarkStart w:id="1160" w:name="Tc_6zWkpzPAHE2gTKctspN0jA_7_0"/>
      <w:bookmarkStart w:id="1161" w:name="Tc_BICo1DkrzE6nVWZwW-hPSw_6_0"/>
      <w:bookmarkStart w:id="1162" w:name="Tc_UijD__VxuUWX_fdJCu9ndQ_5_0"/>
      <w:bookmarkStart w:id="1163" w:name="Tc_yn4Pev5yxUGlCjhR3TP32g_3_8"/>
      <w:bookmarkStart w:id="1164" w:name="Tc_Shb748pZkU6HSuQeUDdP5g_3_5"/>
      <w:bookmarkStart w:id="1165" w:name="Tc_XcZoEJ4VSUSG48We8KfRsA_3_2"/>
      <w:bookmarkStart w:id="1166" w:name="Tc_ZhvSTLe9PE-gylbUaw6_kQ_3_0"/>
      <w:bookmarkStart w:id="1167" w:name="Tc_G8sguQGTmUKVxpGC8qkJvg_2_8"/>
      <w:bookmarkStart w:id="1168" w:name="Tc_HTxPL4SolUehynka0Ex0cg_2_5"/>
      <w:bookmarkStart w:id="1169" w:name="Tc_BAOAvHSnbkuh-6WIvrx35Q_2_2"/>
      <w:bookmarkStart w:id="1170" w:name="Tc_vVHDsdlDXEiYiuQbRN5RVQ_1_2"/>
      <w:bookmarkStart w:id="1171" w:name="_405adb31_c49f_4362_a233_b2663c0f5165"/>
      <w:bookmarkStart w:id="1172" w:name="_0a8aca5a_9fac_47be_bbb7_06b8ae590d30"/>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r>
        <w:rPr>
          <w:rFonts w:ascii="Times New Roman;Times;serif" w:hAnsi="Times New Roman;Times;serif"/>
          <w:b/>
          <w:sz w:val="20"/>
        </w:rPr>
        <w:t>NOTE 15.      COMMON STOCK AND EARNINGS PER SHARE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Basic earnings per common share are computed by dividing net income attributable to the Company for the period by the weighted average number of shares of common stock outstanding for the period. Diluted earnings per common share are determined based on the assumption of the redemption of OP Units on a one-for-one basis using the treasury stock method at average market prices for the periods.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following is a reconciliation of basic and diluted earnings per common share (in thousands, except share and per share data):</w:t>
      </w:r>
    </w:p>
    <w:tbl>
      <w:tblPr>
        <w:tblW w:w="10205" w:type="dxa"/>
        <w:jc w:val="left"/>
        <w:tblInd w:w="0" w:type="dxa"/>
        <w:tblLayout w:type="fixed"/>
        <w:tblCellMar>
          <w:top w:w="0" w:type="dxa"/>
          <w:left w:w="0" w:type="dxa"/>
          <w:bottom w:w="0" w:type="dxa"/>
          <w:right w:w="0" w:type="dxa"/>
        </w:tblCellMar>
      </w:tblPr>
      <w:tblGrid>
        <w:gridCol w:w="5271"/>
        <w:gridCol w:w="109"/>
        <w:gridCol w:w="256"/>
        <w:gridCol w:w="1265"/>
        <w:gridCol w:w="109"/>
        <w:gridCol w:w="256"/>
        <w:gridCol w:w="1265"/>
        <w:gridCol w:w="109"/>
        <w:gridCol w:w="254"/>
        <w:gridCol w:w="1311"/>
      </w:tblGrid>
      <w:tr>
        <w:trPr/>
        <w:tc>
          <w:tcPr>
            <w:tcW w:w="5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9215" cy="175260"/>
                      <wp:effectExtent l="0" t="0" r="0" b="0"/>
                      <wp:wrapNone/>
                      <wp:docPr id="325" name="Frame3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62560" cy="175260"/>
                      <wp:effectExtent l="0" t="0" r="0" b="0"/>
                      <wp:wrapNone/>
                      <wp:docPr id="326" name="Frame32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803275" cy="175260"/>
                      <wp:effectExtent l="0" t="0" r="0" b="0"/>
                      <wp:wrapNone/>
                      <wp:docPr id="327" name="Frame327"/>
                      <a:graphic xmlns:a="http://schemas.openxmlformats.org/drawingml/2006/main">
                        <a:graphicData uri="http://schemas.microsoft.com/office/word/2010/wordprocessingShape">
                          <wps:wsp>
                            <wps:cNvSpPr txBox="1"/>
                            <wps:spPr>
                              <a:xfrm>
                                <a:off x="0" y="0"/>
                                <a:ext cx="803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9215" cy="175260"/>
                      <wp:effectExtent l="0" t="0" r="0" b="0"/>
                      <wp:wrapNone/>
                      <wp:docPr id="328" name="Frame3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62560" cy="175260"/>
                      <wp:effectExtent l="0" t="0" r="0" b="0"/>
                      <wp:wrapNone/>
                      <wp:docPr id="329" name="Frame32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803275" cy="175260"/>
                      <wp:effectExtent l="0" t="0" r="0" b="0"/>
                      <wp:wrapNone/>
                      <wp:docPr id="330" name="Frame330"/>
                      <a:graphic xmlns:a="http://schemas.openxmlformats.org/drawingml/2006/main">
                        <a:graphicData uri="http://schemas.microsoft.com/office/word/2010/wordprocessingShape">
                          <wps:wsp>
                            <wps:cNvSpPr txBox="1"/>
                            <wps:spPr>
                              <a:xfrm>
                                <a:off x="0" y="0"/>
                                <a:ext cx="803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31" name="Frame3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61290" cy="175260"/>
                      <wp:effectExtent l="0" t="0" r="0" b="0"/>
                      <wp:wrapNone/>
                      <wp:docPr id="332" name="Frame332"/>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832485" cy="175260"/>
                      <wp:effectExtent l="0" t="0" r="0" b="0"/>
                      <wp:wrapNone/>
                      <wp:docPr id="333" name="Frame333"/>
                      <a:graphic xmlns:a="http://schemas.openxmlformats.org/drawingml/2006/main">
                        <a:graphicData uri="http://schemas.microsoft.com/office/word/2010/wordprocessingShape">
                          <wps:wsp>
                            <wps:cNvSpPr txBox="1"/>
                            <wps:spPr>
                              <a:xfrm>
                                <a:off x="0" y="0"/>
                                <a:ext cx="832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71"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482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5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5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center"/>
              <w:rPr/>
            </w:pPr>
            <w:r>
              <w:rPr/>
              <w:t>​</w:t>
            </w:r>
          </w:p>
        </w:tc>
        <w:tc>
          <w:tcPr>
            <w:tcW w:w="15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5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Alpine Income Property Trust, Inc.</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29,720</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9,964</w:t>
            </w:r>
          </w:p>
        </w:tc>
      </w:tr>
      <w:tr>
        <w:trPr/>
        <w:tc>
          <w:tcPr>
            <w:tcW w:w="5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1311" w:type="dxa"/>
            <w:tcBorders/>
            <w:vAlign w:val="center"/>
          </w:tcPr>
          <w:p>
            <w:pPr>
              <w:pStyle w:val="TableContents"/>
              <w:bidi w:val="0"/>
              <w:spacing w:before="0" w:after="0"/>
              <w:ind w:left="0" w:right="0" w:hanging="0"/>
              <w:jc w:val="right"/>
              <w:rPr/>
            </w:pPr>
            <w:r>
              <w:rPr/>
              <w:t>​</w:t>
            </w:r>
          </w:p>
        </w:tc>
      </w:tr>
      <w:tr>
        <w:trPr/>
        <w:tc>
          <w:tcPr>
            <w:tcW w:w="5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2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13,925,362</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2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11,976,001</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13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9,781,066</w:t>
            </w:r>
          </w:p>
        </w:tc>
      </w:tr>
      <w:tr>
        <w:trPr/>
        <w:tc>
          <w:tcPr>
            <w:tcW w:w="527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Number of Common Shares Applicable to OP Units using Treasury Stock Method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1,635,162</w:t>
            </w:r>
          </w:p>
        </w:tc>
        <w:tc>
          <w:tcPr>
            <w:tcW w:w="109"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1,703,494</w:t>
            </w:r>
          </w:p>
        </w:tc>
        <w:tc>
          <w:tcPr>
            <w:tcW w:w="109"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1,465,161</w:t>
            </w:r>
          </w:p>
        </w:tc>
      </w:tr>
      <w:tr>
        <w:trPr/>
        <w:tc>
          <w:tcPr>
            <w:tcW w:w="5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Shares Applicable to Diluted Earnings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15,560,524</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13,679,495</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11,246,227</w:t>
            </w:r>
          </w:p>
        </w:tc>
      </w:tr>
      <w:tr>
        <w:trPr/>
        <w:tc>
          <w:tcPr>
            <w:tcW w:w="5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1311" w:type="dxa"/>
            <w:tcBorders/>
            <w:vAlign w:val="center"/>
          </w:tcPr>
          <w:p>
            <w:pPr>
              <w:pStyle w:val="TableContents"/>
              <w:bidi w:val="0"/>
              <w:spacing w:before="0" w:after="0"/>
              <w:ind w:left="0" w:right="0" w:hanging="0"/>
              <w:jc w:val="right"/>
              <w:rPr/>
            </w:pPr>
            <w:r>
              <w:rPr/>
              <w:t>​</w:t>
            </w:r>
          </w:p>
        </w:tc>
      </w:tr>
      <w:tr>
        <w:trPr/>
        <w:tc>
          <w:tcPr>
            <w:tcW w:w="52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2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2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1311" w:type="dxa"/>
            <w:tcBorders/>
            <w:shd w:fill="CCEEFF" w:val="clear"/>
            <w:vAlign w:val="center"/>
          </w:tcPr>
          <w:p>
            <w:pPr>
              <w:pStyle w:val="TableContents"/>
              <w:bidi w:val="0"/>
              <w:spacing w:before="0" w:after="0"/>
              <w:ind w:left="0" w:right="0" w:hanging="0"/>
              <w:jc w:val="right"/>
              <w:rPr/>
            </w:pPr>
            <w:r>
              <w:rPr/>
              <w:t>​</w:t>
            </w:r>
          </w:p>
        </w:tc>
      </w:tr>
      <w:tr>
        <w:trPr/>
        <w:tc>
          <w:tcPr>
            <w:tcW w:w="5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Alpine Income Property Trust, Inc.</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1311" w:type="dxa"/>
            <w:tcBorders/>
            <w:vAlign w:val="center"/>
          </w:tcPr>
          <w:p>
            <w:pPr>
              <w:pStyle w:val="TableContents"/>
              <w:bidi w:val="0"/>
              <w:spacing w:before="0" w:after="0"/>
              <w:ind w:left="0" w:right="0" w:hanging="0"/>
              <w:jc w:val="right"/>
              <w:rPr/>
            </w:pPr>
            <w:r>
              <w:rPr/>
              <w:t>​</w:t>
            </w:r>
          </w:p>
        </w:tc>
      </w:tr>
      <w:tr>
        <w:trPr/>
        <w:tc>
          <w:tcPr>
            <w:tcW w:w="5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5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0.89</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Represents shares underlying OP units including (i) 1,223,854</w:t>
            </w:r>
            <w:r>
              <w:rPr>
                <w:caps w:val="false"/>
                <w:smallCaps w:val="false"/>
              </w:rPr>
              <w:t xml:space="preserve"> </w:t>
            </w:r>
            <w:r>
              <w:rPr>
                <w:rFonts w:ascii="Times New Roman;Times;serif" w:hAnsi="Times New Roman;Times;serif"/>
                <w:b w:val="false"/>
                <w:i w:val="false"/>
                <w:caps w:val="false"/>
                <w:smallCaps w:val="false"/>
                <w:sz w:val="16"/>
              </w:rPr>
              <w:t>shares underlying OP Units issued to CTO in connection with our IPO and (ii) 479,640</w:t>
            </w:r>
            <w:r>
              <w:rPr>
                <w:caps w:val="false"/>
                <w:smallCaps w:val="false"/>
              </w:rPr>
              <w:t xml:space="preserve"> </w:t>
            </w:r>
            <w:r>
              <w:rPr>
                <w:rFonts w:ascii="Times New Roman;Times;serif" w:hAnsi="Times New Roman;Times;serif"/>
                <w:b w:val="false"/>
                <w:i w:val="false"/>
                <w:caps w:val="false"/>
                <w:smallCaps w:val="false"/>
                <w:sz w:val="16"/>
              </w:rPr>
              <w:t>shares underlying OP Units issued to an unrelated third party in connection with the acquisition of a portfolio of properties during the year ended December 31, 2021, which OP Units were redeemed on a one-for-one basis for shares of common stock of the Company during the year ended December 31, 2023 (see Note 14, “Equity”).</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16. SHARE REPURCHASES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March 2020, the Board approved a $5.0 million stock repurchase program (the “2020 $5.0 Million Repurchase Program”). During the year ended December 31, 2020, the Company repurchased 456,237 shares of its common stock on the open market for a total cost of $5.0 million, or an average price per share of $11.02, which completed the 2020 $5.0 Million Repurchase Program.</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May 2023, the Board approved a $5.0 million stock repurchase program (the “2023 $5.0 Million Repurchase Program”). Under the 2023 $5.0 Million Repurchase Program, the Company repurchased 23,889 shares of its common stock on the open market for a total cost of $0.4 million, or an average price per share of $15.22, during the year ended December 31, 2023.</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July 2023, the Board approved a $15.0 million stock repurchase program (the “2023 $15.0 Million Repurchase Program”). The 2023 $15.0 Million Repurchase Program replaced the 2023 $5.0 Million Repurchase Program. Under the 2023 $15.0 Million Repurchase Program, the Company repurchased 875,122 shares of its common stock on the open market for a total cost of $14.2 million, or an average price per share of $16.26, during the year ended December 31, 2023.</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aggregate, the Company repurchased 899,011 shares of its common stock on the open market for a total cost of $14.6 million, or an average price per share of $16.23, during the year ended December 31, 2023. There were no repurchases of the Company’s common stock during the years ended December 31, 2022 or 2021.</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17.      STOCK-BASED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closing of the IPO, on November 26, 2019, the Company granted restricted shares of common stock to each of the Company’s initial non-employee directors under the Individual Plan. Each of the initial non-employee directors received an award of 2,000 restricted shares of common stock on November 26, 2019. The restricted shares vested in substantially equal installments on each of the first, second, and third anniversaries of the grant date. As of December 31, 2022, all increments of this award had vested. In addition, the restricted shares are subject to a holding period beginning on the grant date and ending on the date that the grantee ceases to serve as a member of the Board (the “Holding Period”). During the Holding Period, the restricted shares may not be sold, pledged or otherwise transferred by the grantee. Except for the one-time IPO-related grant of these 8,000 restricted shares of common stock, and the shares of common stock issued quarterly to the non-employee directors in lieu of cash retainer fees (pursuant to the directors’ annual election under the Company’s Non-Employee Director Compensation Policy), the Company has not made any grants under the Equity Incentive Plans. Any future grants under the Equity Incentive Plans will be approved by the compensation committee of the Board. The 2019 non-employee director share awards had an aggregate grant date fair value of $0.15 million. The Company’s determination of the grant date fair value of the three-year vest restricted stock awards was calculated by multiplying the number of shares issued by the Company’s stock price at the grant date. Compensation cost was recognized on a straight-line basis over the vesting period and is included in general and administrative expenses in the Company’s consolidated statements of operations. The Company recognized stock compensation expense totaling $0.05 million during each of the years ended December 31, 2022, and 2021. There was no stock compensation expense during the year ended December 31, 2023.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173" w:name="Tc_UxYRGesoFUmMemUbIJfwvA_5_8"/>
      <w:bookmarkStart w:id="1174" w:name="Tc__EnLWYBQXECJjBqitvv0xw_5_5"/>
      <w:bookmarkStart w:id="1175" w:name="Tc_l_-dcXrjHEu-WQ0-AWdUMQ_5_2"/>
      <w:bookmarkStart w:id="1176" w:name="Tc_vVHGrf_x40-_VuIcWo7vdQ_5_0"/>
      <w:bookmarkStart w:id="1177" w:name="Tc_j1S-hDgc1EuCh85srvMnng_4_0"/>
      <w:bookmarkStart w:id="1178" w:name="Tc_Jvg8TAJlmUaOtOySSdYIGw_3_8"/>
      <w:bookmarkStart w:id="1179" w:name="Tc_lnF8O-kJok2FpRwxJ6t3Qg_3_5"/>
      <w:bookmarkStart w:id="1180" w:name="Tc_SuY4eg1BQka1gw6o56M1ag_3_3"/>
      <w:bookmarkStart w:id="1181" w:name="Tc_OUsfoWQQS0ymiy-pVWG6QQ_3_2"/>
      <w:bookmarkStart w:id="1182" w:name="Tc_jN9ltjirS0mThxLeK2hMVw_3_0"/>
      <w:bookmarkStart w:id="1183" w:name="Tc_HSX8sCHHjU-s8EsqjjpsBg_2_8"/>
      <w:bookmarkStart w:id="1184" w:name="Tc_DaOJAyzdaE-hRZGLhdy5vw_2_5"/>
      <w:bookmarkStart w:id="1185" w:name="Tc_dA5Q2jjzu0iB9P-11JlvfQ_2_2"/>
      <w:bookmarkStart w:id="1186" w:name="Tc_eJBekQywQEK3z5xt5FKpkw_1_2"/>
      <w:bookmarkStart w:id="1187" w:name="_083fb275_36ca_4b16_b183_9c1c4be4fc4f"/>
      <w:bookmarkStart w:id="1188" w:name="Tc_cRngF6ZvjkaYV3hP4yxkOw_17_5"/>
      <w:bookmarkStart w:id="1189" w:name="Tc_emvPcQiYTEeQQHTTiGfD3g_17_0"/>
      <w:bookmarkStart w:id="1190" w:name="Tc_9MIJF_6tikmks_Xpe5FT_g_16_0"/>
      <w:bookmarkStart w:id="1191" w:name="Tc__WXxgDHblEyodOcwQjwAhw_15_0"/>
      <w:bookmarkStart w:id="1192" w:name="Tc_S33kcB6_kUyz0UbPq6olJg_14_0"/>
      <w:bookmarkStart w:id="1193" w:name="Tc_vU7LLR2gekqDU4tntQVtNQ_13_0"/>
      <w:bookmarkStart w:id="1194" w:name="Tc_MsJc4NGyK0qbt3jWj7iPWA_12_5"/>
      <w:bookmarkStart w:id="1195" w:name="Tc_GOfv7MkqwkeIMZFAg2Oe9A_12_0"/>
      <w:bookmarkStart w:id="1196" w:name="Tc_8slo7ND07Uu1vW_82VgfWA_11_0"/>
      <w:bookmarkStart w:id="1197" w:name="Tc_t1tM5pt2YkCcj0ZAy5KhWA_10_0"/>
      <w:bookmarkStart w:id="1198" w:name="Tc_wQhyyDlr3U-NlV0_Oh6a-g_9_5"/>
      <w:bookmarkStart w:id="1199" w:name="Tc_dahvRLKfUUqQDZhShIwvDw_9_0"/>
      <w:bookmarkStart w:id="1200" w:name="Tc_ZPpwZ_fwQUqeerqATzDonw_8_0"/>
      <w:bookmarkStart w:id="1201" w:name="Tc_YASB-K_FckOmWz3MDKtwAw_7_5"/>
      <w:bookmarkStart w:id="1202" w:name="Tc_qEzmZnviX0SPxADUp6yVvw_7_0"/>
      <w:bookmarkStart w:id="1203" w:name="Tc_R7FOJY7ckUuQvutetdYFgw_6_0"/>
      <w:bookmarkStart w:id="1204" w:name="Tc_PwJk8T2WDkqAVF-L41jIbw_5_0"/>
      <w:bookmarkStart w:id="1205" w:name="Tc_wOq9k3FdNE-FRvyejzaToA_4_5"/>
      <w:bookmarkStart w:id="1206" w:name="Tc_lDxXUTCYT0m1QorLDDTm-g_4_0"/>
      <w:bookmarkStart w:id="1207" w:name="Tc__cTV23eRFU2xAaxX3loU3Q_3_0"/>
      <w:bookmarkStart w:id="1208" w:name="Tc_OOpaUedzKkWctjcAXgKEfA_2_5"/>
      <w:bookmarkStart w:id="1209" w:name="Tc_J9B5H-w3IkW2gWkDZG5drg_2_0"/>
      <w:bookmarkStart w:id="1210" w:name="Tc_1OLOPu_QdU-J4c8Mn9iKrg_1_5"/>
      <w:bookmarkStart w:id="1211" w:name="Tc_g6HlYNC3oEKTMzykVSM40Q_1_3"/>
      <w:bookmarkStart w:id="1212" w:name="Tc_s15orpBHmkyPAGYKYzm85A_1_0"/>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r>
        <w:rPr>
          <w:rFonts w:ascii="Times New Roman;Times;serif" w:hAnsi="Times New Roman;Times;serif"/>
          <w:sz w:val="20"/>
        </w:rPr>
        <w:t>A summary of activity for these awards during the years ended December 31, 2023, 2022 and 2021 is presented below: </w:t>
      </w:r>
    </w:p>
    <w:p>
      <w:pPr>
        <w:pStyle w:val="TextBody"/>
        <w:bidi w:val="0"/>
        <w:spacing w:before="0" w:after="0"/>
        <w:ind w:left="0" w:right="0" w:firstLine="490"/>
        <w:jc w:val="both"/>
        <w:rPr/>
      </w:pPr>
      <w:r>
        <w:rPr/>
        <w:t>​</w:t>
      </w:r>
    </w:p>
    <w:tbl>
      <w:tblPr>
        <w:tblW w:w="6298" w:type="dxa"/>
        <w:jc w:val="left"/>
        <w:tblInd w:w="0" w:type="dxa"/>
        <w:tblLayout w:type="fixed"/>
        <w:tblCellMar>
          <w:top w:w="0" w:type="dxa"/>
          <w:left w:w="0" w:type="dxa"/>
          <w:bottom w:w="0" w:type="dxa"/>
          <w:right w:w="0" w:type="dxa"/>
        </w:tblCellMar>
      </w:tblPr>
      <w:tblGrid>
        <w:gridCol w:w="2896"/>
        <w:gridCol w:w="109"/>
        <w:gridCol w:w="326"/>
        <w:gridCol w:w="691"/>
        <w:gridCol w:w="326"/>
        <w:gridCol w:w="495"/>
        <w:gridCol w:w="1455"/>
      </w:tblGrid>
      <w:tr>
        <w:trPr/>
        <w:tc>
          <w:tcPr>
            <w:tcW w:w="28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38785" cy="175260"/>
                      <wp:effectExtent l="0" t="0" r="0" b="0"/>
                      <wp:wrapNone/>
                      <wp:docPr id="335" name="Frame3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14325" cy="175260"/>
                      <wp:effectExtent l="0" t="0" r="0" b="0"/>
                      <wp:wrapNone/>
                      <wp:docPr id="337" name="Frame337"/>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923925" cy="175260"/>
                      <wp:effectExtent l="0" t="0" r="0" b="0"/>
                      <wp:wrapNone/>
                      <wp:docPr id="338" name="Frame338"/>
                      <a:graphic xmlns:a="http://schemas.openxmlformats.org/drawingml/2006/main">
                        <a:graphicData uri="http://schemas.microsoft.com/office/word/2010/wordprocessingShape">
                          <wps:wsp>
                            <wps:cNvSpPr txBox="1"/>
                            <wps:spPr>
                              <a:xfrm>
                                <a:off x="0" y="0"/>
                                <a:ext cx="923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Non-Vested Restricted Shares</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26" w:type="dxa"/>
            <w:tcBorders/>
            <w:vAlign w:val="center"/>
          </w:tcPr>
          <w:p>
            <w:pPr>
              <w:pStyle w:val="TableContents"/>
              <w:bidi w:val="0"/>
              <w:spacing w:before="0" w:after="0"/>
              <w:ind w:left="0" w:right="0" w:hanging="0"/>
              <w:jc w:val="left"/>
              <w:rPr/>
            </w:pPr>
            <w:r>
              <w:rPr/>
              <w:t>    </w:t>
            </w:r>
          </w:p>
        </w:tc>
        <w:tc>
          <w:tcPr>
            <w:tcW w:w="1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Fair Value</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2021</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5,336</w:t>
            </w:r>
          </w:p>
        </w:tc>
        <w:tc>
          <w:tcPr>
            <w:tcW w:w="326"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left"/>
              <w:rPr/>
            </w:pPr>
            <w:r>
              <w:rPr/>
              <w:t>​</w:t>
            </w:r>
          </w:p>
        </w:tc>
        <w:tc>
          <w:tcPr>
            <w:tcW w:w="1455" w:type="dxa"/>
            <w:tcBorders/>
            <w:vAlign w:val="center"/>
          </w:tcPr>
          <w:p>
            <w:pPr>
              <w:pStyle w:val="TableContents"/>
              <w:bidi w:val="0"/>
              <w:spacing w:before="0" w:after="0"/>
              <w:ind w:left="0" w:right="0" w:hanging="0"/>
              <w:jc w:val="righ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c>
          <w:tcPr>
            <w:tcW w:w="326"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left"/>
              <w:rPr/>
            </w:pPr>
            <w:r>
              <w:rPr/>
              <w:t>​</w:t>
            </w:r>
          </w:p>
        </w:tc>
        <w:tc>
          <w:tcPr>
            <w:tcW w:w="1455" w:type="dxa"/>
            <w:tcBorders/>
            <w:vAlign w:val="center"/>
          </w:tcPr>
          <w:p>
            <w:pPr>
              <w:pStyle w:val="TableContents"/>
              <w:bidi w:val="0"/>
              <w:spacing w:before="0" w:after="0"/>
              <w:ind w:left="0" w:right="0" w:hanging="0"/>
              <w:jc w:val="righ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2021</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c>
          <w:tcPr>
            <w:tcW w:w="326"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left"/>
              <w:rPr/>
            </w:pPr>
            <w:r>
              <w:rPr/>
              <w:t>​</w:t>
            </w:r>
          </w:p>
        </w:tc>
        <w:tc>
          <w:tcPr>
            <w:tcW w:w="1455" w:type="dxa"/>
            <w:tcBorders/>
            <w:shd w:fill="CCEEFF" w:val="clear"/>
            <w:vAlign w:val="center"/>
          </w:tcPr>
          <w:p>
            <w:pPr>
              <w:pStyle w:val="TableContents"/>
              <w:bidi w:val="0"/>
              <w:spacing w:before="0" w:after="0"/>
              <w:ind w:left="0" w:right="0" w:hanging="0"/>
              <w:jc w:val="righ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c>
          <w:tcPr>
            <w:tcW w:w="326"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left"/>
              <w:rPr/>
            </w:pPr>
            <w:r>
              <w:rPr/>
              <w:t>​</w:t>
            </w:r>
          </w:p>
        </w:tc>
        <w:tc>
          <w:tcPr>
            <w:tcW w:w="1455" w:type="dxa"/>
            <w:tcBorders/>
            <w:shd w:fill="CCEEFF" w:val="clear"/>
            <w:vAlign w:val="center"/>
          </w:tcPr>
          <w:p>
            <w:pPr>
              <w:pStyle w:val="TableContents"/>
              <w:bidi w:val="0"/>
              <w:spacing w:before="0" w:after="0"/>
              <w:ind w:left="0" w:right="0" w:hanging="0"/>
              <w:jc w:val="righ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2022</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shd w:fill="CCEEFF" w:val="clear"/>
            <w:vAlign w:val="center"/>
          </w:tcPr>
          <w:p>
            <w:pPr>
              <w:pStyle w:val="TableContents"/>
              <w:bidi w:val="0"/>
              <w:spacing w:before="0" w:after="0"/>
              <w:ind w:left="0" w:right="0" w:hanging="0"/>
              <w:jc w:val="righ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left"/>
              <w:rPr/>
            </w:pPr>
            <w:r>
              <w:rPr/>
              <w:t>​</w:t>
            </w:r>
          </w:p>
        </w:tc>
        <w:tc>
          <w:tcPr>
            <w:tcW w:w="1455" w:type="dxa"/>
            <w:tcBorders/>
            <w:vAlign w:val="center"/>
          </w:tcPr>
          <w:p>
            <w:pPr>
              <w:pStyle w:val="TableContents"/>
              <w:bidi w:val="0"/>
              <w:spacing w:before="0" w:after="0"/>
              <w:ind w:left="0" w:right="0" w:hanging="0"/>
              <w:jc w:val="righ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left"/>
              <w:rPr/>
            </w:pPr>
            <w:r>
              <w:rPr/>
              <w:t>​</w:t>
            </w:r>
          </w:p>
        </w:tc>
        <w:tc>
          <w:tcPr>
            <w:tcW w:w="1455" w:type="dxa"/>
            <w:tcBorders/>
            <w:shd w:fill="CCEEFF" w:val="clear"/>
            <w:vAlign w:val="center"/>
          </w:tcPr>
          <w:p>
            <w:pPr>
              <w:pStyle w:val="TableContents"/>
              <w:bidi w:val="0"/>
              <w:spacing w:before="0" w:after="0"/>
              <w:ind w:left="0" w:right="0" w:hanging="0"/>
              <w:jc w:val="righ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left"/>
              <w:rPr/>
            </w:pPr>
            <w:r>
              <w:rPr/>
              <w:t>​</w:t>
            </w:r>
          </w:p>
        </w:tc>
        <w:tc>
          <w:tcPr>
            <w:tcW w:w="1455" w:type="dxa"/>
            <w:tcBorders/>
            <w:vAlign w:val="center"/>
          </w:tcPr>
          <w:p>
            <w:pPr>
              <w:pStyle w:val="TableContents"/>
              <w:bidi w:val="0"/>
              <w:spacing w:before="0" w:after="0"/>
              <w:ind w:left="0" w:right="0" w:hanging="0"/>
              <w:jc w:val="righ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2023</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2023 and 2022, there was no unrecognized compensation cost related to the three-year vest restricted shares.</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Each non-employee member of the Board has the option to receive his or her annual retainer fee in shares of Company common stock rather than cash. The number of shares issued to the directors making such election is calculated quarterly by dividing the amount of the quarterly retainer fee payment due to such director by the 20-day trailing average closing price of the Company’s common stock as of the last business day of the calendar quarter, rounded down to the nearest whole number of shares. During the year ended December 31, 2023, the expense recognized for the value of the Company’s common stock received by non-employee directors totaled $0.3 million, or 19,133 shares, of which 4,776 shares were issued on April 1, 2023, 4,940 shares were issued on July 3, 2023, 4,748 shares were issued on October 2, 2023, and 4,669 shares were issued on January 2, 2024. During the year ended December 31, 2022, the expense recognized for the value of the Company’s common stock received by non-employee directors totaled $0.3 million, or 14,485 shares, of which 3,514 shares were issued on April 1, 2022, 3,689 shares were issued on July 1, 2022, 3,774 shares were issued on October 1, 2022, and 3,508 shares were issued on January 1, 2023. During the year ended December 31, 2021, the expense recognized for the value of the Company’s common stock received by non-employee directors totaled $0.3 million, or 14,049 shares, of which 3,453 shares were issued on April 1, 2021, 3,525 shares were issued on July 1, 2021, 3,594 shares were issued on October 1, 2021, and 3,477 shares were issued on January 3, 2022.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Stock compensation expense for the years ended December 31, 2023, 2022, and 2021 is summarized as follows (in thousands): </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859"/>
        <w:gridCol w:w="109"/>
        <w:gridCol w:w="555"/>
        <w:gridCol w:w="1114"/>
        <w:gridCol w:w="109"/>
        <w:gridCol w:w="555"/>
        <w:gridCol w:w="1114"/>
        <w:gridCol w:w="109"/>
        <w:gridCol w:w="480"/>
        <w:gridCol w:w="1201"/>
      </w:tblGrid>
      <w:tr>
        <w:trPr/>
        <w:tc>
          <w:tcPr>
            <w:tcW w:w="485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215" cy="175260"/>
                      <wp:effectExtent l="0" t="0" r="0" b="0"/>
                      <wp:wrapNone/>
                      <wp:docPr id="339" name="Frame3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352425" cy="175260"/>
                      <wp:effectExtent l="0" t="0" r="0" b="0"/>
                      <wp:wrapNone/>
                      <wp:docPr id="340" name="Frame340"/>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707390" cy="175260"/>
                      <wp:effectExtent l="0" t="0" r="0" b="0"/>
                      <wp:wrapNone/>
                      <wp:docPr id="341" name="Frame341"/>
                      <a:graphic xmlns:a="http://schemas.openxmlformats.org/drawingml/2006/main">
                        <a:graphicData uri="http://schemas.microsoft.com/office/word/2010/wordprocessingShape">
                          <wps:wsp>
                            <wps:cNvSpPr txBox="1"/>
                            <wps:spPr>
                              <a:xfrm>
                                <a:off x="0" y="0"/>
                                <a:ext cx="707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9215" cy="175260"/>
                      <wp:effectExtent l="0" t="0" r="0" b="0"/>
                      <wp:wrapNone/>
                      <wp:docPr id="342" name="Frame3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352425" cy="175260"/>
                      <wp:effectExtent l="0" t="0" r="0" b="0"/>
                      <wp:wrapNone/>
                      <wp:docPr id="343" name="Frame343"/>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707390" cy="175260"/>
                      <wp:effectExtent l="0" t="0" r="0" b="0"/>
                      <wp:wrapNone/>
                      <wp:docPr id="344" name="Frame344"/>
                      <a:graphic xmlns:a="http://schemas.openxmlformats.org/drawingml/2006/main">
                        <a:graphicData uri="http://schemas.microsoft.com/office/word/2010/wordprocessingShape">
                          <wps:wsp>
                            <wps:cNvSpPr txBox="1"/>
                            <wps:spPr>
                              <a:xfrm>
                                <a:off x="0" y="0"/>
                                <a:ext cx="707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9215" cy="175260"/>
                      <wp:effectExtent l="0" t="0" r="0" b="0"/>
                      <wp:wrapNone/>
                      <wp:docPr id="345" name="Frame3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304800" cy="175260"/>
                      <wp:effectExtent l="0" t="0" r="0" b="0"/>
                      <wp:wrapNone/>
                      <wp:docPr id="346" name="Frame346"/>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762635" cy="175260"/>
                      <wp:effectExtent l="0" t="0" r="0" b="0"/>
                      <wp:wrapNone/>
                      <wp:docPr id="347" name="Frame347"/>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5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23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85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center"/>
              <w:rPr/>
            </w:pPr>
            <w:r>
              <w:rPr/>
              <w:t>​</w:t>
            </w:r>
          </w:p>
        </w:tc>
        <w:tc>
          <w:tcPr>
            <w:tcW w:w="1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4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 Expense – Director Restricted Stock</w:t>
            </w:r>
          </w:p>
        </w:tc>
        <w:tc>
          <w:tcPr>
            <w:tcW w:w="109" w:type="dxa"/>
            <w:tcBorders/>
            <w:shd w:fill="CCEEFF" w:val="clear"/>
            <w:vAlign w:val="center"/>
          </w:tcPr>
          <w:p>
            <w:pPr>
              <w:pStyle w:val="TableContents"/>
              <w:bidi w:val="0"/>
              <w:spacing w:before="0" w:after="0"/>
              <w:ind w:left="0" w:right="0" w:hanging="0"/>
              <w:jc w:val="right"/>
              <w:rPr/>
            </w:pPr>
            <w:r>
              <w:rPr/>
              <w:t>​</w:t>
            </w:r>
          </w:p>
        </w:tc>
        <w:tc>
          <w:tcPr>
            <w:tcW w:w="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09"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4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 Expense – Director Retainers Paid in Stock</w:t>
            </w:r>
          </w:p>
        </w:tc>
        <w:tc>
          <w:tcPr>
            <w:tcW w:w="109" w:type="dxa"/>
            <w:tcBorders/>
            <w:vAlign w:val="center"/>
          </w:tcPr>
          <w:p>
            <w:pPr>
              <w:pStyle w:val="TableContents"/>
              <w:bidi w:val="0"/>
              <w:spacing w:before="0" w:after="0"/>
              <w:ind w:left="0" w:right="0" w:hanging="0"/>
              <w:jc w:val="righ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109" w:type="dxa"/>
            <w:tcBorders/>
            <w:vAlign w:val="center"/>
          </w:tcPr>
          <w:p>
            <w:pPr>
              <w:pStyle w:val="TableContents"/>
              <w:bidi w:val="0"/>
              <w:spacing w:before="0" w:after="0"/>
              <w:ind w:left="0" w:right="0" w:hanging="0"/>
              <w:jc w:val="righ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109" w:type="dxa"/>
            <w:tcBorders/>
            <w:vAlign w:val="center"/>
          </w:tcPr>
          <w:p>
            <w:pPr>
              <w:pStyle w:val="TableContents"/>
              <w:bidi w:val="0"/>
              <w:spacing w:before="0" w:after="0"/>
              <w:ind w:left="0" w:right="0" w:hanging="0"/>
              <w:jc w:val="left"/>
              <w:rPr/>
            </w:pPr>
            <w:r>
              <w:rPr/>
              <w:t>​</w:t>
            </w:r>
          </w:p>
        </w:tc>
        <w:tc>
          <w:tcPr>
            <w:tcW w:w="4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r>
      <w:tr>
        <w:trPr/>
        <w:tc>
          <w:tcPr>
            <w:tcW w:w="4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Stock Compensation Expense </w:t>
            </w:r>
          </w:p>
        </w:tc>
        <w:tc>
          <w:tcPr>
            <w:tcW w:w="109" w:type="dxa"/>
            <w:tcBorders/>
            <w:shd w:fill="CCEEFF" w:val="clear"/>
            <w:vAlign w:val="center"/>
          </w:tcPr>
          <w:p>
            <w:pPr>
              <w:pStyle w:val="TableContents"/>
              <w:bidi w:val="0"/>
              <w:spacing w:before="0" w:after="0"/>
              <w:ind w:left="0" w:right="0" w:hanging="0"/>
              <w:jc w:val="righ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109" w:type="dxa"/>
            <w:tcBorders/>
            <w:shd w:fill="CCEEFF" w:val="clear"/>
            <w:vAlign w:val="center"/>
          </w:tcPr>
          <w:p>
            <w:pPr>
              <w:pStyle w:val="TableContents"/>
              <w:bidi w:val="0"/>
              <w:spacing w:before="0" w:after="0"/>
              <w:ind w:left="0" w:right="0" w:hanging="0"/>
              <w:jc w:val="righ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109" w:type="dxa"/>
            <w:tcBorders/>
            <w:shd w:fill="CCEEFF" w:val="clear"/>
            <w:vAlign w:val="center"/>
          </w:tcPr>
          <w:p>
            <w:pPr>
              <w:pStyle w:val="TableContents"/>
              <w:bidi w:val="0"/>
              <w:spacing w:before="0" w:after="0"/>
              <w:ind w:left="0" w:right="0" w:hanging="0"/>
              <w:jc w:val="left"/>
              <w:rPr/>
            </w:pPr>
            <w:r>
              <w:rPr/>
              <w:t>​</w:t>
            </w:r>
          </w:p>
        </w:tc>
        <w:tc>
          <w:tcPr>
            <w:tcW w:w="4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309</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Director retainers are issued through additional paid in capital in arrears. Therefore, the change in additional paid in capital during the years ended December 31, 2023, 2022, and 2021 reported on the consolidated statements of stockholders’ equity does not agree to the total non-cash compensation reported on the consolidated statements of cash flows.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18. RELATED PARTY MANAGEMENT COMPANY</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externally managed by the Manager, a wholly owned subsidiary of CTO. During the year ended December 31, 2023, CTO purchased 129,271 shares of PINE common stock in the open market for $2.1 million, or an average price per share of $16.21. During the year ended December 31, 2022, CTO purchased 155,665 shares of PINE common stock in the open market for $2.7 million, or an average price per share of $17.57. As of December 31, 2023, CTO owns, in the aggregate, 1,223,854 OP Units and 1,108,814 shares of PINE common stock, inclusive of (i) 394,737 shares of common stock totaling $7.5 million issued in connection with a private placement that closed concurrently with the IPO, (ii) 421,053 shares of common stock totaling $8.0 million issued in connection with the IPO, and (iii) 293,024 shares of common stock totaling $5.0 million purchased by CTO subsequent to the IPO. The aggregate 1,223,854 OP Units and 1,108,814 shares of PINE common stock held by CTO represent an investment totaling $39.4 million, or 15.7% of PINE’s outstanding equity, as of December 31, 2023.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Management Agreement</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2023, 2022 or 2021.</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initial term of the Management Agreement will expire on November 26, 2024 and will automatically renew for an unlimited number of successive one-year periods thereafter, unless the agreement is not renewed or is terminated in accordance with its terms.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independent directors review our Manager’s performance and the management fees annually and, following the initial term, the Management Agreement may be terminated annually upon the affirmative vote of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w:t>
      </w:r>
      <w:r>
        <w:rPr>
          <w:rFonts w:ascii="Times New Roman;Times;serif" w:hAnsi="Times New Roman;Times;serif"/>
          <w:b w:val="false"/>
          <w:i w:val="false"/>
          <w:caps w:val="false"/>
          <w:smallCaps w:val="false"/>
          <w:sz w:val="20"/>
        </w:rPr>
        <w:t>two</w:t>
      </w:r>
      <w:r>
        <w:rPr>
          <w:rFonts w:ascii="Times New Roman;Times;serif" w:hAnsi="Times New Roman;Times;serif"/>
          <w:sz w:val="20"/>
        </w:rPr>
        <w:t>-thirds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incurred management fee expenses totaling $4.3 million, $3.8 million, and $3.2 million during the years ended December 31, 2023, 2022, and 2021, respectively. The Company also paid dividends on the common stock and OP Units owned by affiliates of the Manager in the amount of $2.5 million, $2.3 million, and $2.1 million, for the years ended December 31, 2023, 2022, and 2021, respectively.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213" w:name="Tc_qM6jR8ODikafWMZbXMsJBg_5_5"/>
      <w:bookmarkStart w:id="1214" w:name="Tc_kX-5Ppnw_U-1dZv9jqLD0g_5_2"/>
      <w:bookmarkStart w:id="1215" w:name="Tc_MgOtTeiCD02X7LNSR4_7eA_5_0"/>
      <w:bookmarkStart w:id="1216" w:name="Tc_hEDaOFCb-kaP-9rBb54u4A_4_0"/>
      <w:bookmarkStart w:id="1217" w:name="Tc_zW_uVb4je0CwmCJbpC32jg_3_5"/>
      <w:bookmarkStart w:id="1218" w:name="Tc_GvBcCjkSpUWsZNhchBl0zQ_3_2"/>
      <w:bookmarkStart w:id="1219" w:name="Tc_D2lPOtXY9kiTqH3q8KMRTg_3_0"/>
      <w:bookmarkStart w:id="1220" w:name="Tc_fnT9EBlswESq1EUI3mgVGg_2_5"/>
      <w:bookmarkStart w:id="1221" w:name="Tc_JH0RMEc-EkKoUWQbKy6jGg_2_2"/>
      <w:bookmarkStart w:id="1222" w:name="Tc_1we9ks2Bakm9Dzc5aiEucw_2_0"/>
      <w:bookmarkStart w:id="1223" w:name="Tc_J6JCEuk4qkCFprbGWfF49g_1_2"/>
      <w:bookmarkStart w:id="1224" w:name="_bff1bc56_95c8_4a81_9f4b_a0820ed7a408"/>
      <w:bookmarkEnd w:id="1213"/>
      <w:bookmarkEnd w:id="1214"/>
      <w:bookmarkEnd w:id="1215"/>
      <w:bookmarkEnd w:id="1216"/>
      <w:bookmarkEnd w:id="1217"/>
      <w:bookmarkEnd w:id="1218"/>
      <w:bookmarkEnd w:id="1219"/>
      <w:bookmarkEnd w:id="1220"/>
      <w:bookmarkEnd w:id="1221"/>
      <w:bookmarkEnd w:id="1222"/>
      <w:bookmarkEnd w:id="1223"/>
      <w:bookmarkEnd w:id="1224"/>
      <w:r>
        <w:rPr>
          <w:rFonts w:ascii="Times New Roman;Times;serif" w:hAnsi="Times New Roman;Times;serif"/>
          <w:sz w:val="20"/>
        </w:rPr>
        <w:t>The following table represents amounts due from the Company to CTO (in thousands):</w:t>
      </w:r>
    </w:p>
    <w:p>
      <w:pPr>
        <w:pStyle w:val="TextBody"/>
        <w:bidi w:val="0"/>
        <w:spacing w:before="0" w:after="0"/>
        <w:ind w:left="0" w:right="0" w:firstLine="360"/>
        <w:jc w:val="both"/>
        <w:rPr/>
      </w:pPr>
      <w:r>
        <w:rPr/>
        <w:t>​</w:t>
      </w:r>
    </w:p>
    <w:tbl>
      <w:tblPr>
        <w:tblW w:w="6653" w:type="dxa"/>
        <w:jc w:val="left"/>
        <w:tblInd w:w="0" w:type="dxa"/>
        <w:tblLayout w:type="fixed"/>
        <w:tblCellMar>
          <w:top w:w="0" w:type="dxa"/>
          <w:left w:w="0" w:type="dxa"/>
          <w:bottom w:w="0" w:type="dxa"/>
          <w:right w:w="0" w:type="dxa"/>
        </w:tblCellMar>
      </w:tblPr>
      <w:tblGrid>
        <w:gridCol w:w="2506"/>
        <w:gridCol w:w="326"/>
        <w:gridCol w:w="465"/>
        <w:gridCol w:w="1260"/>
        <w:gridCol w:w="326"/>
        <w:gridCol w:w="505"/>
        <w:gridCol w:w="1265"/>
      </w:tblGrid>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800100" cy="175260"/>
                      <wp:effectExtent l="0" t="0" r="0" b="0"/>
                      <wp:wrapNone/>
                      <wp:docPr id="348" name="Frame348"/>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505"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803275" cy="175260"/>
                      <wp:effectExtent l="0" t="0" r="0" b="0"/>
                      <wp:wrapNone/>
                      <wp:docPr id="349" name="Frame349"/>
                      <a:graphic xmlns:a="http://schemas.openxmlformats.org/drawingml/2006/main">
                        <a:graphicData uri="http://schemas.microsoft.com/office/word/2010/wordprocessingShape">
                          <wps:wsp>
                            <wps:cNvSpPr txBox="1"/>
                            <wps:spPr>
                              <a:xfrm>
                                <a:off x="0" y="0"/>
                                <a:ext cx="803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326" w:type="dxa"/>
            <w:tcBorders/>
            <w:vAlign w:val="center"/>
          </w:tcPr>
          <w:p>
            <w:pPr>
              <w:pStyle w:val="TableContents"/>
              <w:bidi w:val="0"/>
              <w:spacing w:before="0" w:after="0"/>
              <w:ind w:left="0" w:right="0" w:hanging="0"/>
              <w:jc w:val="left"/>
              <w:rPr/>
            </w:pPr>
            <w:r>
              <w:rPr/>
              <w:t>    </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0"/>
              <w:ind w:left="0" w:right="0" w:hanging="0"/>
              <w:jc w:val="righ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due to CTO</w:t>
            </w:r>
          </w:p>
        </w:tc>
        <w:tc>
          <w:tcPr>
            <w:tcW w:w="32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c>
          <w:tcPr>
            <w:tcW w:w="326" w:type="dxa"/>
            <w:tcBorders/>
            <w:shd w:fill="CCEEFF" w:val="clear"/>
            <w:vAlign w:val="center"/>
          </w:tcPr>
          <w:p>
            <w:pPr>
              <w:pStyle w:val="TableContents"/>
              <w:bidi w:val="0"/>
              <w:spacing w:before="0" w:after="0"/>
              <w:ind w:left="0" w:right="0" w:hanging="0"/>
              <w:jc w:val="right"/>
              <w:rPr/>
            </w:pPr>
            <w:r>
              <w:rPr/>
              <w:t>​</w:t>
            </w:r>
          </w:p>
        </w:tc>
        <w:tc>
          <w:tcPr>
            <w:tcW w:w="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26" w:type="dxa"/>
            <w:tcBorders/>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right"/>
              <w:rPr/>
            </w:pPr>
            <w:r>
              <w:rPr/>
              <w:t>​</w:t>
            </w:r>
          </w:p>
        </w:tc>
        <w:tc>
          <w:tcPr>
            <w:tcW w:w="5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25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326" w:type="dxa"/>
            <w:tcBorders/>
            <w:shd w:fill="CCEEFF" w:val="clear"/>
            <w:vAlign w:val="center"/>
          </w:tcPr>
          <w:p>
            <w:pPr>
              <w:pStyle w:val="TableContents"/>
              <w:bidi w:val="0"/>
              <w:spacing w:before="0" w:after="0"/>
              <w:ind w:left="0" w:right="0" w:hanging="0"/>
              <w:jc w:val="right"/>
              <w:rPr/>
            </w:pPr>
            <w:r>
              <w:rPr/>
              <w:t>​</w:t>
            </w:r>
          </w:p>
        </w:tc>
        <w:tc>
          <w:tcPr>
            <w:tcW w:w="5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932</w:t>
            </w:r>
          </w:p>
        </w:tc>
      </w:tr>
    </w:tbl>
    <w:tbl>
      <w:tblPr>
        <w:tblW w:w="7742" w:type="dxa"/>
        <w:jc w:val="left"/>
        <w:tblInd w:w="0" w:type="dxa"/>
        <w:tblLayout w:type="fixed"/>
        <w:tblCellMar>
          <w:top w:w="0" w:type="dxa"/>
          <w:left w:w="0" w:type="dxa"/>
          <w:bottom w:w="0" w:type="dxa"/>
          <w:right w:w="0" w:type="dxa"/>
        </w:tblCellMar>
      </w:tblPr>
      <w:tblGrid>
        <w:gridCol w:w="271"/>
        <w:gridCol w:w="747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7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Included in accrued expenses, see Note 11, “Accounts Payable, Accrued Expenses, and Other Liabilities”.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ROFO Agreement</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terms of the ROFO Agreement do not restrict CTO or any of its affiliates from providing financing for a third party’s acquisition of single-tenant, net leased properties or from developing and owning any single-tenant, net leased property.</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term of the ROFO Agreement will continue for so long as the Management Agreement with our Manager is in effect.</w:t>
      </w:r>
    </w:p>
    <w:p>
      <w:pPr>
        <w:pStyle w:val="TextBody"/>
        <w:bidi w:val="0"/>
        <w:spacing w:before="0" w:after="0"/>
        <w:ind w:left="0" w:right="0" w:hanging="0"/>
        <w:jc w:val="both"/>
        <w:rPr/>
      </w:pPr>
      <w:r>
        <w:rPr/>
        <w:t> </w:t>
      </w:r>
    </w:p>
    <w:p>
      <w:pPr>
        <w:pStyle w:val="TextBody"/>
        <w:bidi w:val="0"/>
        <w:spacing w:lineRule="auto" w:line="268" w:before="0" w:after="0"/>
        <w:ind w:left="0" w:right="0" w:firstLine="360"/>
        <w:jc w:val="both"/>
        <w:rPr>
          <w:rFonts w:ascii="Times New Roman;Times;serif" w:hAnsi="Times New Roman;Times;serif"/>
          <w:sz w:val="20"/>
        </w:rPr>
      </w:pPr>
      <w:r>
        <w:rPr>
          <w:rFonts w:ascii="Times New Roman;Times;serif" w:hAnsi="Times New Roman;Times;serif"/>
          <w:sz w:val="20"/>
        </w:rPr>
        <w:t>On April 6, 2021, the Company entered into a purchase and sale agreement with a certain subsidiary of CTO for the purchase of one net lease property for $11.5 million. The acquisition was completed on April 23, 2021.</w:t>
      </w:r>
    </w:p>
    <w:p>
      <w:pPr>
        <w:pStyle w:val="TextBody"/>
        <w:bidi w:val="0"/>
        <w:spacing w:lineRule="auto" w:line="268" w:before="0" w:after="0"/>
        <w:ind w:left="0" w:right="0" w:firstLine="360"/>
        <w:jc w:val="both"/>
        <w:rPr/>
      </w:pPr>
      <w:r>
        <w:rPr/>
        <w:t>​</w:t>
      </w:r>
    </w:p>
    <w:p>
      <w:pPr>
        <w:pStyle w:val="TextBody"/>
        <w:bidi w:val="0"/>
        <w:spacing w:lineRule="auto" w:line="268" w:before="0" w:after="0"/>
        <w:ind w:left="0" w:right="0" w:firstLine="360"/>
        <w:jc w:val="both"/>
        <w:rPr>
          <w:rFonts w:ascii="Times New Roman;Times;serif" w:hAnsi="Times New Roman;Times;serif"/>
          <w:sz w:val="20"/>
        </w:rPr>
      </w:pPr>
      <w:r>
        <w:rPr>
          <w:rFonts w:ascii="Times New Roman;Times;serif" w:hAnsi="Times New Roman;Times;serif"/>
          <w:sz w:val="20"/>
        </w:rPr>
        <w:t>On April 2, 2021, the Company entered into a purchase and sale agreement with certain subsidiaries of CTO for the purchase of six net lease properties (“the CMBS Portfolio”). The terms of the purchase and sale agreement, as amended on April 20, 2021, provided a total purchase price of $44.5 million for the CMBS Portfolio. The acquisition of the CMBS Portfolio was completed on June 30, 2021.</w:t>
      </w:r>
    </w:p>
    <w:p>
      <w:pPr>
        <w:pStyle w:val="TextBody"/>
        <w:bidi w:val="0"/>
        <w:spacing w:lineRule="auto" w:line="268" w:before="0" w:after="0"/>
        <w:ind w:left="0" w:right="0" w:firstLine="360"/>
        <w:jc w:val="both"/>
        <w:rPr/>
      </w:pPr>
      <w:r>
        <w:rPr/>
        <w:t>​</w:t>
      </w:r>
    </w:p>
    <w:p>
      <w:pPr>
        <w:pStyle w:val="TextBody"/>
        <w:bidi w:val="0"/>
        <w:spacing w:lineRule="auto" w:line="268" w:before="0" w:after="0"/>
        <w:ind w:left="0" w:right="0" w:firstLine="360"/>
        <w:jc w:val="both"/>
        <w:rPr>
          <w:rFonts w:ascii="Times New Roman;Times;serif" w:hAnsi="Times New Roman;Times;serif"/>
          <w:sz w:val="20"/>
        </w:rPr>
      </w:pPr>
      <w:r>
        <w:rPr>
          <w:rFonts w:ascii="Times New Roman;Times;serif" w:hAnsi="Times New Roman;Times;serif"/>
          <w:sz w:val="20"/>
        </w:rPr>
        <w:t>On January 5, 2022, the Company entered into a purchase and sale agreement with a certain subsidiary of CTO for the purchase of one net lease property for $6.9 million. The acquisition was completed on January 7, 2022.</w:t>
      </w:r>
    </w:p>
    <w:p>
      <w:pPr>
        <w:pStyle w:val="TextBody"/>
        <w:bidi w:val="0"/>
        <w:spacing w:lineRule="auto" w:line="268" w:before="0" w:after="0"/>
        <w:ind w:left="0" w:right="0" w:firstLine="360"/>
        <w:jc w:val="both"/>
        <w:rPr/>
      </w:pPr>
      <w:r>
        <w:rPr/>
        <w:t>​</w:t>
      </w:r>
    </w:p>
    <w:p>
      <w:pPr>
        <w:pStyle w:val="TextBody"/>
        <w:bidi w:val="0"/>
        <w:spacing w:lineRule="auto" w:line="268"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entry into these purchase and sale agreements, and subsequent completion of the related acquisitions, are a result of the Company exercising its right to purchase the aforementioned properties under the ROFO Agreement.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Conflicts of Interest </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pStyle w:val="TextBody"/>
        <w:bidi w:val="0"/>
        <w:spacing w:before="0" w:after="0"/>
        <w:ind w:left="0" w:right="0" w:firstLine="490"/>
        <w:jc w:val="both"/>
        <w:rPr/>
      </w:pPr>
      <w:r>
        <w:rPr/>
        <w:t>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may acquire, sell, or finance net leased properties that would potentially fit the investment criteria for our Manager or its affiliates. Similarly, our Manager or its affiliates may acquire, sell, or finance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of assets.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pStyle w:val="TextBody"/>
        <w:bidi w:val="0"/>
        <w:spacing w:before="0" w:after="0"/>
        <w:ind w:left="0" w:right="0" w:firstLine="36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pStyle w:val="TextBody"/>
        <w:bidi w:val="0"/>
        <w:spacing w:before="4" w:after="4"/>
        <w:ind w:left="0" w:right="0" w:firstLine="360"/>
        <w:jc w:val="both"/>
        <w:rPr/>
      </w:pPr>
      <w:r>
        <w:rPr/>
        <w:t>​</w:t>
      </w:r>
    </w:p>
    <w:p>
      <w:pPr>
        <w:pStyle w:val="TextBody"/>
        <w:bidi w:val="0"/>
        <w:spacing w:before="4" w:after="4"/>
        <w:ind w:left="0" w:right="0" w:firstLine="360"/>
        <w:jc w:val="both"/>
        <w:rPr/>
      </w:pPr>
      <w:r>
        <w:rPr/>
        <w:t> </w:t>
      </w:r>
      <w:r>
        <w:rPr>
          <w:rFonts w:ascii="Times New Roman;Times;serif" w:hAnsi="Times New Roman;Times;serif"/>
          <w:sz w:val="20"/>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Revenue Sharing Agreement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December 4, 2023, CTO entered into an asset management agreement directly with the borrower under the Mortgage Note (as described in Note 4, “Commercial Loans and Investments”) to manage the portfolio of assets secured by the Mortgage Note. The Company entered into a revenue sharing agreement with CTO whereby the Company is expected to receive a share of the asset management fees, disposition management fees, leasing commissions, and other fees related to CTO’s management and administration of the portfolio (the “Revenue Sharing Agreement”). The Company’s share of the fees under the Revenue Sharing Agreement will be based on fees earned by CTO associated with the single tenant properties within the portfolio. During the year ended December 31, 2023, the Company recognized less than $0.1 million of revenue pursuant to the Revenue Sharing Agreement, which is included in other revenue on the Company’s consolidated statement of operations.</w:t>
      </w:r>
    </w:p>
    <w:p>
      <w:pPr>
        <w:pStyle w:val="TextBody"/>
        <w:bidi w:val="0"/>
        <w:spacing w:before="4" w:after="4"/>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19.      COMMITMENTS AND CONTINGENCIES</w:t>
      </w:r>
    </w:p>
    <w:p>
      <w:pPr>
        <w:pStyle w:val="TextBody"/>
        <w:bidi w:val="0"/>
        <w:spacing w:before="4" w:after="4"/>
        <w:ind w:left="0" w:right="0" w:hanging="0"/>
        <w:jc w:val="both"/>
        <w:rPr>
          <w:rFonts w:ascii="Times New Roman;Times;serif" w:hAnsi="Times New Roman;Times;serif"/>
          <w:i/>
          <w:sz w:val="20"/>
        </w:rPr>
      </w:pPr>
      <w:r>
        <w:rPr>
          <w:rFonts w:ascii="Times New Roman;Times;serif" w:hAnsi="Times New Roman;Times;serif"/>
          <w:i/>
          <w:sz w:val="20"/>
        </w:rPr>
        <w:t>LEGAL PROCEEDINGS</w:t>
      </w:r>
    </w:p>
    <w:p>
      <w:pPr>
        <w:pStyle w:val="TextBody"/>
        <w:bidi w:val="0"/>
        <w:spacing w:before="4" w:after="4"/>
        <w:ind w:left="0" w:right="0" w:hanging="0"/>
        <w:jc w:val="both"/>
        <w:rPr/>
      </w:pPr>
      <w:r>
        <w:rPr/>
        <w:t> </w:t>
      </w:r>
    </w:p>
    <w:p>
      <w:pPr>
        <w:pStyle w:val="TextBody"/>
        <w:bidi w:val="0"/>
        <w:spacing w:lineRule="auto" w:line="268" w:before="4" w:after="4"/>
        <w:ind w:left="0" w:right="0" w:firstLine="36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pStyle w:val="TextBody"/>
        <w:bidi w:val="0"/>
        <w:spacing w:before="4" w:after="4"/>
        <w:ind w:left="0" w:right="0" w:hanging="0"/>
        <w:jc w:val="both"/>
        <w:rPr/>
      </w:pPr>
      <w:r>
        <w:rPr/>
        <w:t>​</w:t>
      </w:r>
    </w:p>
    <w:p>
      <w:pPr>
        <w:pStyle w:val="TextBody"/>
        <w:bidi w:val="0"/>
        <w:spacing w:before="4" w:after="4"/>
        <w:ind w:left="0" w:right="0" w:hanging="0"/>
        <w:jc w:val="both"/>
        <w:rPr>
          <w:rFonts w:ascii="Times New Roman;Times;serif" w:hAnsi="Times New Roman;Times;serif"/>
          <w:i/>
          <w:sz w:val="20"/>
        </w:rPr>
      </w:pPr>
      <w:r>
        <w:rPr>
          <w:rFonts w:ascii="Times New Roman;Times;serif" w:hAnsi="Times New Roman;Times;serif"/>
          <w:i/>
          <w:sz w:val="20"/>
        </w:rPr>
        <w:t>CONTRACTUAL COMMITMENTS – EXPENDITURES</w:t>
      </w:r>
    </w:p>
    <w:p>
      <w:pPr>
        <w:pStyle w:val="TextBody"/>
        <w:bidi w:val="0"/>
        <w:spacing w:before="4" w:after="4"/>
        <w:ind w:left="0" w:right="0" w:hanging="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The Company is committed to fund two construction loans as described in Note 4, “Commercial Loans and Investments”. The unfunded portion of the construction loans totaled $3.0 million as of December 31, 2023.</w:t>
      </w:r>
    </w:p>
    <w:p>
      <w:pPr>
        <w:pStyle w:val="TextBody"/>
        <w:bidi w:val="0"/>
        <w:spacing w:before="4" w:after="4"/>
        <w:ind w:left="0" w:right="0" w:firstLine="360"/>
        <w:jc w:val="both"/>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NOTE 20.      BUSINESS SEGMENT DATA</w:t>
      </w:r>
    </w:p>
    <w:p>
      <w:pPr>
        <w:pStyle w:val="TextBody"/>
        <w:bidi w:val="0"/>
        <w:spacing w:before="0" w:after="200"/>
        <w:ind w:left="0" w:right="0" w:firstLine="360"/>
        <w:jc w:val="both"/>
        <w:rPr>
          <w:rFonts w:ascii="Times New Roman;Times;serif" w:hAnsi="Times New Roman;Times;serif"/>
          <w:b/>
          <w:sz w:val="20"/>
        </w:rPr>
      </w:pPr>
      <w:r>
        <w:rPr>
          <w:rFonts w:ascii="Times New Roman;Times;serif" w:hAnsi="Times New Roman;Times;serif"/>
          <w:b w:val="false"/>
          <w:sz w:val="20"/>
        </w:rPr>
        <w:t>The Company operates in two</w:t>
      </w:r>
      <w:r>
        <w:rPr>
          <w:rFonts w:ascii="Times New Roman;Times;serif" w:hAnsi="Times New Roman;Times;serif"/>
          <w:b/>
          <w:sz w:val="20"/>
        </w:rPr>
        <w:t xml:space="preserve"> </w:t>
      </w:r>
      <w:r>
        <w:rPr>
          <w:rFonts w:ascii="Times New Roman;Times;serif" w:hAnsi="Times New Roman;Times;serif"/>
          <w:b w:val="false"/>
          <w:sz w:val="20"/>
        </w:rPr>
        <w:t>primary business segments: income properties and commercial loans and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income property operations consist of lease income from income producing properties and our business plan is focused on investing in additional income-producing properties. Our income property operations accounted for 89% and 95% of our identifiable assets as of December 31, 2023 and 2022, respectively, and 98.5%, 100%, and 100% of our consolidated revenues for the years ended December 31, 2023, 2022, and 2021, respectively. As of December 31, 2023, our commercial loans investment portfolio consisted of three commercial loan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chief operating decision maker evaluates segment performance based on operating income. The Company’s reportable segments are strategic business units that offer different products. They are managed separately because each segment requires different management techniques, knowledge, and skill.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225" w:name="Tc_zgn01oIopUmiOiHXggVnjw_7_5"/>
      <w:bookmarkStart w:id="1226" w:name="Tc_RLhdJNHxukei_-696mBBGQ_7_2"/>
      <w:bookmarkStart w:id="1227" w:name="Tc_CFImusNzrky0o4y-U1Cvww_7_0"/>
      <w:bookmarkStart w:id="1228" w:name="Tc_cvUVyOHY3UaGlCKuH89tFA_6_0"/>
      <w:bookmarkStart w:id="1229" w:name="Tc_6aq51ChZME-N_0U580gTUA_5_6"/>
      <w:bookmarkStart w:id="1230" w:name="Tc_CFa7XdCc0UuvJ1kRTNepcw_5_0"/>
      <w:bookmarkStart w:id="1231" w:name="Tc_Ljo4sXMKJE25saeuJBTEzQ_4_5"/>
      <w:bookmarkStart w:id="1232" w:name="Tc_2DD4xYPFQE2p7nFV3z0rsQ_4_2"/>
      <w:bookmarkStart w:id="1233" w:name="Tc_7M4T8TNOm0-nfEUY1a91Iw_4_0"/>
      <w:bookmarkStart w:id="1234" w:name="Tc_mmDUOLJTV0ewXGnDX_xomw_3_0"/>
      <w:bookmarkStart w:id="1235" w:name="Tc_-MxWglDkvEyHiUcNLXOvig_2_5"/>
      <w:bookmarkStart w:id="1236" w:name="Tc_WceJB7bL90K0P4EQLUyWrQ_2_2"/>
      <w:bookmarkStart w:id="1237" w:name="Tc_WTPmus-c50CKoyYND2g-eg_1_2"/>
      <w:bookmarkStart w:id="1238" w:name="_ed6989de_f692_47e0_8c29_bfb63b2275f5"/>
      <w:bookmarkStart w:id="1239" w:name="Tc_IUTHWpLNGE29113RHSyc_Q_23_8"/>
      <w:bookmarkStart w:id="1240" w:name="Tc_RAq969eD40Gw60IzOs-uuQ_23_5"/>
      <w:bookmarkStart w:id="1241" w:name="Tc_0UlqreP3HkygnRb_XAzsZQ_23_2"/>
      <w:bookmarkStart w:id="1242" w:name="Tc_KfT5LD8WX0WoR1kRlOCISw_23_0"/>
      <w:bookmarkStart w:id="1243" w:name="Tc_yA-4h82FW0CRJZEZJoEAMg_22_9"/>
      <w:bookmarkStart w:id="1244" w:name="Tc_eR_eNik-0UuKPcIpLkyUCg_22_6"/>
      <w:bookmarkStart w:id="1245" w:name="Tc_BHA0cZaLH0WE1-UR54PWtg_22_0"/>
      <w:bookmarkStart w:id="1246" w:name="Tc_ryOxVYBUfkKeMgeUB0VVLA_21_8"/>
      <w:bookmarkStart w:id="1247" w:name="Tc_ikgUH7lWOkSuG4pX2lK7nA_21_5"/>
      <w:bookmarkStart w:id="1248" w:name="Tc_hND8rYXPek-Vq9o8QRV4WQ_21_2"/>
      <w:bookmarkStart w:id="1249" w:name="Tc_50xlMVQZc0qPMzM4Tis5_A_21_0"/>
      <w:bookmarkStart w:id="1250" w:name="Tc_-2iVn6Db6UubHqE3Ppl1fQ_20_0"/>
      <w:bookmarkStart w:id="1251" w:name="Tc_9-Th42a6eESgZs-hmpA4Lg_19_8"/>
      <w:bookmarkStart w:id="1252" w:name="Tc_2Aq6TH2i3ka3env-QiPIQA_19_5"/>
      <w:bookmarkStart w:id="1253" w:name="Tc_9HGZWtj7eku17AN3xG899g_19_2"/>
      <w:bookmarkStart w:id="1254" w:name="Tc_wHxoZzQuDU-UDimEOmXhIQ_19_0"/>
      <w:bookmarkStart w:id="1255" w:name="Tc_qTiIcgyZLk214A-biv7IuA_18_8"/>
      <w:bookmarkStart w:id="1256" w:name="Tc_NCvibBjUZkSHHhSoNky2OQ_18_5"/>
      <w:bookmarkStart w:id="1257" w:name="Tc_YXLeRKqfJEGUq9vZJtKb5w_18_2"/>
      <w:bookmarkStart w:id="1258" w:name="Tc_ltoFxM0jc0-NM9vmP6FNLA_18_0"/>
      <w:bookmarkStart w:id="1259" w:name="Tc_qUIPiveYo0ufYvLqNMcqrg_17_0"/>
      <w:bookmarkStart w:id="1260" w:name="Tc_mzHp6AFwF0aK5Qtrotovmw_16_8"/>
      <w:bookmarkStart w:id="1261" w:name="Tc_Cex5qOQNwk-DIl8hFlzW-A_16_5"/>
      <w:bookmarkStart w:id="1262" w:name="Tc_5wExvTH7jUa9b_Y0JAlswg_16_2"/>
      <w:bookmarkStart w:id="1263" w:name="Tc_zXv3Wlh4qUG_oVZob9iZzQ_16_0"/>
      <w:bookmarkStart w:id="1264" w:name="Tc_4hBYS6U54kOUR7jvOrB-yg_15_9"/>
      <w:bookmarkStart w:id="1265" w:name="Tc_vTdZQvKVQE-Sw0b5w-In1A_15_0"/>
      <w:bookmarkStart w:id="1266" w:name="Tc_7CAIl4JYxUOOhL1b61d4-w_14_0"/>
      <w:bookmarkStart w:id="1267" w:name="Tc_YXPpI93osUOJ4Pw8ugvvlA_13_9"/>
      <w:bookmarkStart w:id="1268" w:name="Tc_ipUpjznDZUGWbkWu4DQaMw_13_6"/>
      <w:bookmarkStart w:id="1269" w:name="Tc_w9oHTtgGNkKSeKkH-SoQIg_13_0"/>
      <w:bookmarkStart w:id="1270" w:name="Tc_M0W0vu6QIE2IO2Zqiz3Isg_12_0"/>
      <w:bookmarkStart w:id="1271" w:name="Tc_T7IdN-n4PESEDAGSPvCnLA_11_9"/>
      <w:bookmarkStart w:id="1272" w:name="Tc_qHUWEQVFJkiZFP3_4E_o9Q_11_6"/>
      <w:bookmarkStart w:id="1273" w:name="Tc_wFrTXlPt7kSvUk6tkOx40A_11_0"/>
      <w:bookmarkStart w:id="1274" w:name="Tc_HyTs5uo08Ey0WdViSsa_mA_10_9"/>
      <w:bookmarkStart w:id="1275" w:name="Tc_RwOWmq8HG0GCIHnOdHcwGA_10_6"/>
      <w:bookmarkStart w:id="1276" w:name="Tc_oOC8H7e980et_kn7X8jEDg_10_0"/>
      <w:bookmarkStart w:id="1277" w:name="Tc_CSOPZzexn06BRFSHH6MmIg_9_8"/>
      <w:bookmarkStart w:id="1278" w:name="Tc_7ZUsJFhPfEGnJK_GOllM6g_9_5"/>
      <w:bookmarkStart w:id="1279" w:name="Tc_3MFa9sy4Ak6sp4PFeX6jgg_9_2"/>
      <w:bookmarkStart w:id="1280" w:name="Tc_c3qyYRDGrEiIs9jyJP1cDA_9_0"/>
      <w:bookmarkStart w:id="1281" w:name="Tc_KJ2Rnb5UYEeFeO-ij4AaAg_8_0"/>
      <w:bookmarkStart w:id="1282" w:name="Tc_drXVGthPx0uAyvhwbjMNfA_7_8"/>
      <w:bookmarkStart w:id="1283" w:name="Tc_F-zzdq29j02oRDQQgaVlmg_7_5"/>
      <w:bookmarkStart w:id="1284" w:name="Tc_gQUPPMToiEKMbOmZt6zlpA_7_2"/>
      <w:bookmarkStart w:id="1285" w:name="Tc_NWzvuzXu90Oz_WHZftezDg_7_0"/>
      <w:bookmarkStart w:id="1286" w:name="Tc_XLbNsKWs0kSq5x0QQqqLTA_6_9"/>
      <w:bookmarkStart w:id="1287" w:name="Tc_rsSHaZ5OPkee0aQgTY_-Qg_6_6"/>
      <w:bookmarkStart w:id="1288" w:name="Tc_HvM3ML8kGkiDTQpg4ZBR4A_6_0"/>
      <w:bookmarkStart w:id="1289" w:name="Tc_yai5kuVvCkudrVaXR9h92g_5_9"/>
      <w:bookmarkStart w:id="1290" w:name="Tc_d3Vf081UG06W92zK4HC6RA_5_6"/>
      <w:bookmarkStart w:id="1291" w:name="Tc_pCfgIKsNcEaXwy_j1Jesrw_5_0"/>
      <w:bookmarkStart w:id="1292" w:name="Tc_G3rWotE93U6YZ_7YtmOrfQ_4_8"/>
      <w:bookmarkStart w:id="1293" w:name="Tc_QlQ_n__r30KZUja6Wko4MQ_4_5"/>
      <w:bookmarkStart w:id="1294" w:name="Tc_HgReolv180aBFdqwNJpyTQ_4_2"/>
      <w:bookmarkStart w:id="1295" w:name="Tc_Or6sKCpuiUyVVt6P-SXU4Q_4_0"/>
      <w:bookmarkStart w:id="1296" w:name="Tc_w1wTwT4e9Eut_RyV7oxyNw_3_0"/>
      <w:bookmarkStart w:id="1297" w:name="Tc_JF9u-2RHt0eYeAXqeLsXKw_2_8"/>
      <w:bookmarkStart w:id="1298" w:name="Tc_QzM2Z6Eh1k6jAZZ5PSq8HQ_2_5"/>
      <w:bookmarkStart w:id="1299" w:name="Tc_x7OjyYAksEq9MjZTEZoyHA_2_2"/>
      <w:bookmarkStart w:id="1300" w:name="Tc_6lwCQ3Hjw0isW3Gl9DSgkA_1_2"/>
      <w:bookmarkStart w:id="1301" w:name="_548d4cc6_8ad2_4024_8813_a2233fefff3a"/>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r>
        <w:rPr>
          <w:rFonts w:ascii="Times New Roman;Times;serif" w:hAnsi="Times New Roman;Times;serif"/>
          <w:sz w:val="20"/>
        </w:rPr>
        <w:t>Information about the Company’s operations in different segments for the years ended December 31, 2023, 2022, and 2021 is as follows (in thousands):</w:t>
      </w:r>
    </w:p>
    <w:tbl>
      <w:tblPr>
        <w:tblW w:w="10205" w:type="dxa"/>
        <w:jc w:val="left"/>
        <w:tblInd w:w="0" w:type="dxa"/>
        <w:tblLayout w:type="fixed"/>
        <w:tblCellMar>
          <w:top w:w="0" w:type="dxa"/>
          <w:left w:w="0" w:type="dxa"/>
          <w:bottom w:w="0" w:type="dxa"/>
          <w:right w:w="0" w:type="dxa"/>
        </w:tblCellMar>
      </w:tblPr>
      <w:tblGrid>
        <w:gridCol w:w="4680"/>
        <w:gridCol w:w="109"/>
        <w:gridCol w:w="364"/>
        <w:gridCol w:w="1353"/>
        <w:gridCol w:w="109"/>
        <w:gridCol w:w="364"/>
        <w:gridCol w:w="1353"/>
        <w:gridCol w:w="109"/>
        <w:gridCol w:w="338"/>
        <w:gridCol w:w="1426"/>
      </w:tblGrid>
      <w:tr>
        <w:trPr/>
        <w:tc>
          <w:tcPr>
            <w:tcW w:w="468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9215" cy="175260"/>
                      <wp:effectExtent l="0" t="0" r="0" b="0"/>
                      <wp:wrapNone/>
                      <wp:docPr id="350" name="Frame3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31140" cy="175260"/>
                      <wp:effectExtent l="0" t="0" r="0" b="0"/>
                      <wp:wrapNone/>
                      <wp:docPr id="351" name="Frame351"/>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859155" cy="175260"/>
                      <wp:effectExtent l="0" t="0" r="0" b="0"/>
                      <wp:wrapNone/>
                      <wp:docPr id="352" name="Frame352"/>
                      <a:graphic xmlns:a="http://schemas.openxmlformats.org/drawingml/2006/main">
                        <a:graphicData uri="http://schemas.microsoft.com/office/word/2010/wordprocessingShape">
                          <wps:wsp>
                            <wps:cNvSpPr txBox="1"/>
                            <wps:spPr>
                              <a:xfrm>
                                <a:off x="0" y="0"/>
                                <a:ext cx="859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9215" cy="175260"/>
                      <wp:effectExtent l="0" t="0" r="0" b="0"/>
                      <wp:wrapNone/>
                      <wp:docPr id="353" name="Frame3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31140" cy="175260"/>
                      <wp:effectExtent l="0" t="0" r="0" b="0"/>
                      <wp:wrapNone/>
                      <wp:docPr id="354" name="Frame354"/>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859155" cy="175260"/>
                      <wp:effectExtent l="0" t="0" r="0" b="0"/>
                      <wp:wrapNone/>
                      <wp:docPr id="355" name="Frame355"/>
                      <a:graphic xmlns:a="http://schemas.openxmlformats.org/drawingml/2006/main">
                        <a:graphicData uri="http://schemas.microsoft.com/office/word/2010/wordprocessingShape">
                          <wps:wsp>
                            <wps:cNvSpPr txBox="1"/>
                            <wps:spPr>
                              <a:xfrm>
                                <a:off x="0" y="0"/>
                                <a:ext cx="859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9215" cy="175260"/>
                      <wp:effectExtent l="0" t="0" r="0" b="0"/>
                      <wp:wrapNone/>
                      <wp:docPr id="356" name="Frame3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4630" cy="175260"/>
                      <wp:effectExtent l="0" t="0" r="0" b="0"/>
                      <wp:wrapNone/>
                      <wp:docPr id="357" name="Frame357"/>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905510" cy="175260"/>
                      <wp:effectExtent l="0" t="0" r="0" b="0"/>
                      <wp:wrapNone/>
                      <wp:docPr id="358" name="Frame358"/>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80" w:type="dxa"/>
            <w:tcBorders/>
            <w:vAlign w:val="center"/>
          </w:tcPr>
          <w:p>
            <w:pPr>
              <w:pStyle w:val="TableContents"/>
              <w:bidi w:val="0"/>
              <w:spacing w:before="0" w:after="1"/>
              <w:ind w:left="0" w:right="0" w:hanging="0"/>
              <w:jc w:val="left"/>
              <w:rPr>
                <w:color w:val="FF0000"/>
              </w:rPr>
            </w:pPr>
            <w:r>
              <w:rPr>
                <w:color w:val="FF0000"/>
              </w:rPr>
              <w:t>​</w:t>
            </w:r>
          </w:p>
        </w:tc>
        <w:tc>
          <w:tcPr>
            <w:tcW w:w="109" w:type="dxa"/>
            <w:tcBorders/>
            <w:vAlign w:val="center"/>
          </w:tcPr>
          <w:p>
            <w:pPr>
              <w:pStyle w:val="TableContents"/>
              <w:bidi w:val="0"/>
              <w:spacing w:before="0" w:after="1"/>
              <w:ind w:left="0" w:right="0" w:hanging="0"/>
              <w:jc w:val="left"/>
              <w:rPr/>
            </w:pPr>
            <w:r>
              <w:rPr/>
              <w:t>​</w:t>
            </w:r>
          </w:p>
        </w:tc>
        <w:tc>
          <w:tcPr>
            <w:tcW w:w="541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68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7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1"/>
              <w:ind w:left="0" w:right="0" w:hanging="0"/>
              <w:jc w:val="center"/>
              <w:rPr/>
            </w:pPr>
            <w:r>
              <w:rPr/>
              <w:t>​</w:t>
            </w:r>
          </w:p>
        </w:tc>
        <w:tc>
          <w:tcPr>
            <w:tcW w:w="17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1"/>
              <w:ind w:left="0" w:right="0" w:hanging="0"/>
              <w:jc w:val="center"/>
              <w:rPr/>
            </w:pPr>
            <w:r>
              <w:rPr/>
              <w:t>​</w:t>
            </w:r>
          </w:p>
        </w:tc>
        <w:tc>
          <w:tcPr>
            <w:tcW w:w="17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468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center"/>
              <w:rPr/>
            </w:pPr>
            <w:r>
              <w:rPr/>
              <w:t>​</w:t>
            </w:r>
          </w:p>
        </w:tc>
        <w:tc>
          <w:tcPr>
            <w:tcW w:w="1353"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center"/>
              <w:rPr/>
            </w:pPr>
            <w:r>
              <w:rPr/>
              <w:t>​</w:t>
            </w:r>
          </w:p>
        </w:tc>
        <w:tc>
          <w:tcPr>
            <w:tcW w:w="1353"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center"/>
              <w:rPr/>
            </w:pPr>
            <w:r>
              <w:rPr/>
              <w:t>​</w:t>
            </w:r>
          </w:p>
        </w:tc>
        <w:tc>
          <w:tcPr>
            <w:tcW w:w="1426" w:type="dxa"/>
            <w:tcBorders/>
            <w:shd w:fill="CCEEFF" w:val="clear"/>
            <w:vAlign w:val="center"/>
          </w:tcPr>
          <w:p>
            <w:pPr>
              <w:pStyle w:val="TableContents"/>
              <w:bidi w:val="0"/>
              <w:spacing w:before="0" w:after="1"/>
              <w:ind w:left="0" w:right="0" w:hanging="0"/>
              <w:jc w:val="center"/>
              <w:rPr/>
            </w:pPr>
            <w:r>
              <w:rPr/>
              <w:t>​</w:t>
            </w:r>
          </w:p>
        </w:tc>
      </w:tr>
      <w:tr>
        <w:trPr/>
        <w:tc>
          <w:tcPr>
            <w:tcW w:w="4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44,967</w:t>
            </w:r>
          </w:p>
        </w:tc>
        <w:tc>
          <w:tcPr>
            <w:tcW w:w="109" w:type="dxa"/>
            <w:tcBorders/>
            <w:vAlign w:val="center"/>
          </w:tcPr>
          <w:p>
            <w:pPr>
              <w:pStyle w:val="TableContents"/>
              <w:bidi w:val="0"/>
              <w:spacing w:before="0" w:after="1"/>
              <w:ind w:left="0" w:right="0" w:hanging="0"/>
              <w:jc w:val="right"/>
              <w:rPr/>
            </w:pPr>
            <w:r>
              <w:rPr/>
              <w:t>​</w:t>
            </w:r>
          </w:p>
        </w:tc>
        <w:tc>
          <w:tcPr>
            <w:tcW w:w="3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3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45,191</w:t>
            </w:r>
          </w:p>
        </w:tc>
        <w:tc>
          <w:tcPr>
            <w:tcW w:w="109" w:type="dxa"/>
            <w:tcBorders/>
            <w:vAlign w:val="center"/>
          </w:tcPr>
          <w:p>
            <w:pPr>
              <w:pStyle w:val="TableContents"/>
              <w:bidi w:val="0"/>
              <w:spacing w:before="0" w:after="1"/>
              <w:ind w:left="0" w:right="0" w:hanging="0"/>
              <w:jc w:val="right"/>
              <w:rPr/>
            </w:pPr>
            <w:r>
              <w:rPr/>
              <w:t>​</w:t>
            </w:r>
          </w:p>
        </w:tc>
        <w:tc>
          <w:tcPr>
            <w:tcW w:w="3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30,126</w:t>
            </w:r>
          </w:p>
        </w:tc>
      </w:tr>
      <w:tr>
        <w:trPr/>
        <w:tc>
          <w:tcPr>
            <w:tcW w:w="4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center"/>
              <w:rPr/>
            </w:pPr>
            <w:r>
              <w:rPr/>
              <w:t>​</w:t>
            </w:r>
          </w:p>
        </w:tc>
        <w:tc>
          <w:tcPr>
            <w:tcW w:w="13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109" w:type="dxa"/>
            <w:tcBorders/>
            <w:shd w:fill="CCEEFF" w:val="clear"/>
            <w:vAlign w:val="center"/>
          </w:tcPr>
          <w:p>
            <w:pPr>
              <w:pStyle w:val="TableContents"/>
              <w:bidi w:val="0"/>
              <w:spacing w:before="0" w:after="1"/>
              <w:ind w:left="0" w:right="0" w:hanging="0"/>
              <w:jc w:val="right"/>
              <w:rPr/>
            </w:pPr>
            <w:r>
              <w:rPr/>
              <w:t>​</w:t>
            </w:r>
          </w:p>
        </w:tc>
        <w:tc>
          <w:tcPr>
            <w:tcW w:w="364" w:type="dxa"/>
            <w:tcBorders/>
            <w:shd w:fill="CCEEFF" w:val="clear"/>
            <w:vAlign w:val="center"/>
          </w:tcPr>
          <w:p>
            <w:pPr>
              <w:pStyle w:val="TableContents"/>
              <w:bidi w:val="0"/>
              <w:spacing w:before="0" w:after="1"/>
              <w:ind w:left="0" w:right="0" w:hanging="0"/>
              <w:jc w:val="right"/>
              <w:rPr/>
            </w:pPr>
            <w:r>
              <w:rPr/>
              <w:t>​</w:t>
            </w:r>
          </w:p>
        </w:tc>
        <w:tc>
          <w:tcPr>
            <w:tcW w:w="135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38" w:type="dxa"/>
            <w:tcBorders/>
            <w:shd w:fill="CCEEFF" w:val="clear"/>
            <w:vAlign w:val="center"/>
          </w:tcPr>
          <w:p>
            <w:pPr>
              <w:pStyle w:val="TableContents"/>
              <w:bidi w:val="0"/>
              <w:spacing w:before="0" w:after="1"/>
              <w:ind w:left="0" w:right="0" w:hanging="0"/>
              <w:jc w:val="right"/>
              <w:rPr/>
            </w:pPr>
            <w:r>
              <w:rPr/>
              <w:t>​</w:t>
            </w:r>
          </w:p>
        </w:tc>
        <w:tc>
          <w:tcPr>
            <w:tcW w:w="1426" w:type="dxa"/>
            <w:tcBorders/>
            <w:shd w:fill="CCEEFF" w:val="clear"/>
            <w:vAlign w:val="center"/>
          </w:tcPr>
          <w:p>
            <w:pPr>
              <w:pStyle w:val="TableContents"/>
              <w:bidi w:val="0"/>
              <w:spacing w:before="0" w:after="1"/>
              <w:ind w:left="0" w:right="0" w:hanging="0"/>
              <w:jc w:val="right"/>
              <w:rPr/>
            </w:pPr>
            <w:r>
              <w:rPr/>
              <w:t>—</w:t>
            </w:r>
          </w:p>
        </w:tc>
      </w:tr>
      <w:tr>
        <w:trPr/>
        <w:tc>
          <w:tcPr>
            <w:tcW w:w="4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1"/>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1"/>
              <w:ind w:left="0" w:right="0" w:hanging="0"/>
              <w:jc w:val="right"/>
              <w:rPr/>
            </w:pPr>
            <w:r>
              <w:rPr/>
              <w:t>​</w:t>
            </w:r>
          </w:p>
        </w:tc>
        <w:tc>
          <w:tcPr>
            <w:tcW w:w="3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3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3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45,644</w:t>
            </w:r>
          </w:p>
        </w:tc>
        <w:tc>
          <w:tcPr>
            <w:tcW w:w="109" w:type="dxa"/>
            <w:tcBorders/>
            <w:shd w:fill="CCEEFF" w:val="clear"/>
            <w:vAlign w:val="center"/>
          </w:tcPr>
          <w:p>
            <w:pPr>
              <w:pStyle w:val="TableContents"/>
              <w:bidi w:val="0"/>
              <w:spacing w:before="0" w:after="1"/>
              <w:ind w:left="0" w:right="0" w:hanging="0"/>
              <w:jc w:val="righ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3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45,191</w:t>
            </w:r>
          </w:p>
        </w:tc>
        <w:tc>
          <w:tcPr>
            <w:tcW w:w="109" w:type="dxa"/>
            <w:tcBorders/>
            <w:shd w:fill="CCEEFF" w:val="clear"/>
            <w:vAlign w:val="center"/>
          </w:tcPr>
          <w:p>
            <w:pPr>
              <w:pStyle w:val="TableContents"/>
              <w:bidi w:val="0"/>
              <w:spacing w:before="0" w:after="1"/>
              <w:ind w:left="0" w:right="0" w:hanging="0"/>
              <w:jc w:val="righ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4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30,126</w:t>
            </w:r>
          </w:p>
        </w:tc>
      </w:tr>
      <w:tr>
        <w:trPr/>
        <w:tc>
          <w:tcPr>
            <w:tcW w:w="468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 (Loss):</w:t>
            </w:r>
          </w:p>
        </w:tc>
        <w:tc>
          <w:tcPr>
            <w:tcW w:w="109"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center"/>
              <w:rPr/>
            </w:pPr>
            <w:r>
              <w:rPr/>
              <w:t>​</w:t>
            </w:r>
          </w:p>
        </w:tc>
        <w:tc>
          <w:tcPr>
            <w:tcW w:w="135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64" w:type="dxa"/>
            <w:tcBorders/>
            <w:vAlign w:val="center"/>
          </w:tcPr>
          <w:p>
            <w:pPr>
              <w:pStyle w:val="TableContents"/>
              <w:bidi w:val="0"/>
              <w:spacing w:before="0" w:after="1"/>
              <w:ind w:left="0" w:right="0" w:hanging="0"/>
              <w:jc w:val="right"/>
              <w:rPr/>
            </w:pPr>
            <w:r>
              <w:rPr/>
              <w:t>​</w:t>
            </w:r>
          </w:p>
        </w:tc>
        <w:tc>
          <w:tcPr>
            <w:tcW w:w="135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38" w:type="dxa"/>
            <w:tcBorders/>
            <w:vAlign w:val="center"/>
          </w:tcPr>
          <w:p>
            <w:pPr>
              <w:pStyle w:val="TableContents"/>
              <w:bidi w:val="0"/>
              <w:spacing w:before="0" w:after="1"/>
              <w:ind w:left="0" w:right="0" w:hanging="0"/>
              <w:jc w:val="right"/>
              <w:rPr/>
            </w:pPr>
            <w:r>
              <w:rPr/>
              <w:t>​</w:t>
            </w:r>
          </w:p>
        </w:tc>
        <w:tc>
          <w:tcPr>
            <w:tcW w:w="1426" w:type="dxa"/>
            <w:tcBorders/>
            <w:vAlign w:val="center"/>
          </w:tcPr>
          <w:p>
            <w:pPr>
              <w:pStyle w:val="TableContents"/>
              <w:bidi w:val="0"/>
              <w:spacing w:before="0" w:after="1"/>
              <w:ind w:left="0" w:right="0" w:hanging="0"/>
              <w:jc w:val="right"/>
              <w:rPr/>
            </w:pPr>
            <w:r>
              <w:rPr/>
              <w:t>​</w:t>
            </w:r>
          </w:p>
        </w:tc>
      </w:tr>
      <w:tr>
        <w:trPr/>
        <w:tc>
          <w:tcPr>
            <w:tcW w:w="4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38,387</w:t>
            </w:r>
          </w:p>
        </w:tc>
        <w:tc>
          <w:tcPr>
            <w:tcW w:w="109" w:type="dxa"/>
            <w:tcBorders/>
            <w:shd w:fill="CCEEFF" w:val="clear"/>
            <w:vAlign w:val="center"/>
          </w:tcPr>
          <w:p>
            <w:pPr>
              <w:pStyle w:val="TableContents"/>
              <w:bidi w:val="0"/>
              <w:spacing w:before="0" w:after="1"/>
              <w:ind w:left="0" w:right="0" w:hanging="0"/>
              <w:jc w:val="right"/>
              <w:rPr/>
            </w:pPr>
            <w:r>
              <w:rPr/>
              <w:t>​</w:t>
            </w:r>
          </w:p>
        </w:tc>
        <w:tc>
          <w:tcPr>
            <w:tcW w:w="3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3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39,756</w:t>
            </w:r>
          </w:p>
        </w:tc>
        <w:tc>
          <w:tcPr>
            <w:tcW w:w="109" w:type="dxa"/>
            <w:tcBorders/>
            <w:shd w:fill="CCEEFF" w:val="clear"/>
            <w:vAlign w:val="center"/>
          </w:tcPr>
          <w:p>
            <w:pPr>
              <w:pStyle w:val="TableContents"/>
              <w:bidi w:val="0"/>
              <w:spacing w:before="0" w:after="1"/>
              <w:ind w:left="0" w:right="0" w:hanging="0"/>
              <w:jc w:val="right"/>
              <w:rPr/>
            </w:pPr>
            <w:r>
              <w:rPr/>
              <w:t>​</w:t>
            </w:r>
          </w:p>
        </w:tc>
        <w:tc>
          <w:tcPr>
            <w:tcW w:w="3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26,453</w:t>
            </w:r>
          </w:p>
        </w:tc>
      </w:tr>
      <w:tr>
        <w:trPr/>
        <w:tc>
          <w:tcPr>
            <w:tcW w:w="4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center"/>
              <w:rPr/>
            </w:pPr>
            <w:r>
              <w:rPr/>
              <w:t>​</w:t>
            </w:r>
          </w:p>
        </w:tc>
        <w:tc>
          <w:tcPr>
            <w:tcW w:w="13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109" w:type="dxa"/>
            <w:tcBorders/>
            <w:vAlign w:val="center"/>
          </w:tcPr>
          <w:p>
            <w:pPr>
              <w:pStyle w:val="TableContents"/>
              <w:bidi w:val="0"/>
              <w:spacing w:before="0" w:after="1"/>
              <w:ind w:left="0" w:right="0" w:hanging="0"/>
              <w:jc w:val="right"/>
              <w:rPr/>
            </w:pPr>
            <w:r>
              <w:rPr/>
              <w:t>​</w:t>
            </w:r>
          </w:p>
        </w:tc>
        <w:tc>
          <w:tcPr>
            <w:tcW w:w="364" w:type="dxa"/>
            <w:tcBorders/>
            <w:vAlign w:val="center"/>
          </w:tcPr>
          <w:p>
            <w:pPr>
              <w:pStyle w:val="TableContents"/>
              <w:bidi w:val="0"/>
              <w:spacing w:before="0" w:after="1"/>
              <w:ind w:left="0" w:right="0" w:hanging="0"/>
              <w:jc w:val="right"/>
              <w:rPr/>
            </w:pPr>
            <w:r>
              <w:rPr/>
              <w:t>​</w:t>
            </w:r>
          </w:p>
        </w:tc>
        <w:tc>
          <w:tcPr>
            <w:tcW w:w="135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38" w:type="dxa"/>
            <w:tcBorders/>
            <w:vAlign w:val="center"/>
          </w:tcPr>
          <w:p>
            <w:pPr>
              <w:pStyle w:val="TableContents"/>
              <w:bidi w:val="0"/>
              <w:spacing w:before="0" w:after="1"/>
              <w:ind w:left="0" w:right="0" w:hanging="0"/>
              <w:jc w:val="right"/>
              <w:rPr/>
            </w:pPr>
            <w:r>
              <w:rPr/>
              <w:t>​</w:t>
            </w:r>
          </w:p>
        </w:tc>
        <w:tc>
          <w:tcPr>
            <w:tcW w:w="1426" w:type="dxa"/>
            <w:tcBorders/>
            <w:vAlign w:val="center"/>
          </w:tcPr>
          <w:p>
            <w:pPr>
              <w:pStyle w:val="TableContents"/>
              <w:bidi w:val="0"/>
              <w:spacing w:before="0" w:after="1"/>
              <w:ind w:left="0" w:right="0" w:hanging="0"/>
              <w:jc w:val="right"/>
              <w:rPr/>
            </w:pPr>
            <w:r>
              <w:rPr/>
              <w:t>—</w:t>
            </w:r>
          </w:p>
        </w:tc>
      </w:tr>
      <w:tr>
        <w:trPr/>
        <w:tc>
          <w:tcPr>
            <w:tcW w:w="4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center"/>
              <w:rPr/>
            </w:pPr>
            <w:r>
              <w:rPr/>
              <w:t>​</w:t>
            </w:r>
          </w:p>
        </w:tc>
        <w:tc>
          <w:tcPr>
            <w:tcW w:w="13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shd w:fill="CCEEFF" w:val="clear"/>
            <w:vAlign w:val="center"/>
          </w:tcPr>
          <w:p>
            <w:pPr>
              <w:pStyle w:val="TableContents"/>
              <w:bidi w:val="0"/>
              <w:spacing w:before="0" w:after="1"/>
              <w:ind w:left="0" w:right="0" w:hanging="0"/>
              <w:jc w:val="right"/>
              <w:rPr/>
            </w:pPr>
            <w:r>
              <w:rPr/>
              <w:t>​</w:t>
            </w:r>
          </w:p>
        </w:tc>
        <w:tc>
          <w:tcPr>
            <w:tcW w:w="364" w:type="dxa"/>
            <w:tcBorders/>
            <w:shd w:fill="CCEEFF" w:val="clear"/>
            <w:vAlign w:val="center"/>
          </w:tcPr>
          <w:p>
            <w:pPr>
              <w:pStyle w:val="TableContents"/>
              <w:bidi w:val="0"/>
              <w:spacing w:before="0" w:after="1"/>
              <w:ind w:left="0" w:right="0" w:hanging="0"/>
              <w:jc w:val="right"/>
              <w:rPr/>
            </w:pPr>
            <w:r>
              <w:rPr/>
              <w:t>​</w:t>
            </w:r>
          </w:p>
        </w:tc>
        <w:tc>
          <w:tcPr>
            <w:tcW w:w="135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38" w:type="dxa"/>
            <w:tcBorders/>
            <w:shd w:fill="CCEEFF" w:val="clear"/>
            <w:vAlign w:val="center"/>
          </w:tcPr>
          <w:p>
            <w:pPr>
              <w:pStyle w:val="TableContents"/>
              <w:bidi w:val="0"/>
              <w:spacing w:before="0" w:after="1"/>
              <w:ind w:left="0" w:right="0" w:hanging="0"/>
              <w:jc w:val="right"/>
              <w:rPr/>
            </w:pPr>
            <w:r>
              <w:rPr/>
              <w:t>​</w:t>
            </w:r>
          </w:p>
        </w:tc>
        <w:tc>
          <w:tcPr>
            <w:tcW w:w="1426" w:type="dxa"/>
            <w:tcBorders/>
            <w:shd w:fill="CCEEFF" w:val="clear"/>
            <w:vAlign w:val="center"/>
          </w:tcPr>
          <w:p>
            <w:pPr>
              <w:pStyle w:val="TableContents"/>
              <w:bidi w:val="0"/>
              <w:spacing w:before="0" w:after="1"/>
              <w:ind w:left="0" w:right="0" w:hanging="0"/>
              <w:jc w:val="right"/>
              <w:rPr/>
            </w:pPr>
            <w:r>
              <w:rPr/>
              <w:t>—</w:t>
            </w:r>
          </w:p>
        </w:tc>
      </w:tr>
      <w:tr>
        <w:trPr/>
        <w:tc>
          <w:tcPr>
            <w:tcW w:w="4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Corporate Expenses</w:t>
            </w:r>
          </w:p>
        </w:tc>
        <w:tc>
          <w:tcPr>
            <w:tcW w:w="109"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center"/>
              <w:rPr/>
            </w:pPr>
            <w:r>
              <w:rPr/>
              <w:t>​</w:t>
            </w:r>
          </w:p>
        </w:tc>
        <w:tc>
          <w:tcPr>
            <w:tcW w:w="13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(32,059)</w:t>
            </w:r>
          </w:p>
        </w:tc>
        <w:tc>
          <w:tcPr>
            <w:tcW w:w="109" w:type="dxa"/>
            <w:tcBorders/>
            <w:vAlign w:val="center"/>
          </w:tcPr>
          <w:p>
            <w:pPr>
              <w:pStyle w:val="TableContents"/>
              <w:bidi w:val="0"/>
              <w:spacing w:before="0" w:after="1"/>
              <w:ind w:left="0" w:right="0" w:hanging="0"/>
              <w:jc w:val="right"/>
              <w:rPr/>
            </w:pPr>
            <w:r>
              <w:rPr/>
              <w:t>​</w:t>
            </w:r>
          </w:p>
        </w:tc>
        <w:tc>
          <w:tcPr>
            <w:tcW w:w="364" w:type="dxa"/>
            <w:tcBorders/>
            <w:vAlign w:val="center"/>
          </w:tcPr>
          <w:p>
            <w:pPr>
              <w:pStyle w:val="TableContents"/>
              <w:bidi w:val="0"/>
              <w:spacing w:before="0" w:after="1"/>
              <w:ind w:left="0" w:right="0" w:hanging="0"/>
              <w:jc w:val="right"/>
              <w:rPr/>
            </w:pPr>
            <w:r>
              <w:rPr/>
              <w:t>​</w:t>
            </w:r>
          </w:p>
        </w:tc>
        <w:tc>
          <w:tcPr>
            <w:tcW w:w="13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(29,348)</w:t>
            </w:r>
          </w:p>
        </w:tc>
        <w:tc>
          <w:tcPr>
            <w:tcW w:w="109" w:type="dxa"/>
            <w:tcBorders/>
            <w:vAlign w:val="center"/>
          </w:tcPr>
          <w:p>
            <w:pPr>
              <w:pStyle w:val="TableContents"/>
              <w:bidi w:val="0"/>
              <w:spacing w:before="0" w:after="1"/>
              <w:ind w:left="0" w:right="0" w:hanging="0"/>
              <w:jc w:val="right"/>
              <w:rPr/>
            </w:pPr>
            <w:r>
              <w:rPr/>
              <w:t>​</w:t>
            </w:r>
          </w:p>
        </w:tc>
        <w:tc>
          <w:tcPr>
            <w:tcW w:w="338" w:type="dxa"/>
            <w:tcBorders/>
            <w:vAlign w:val="center"/>
          </w:tcPr>
          <w:p>
            <w:pPr>
              <w:pStyle w:val="TableContents"/>
              <w:bidi w:val="0"/>
              <w:spacing w:before="0" w:after="1"/>
              <w:ind w:left="0" w:right="0" w:hanging="0"/>
              <w:jc w:val="right"/>
              <w:rPr/>
            </w:pPr>
            <w:r>
              <w:rPr/>
              <w:t>​</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(20,966)</w:t>
            </w:r>
          </w:p>
        </w:tc>
      </w:tr>
      <w:tr>
        <w:trPr/>
        <w:tc>
          <w:tcPr>
            <w:tcW w:w="4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center"/>
              <w:rPr/>
            </w:pPr>
            <w:r>
              <w:rPr/>
              <w:t>​</w:t>
            </w:r>
          </w:p>
        </w:tc>
        <w:tc>
          <w:tcPr>
            <w:tcW w:w="13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w:t>
            </w:r>
          </w:p>
        </w:tc>
        <w:tc>
          <w:tcPr>
            <w:tcW w:w="109" w:type="dxa"/>
            <w:tcBorders/>
            <w:shd w:fill="CCEEFF" w:val="clear"/>
            <w:vAlign w:val="center"/>
          </w:tcPr>
          <w:p>
            <w:pPr>
              <w:pStyle w:val="TableContents"/>
              <w:bidi w:val="0"/>
              <w:spacing w:before="0" w:after="1"/>
              <w:ind w:left="0" w:right="0" w:hanging="0"/>
              <w:jc w:val="right"/>
              <w:rPr/>
            </w:pPr>
            <w:r>
              <w:rPr/>
              <w:t>​</w:t>
            </w:r>
          </w:p>
        </w:tc>
        <w:tc>
          <w:tcPr>
            <w:tcW w:w="364" w:type="dxa"/>
            <w:tcBorders/>
            <w:shd w:fill="CCEEFF" w:val="clear"/>
            <w:vAlign w:val="center"/>
          </w:tcPr>
          <w:p>
            <w:pPr>
              <w:pStyle w:val="TableContents"/>
              <w:bidi w:val="0"/>
              <w:spacing w:before="0" w:after="1"/>
              <w:ind w:left="0" w:right="0" w:hanging="0"/>
              <w:jc w:val="right"/>
              <w:rPr/>
            </w:pPr>
            <w:r>
              <w:rPr/>
              <w:t>​</w:t>
            </w:r>
          </w:p>
        </w:tc>
        <w:tc>
          <w:tcPr>
            <w:tcW w:w="135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38" w:type="dxa"/>
            <w:tcBorders/>
            <w:shd w:fill="CCEEFF" w:val="clear"/>
            <w:vAlign w:val="center"/>
          </w:tcPr>
          <w:p>
            <w:pPr>
              <w:pStyle w:val="TableContents"/>
              <w:bidi w:val="0"/>
              <w:spacing w:before="0" w:after="1"/>
              <w:ind w:left="0" w:right="0" w:hanging="0"/>
              <w:jc w:val="right"/>
              <w:rPr/>
            </w:pPr>
            <w:r>
              <w:rPr/>
              <w:t>​</w:t>
            </w:r>
          </w:p>
        </w:tc>
        <w:tc>
          <w:tcPr>
            <w:tcW w:w="1426" w:type="dxa"/>
            <w:tcBorders/>
            <w:shd w:fill="CCEEFF" w:val="clear"/>
            <w:vAlign w:val="center"/>
          </w:tcPr>
          <w:p>
            <w:pPr>
              <w:pStyle w:val="TableContents"/>
              <w:bidi w:val="0"/>
              <w:spacing w:before="0" w:after="1"/>
              <w:ind w:left="0" w:right="0" w:hanging="0"/>
              <w:jc w:val="right"/>
              <w:rPr/>
            </w:pPr>
            <w:r>
              <w:rPr/>
              <w:t>—</w:t>
            </w:r>
          </w:p>
        </w:tc>
      </w:tr>
      <w:tr>
        <w:trPr/>
        <w:tc>
          <w:tcPr>
            <w:tcW w:w="4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center"/>
              <w:rPr/>
            </w:pPr>
            <w:r>
              <w:rPr/>
              <w:t>​</w:t>
            </w:r>
          </w:p>
        </w:tc>
        <w:tc>
          <w:tcPr>
            <w:tcW w:w="13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9,334</w:t>
            </w:r>
          </w:p>
        </w:tc>
        <w:tc>
          <w:tcPr>
            <w:tcW w:w="109" w:type="dxa"/>
            <w:tcBorders/>
            <w:vAlign w:val="center"/>
          </w:tcPr>
          <w:p>
            <w:pPr>
              <w:pStyle w:val="TableContents"/>
              <w:bidi w:val="0"/>
              <w:spacing w:before="0" w:after="1"/>
              <w:ind w:left="0" w:right="0" w:hanging="0"/>
              <w:jc w:val="right"/>
              <w:rPr/>
            </w:pPr>
            <w:r>
              <w:rPr/>
              <w:t>​</w:t>
            </w:r>
          </w:p>
        </w:tc>
        <w:tc>
          <w:tcPr>
            <w:tcW w:w="364" w:type="dxa"/>
            <w:tcBorders/>
            <w:vAlign w:val="center"/>
          </w:tcPr>
          <w:p>
            <w:pPr>
              <w:pStyle w:val="TableContents"/>
              <w:bidi w:val="0"/>
              <w:spacing w:before="0" w:after="1"/>
              <w:ind w:left="0" w:right="0" w:hanging="0"/>
              <w:jc w:val="right"/>
              <w:rPr/>
            </w:pPr>
            <w:r>
              <w:rPr/>
              <w:t>​</w:t>
            </w:r>
          </w:p>
        </w:tc>
        <w:tc>
          <w:tcPr>
            <w:tcW w:w="13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33,801</w:t>
            </w:r>
          </w:p>
        </w:tc>
        <w:tc>
          <w:tcPr>
            <w:tcW w:w="109" w:type="dxa"/>
            <w:tcBorders/>
            <w:vAlign w:val="center"/>
          </w:tcPr>
          <w:p>
            <w:pPr>
              <w:pStyle w:val="TableContents"/>
              <w:bidi w:val="0"/>
              <w:spacing w:before="0" w:after="1"/>
              <w:ind w:left="0" w:right="0" w:hanging="0"/>
              <w:jc w:val="right"/>
              <w:rPr/>
            </w:pPr>
            <w:r>
              <w:rPr/>
              <w:t>​</w:t>
            </w:r>
          </w:p>
        </w:tc>
        <w:tc>
          <w:tcPr>
            <w:tcW w:w="338" w:type="dxa"/>
            <w:tcBorders/>
            <w:vAlign w:val="center"/>
          </w:tcPr>
          <w:p>
            <w:pPr>
              <w:pStyle w:val="TableContents"/>
              <w:bidi w:val="0"/>
              <w:spacing w:before="0" w:after="1"/>
              <w:ind w:left="0" w:right="0" w:hanging="0"/>
              <w:jc w:val="right"/>
              <w:rPr/>
            </w:pPr>
            <w:r>
              <w:rPr/>
              <w:t>​</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9,675</w:t>
            </w:r>
          </w:p>
        </w:tc>
      </w:tr>
      <w:tr>
        <w:trPr/>
        <w:tc>
          <w:tcPr>
            <w:tcW w:w="4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(Loss) on Extinguishment of Debt</w:t>
            </w:r>
          </w:p>
        </w:tc>
        <w:tc>
          <w:tcPr>
            <w:tcW w:w="109" w:type="dxa"/>
            <w:tcBorders/>
            <w:shd w:fill="CCEEFF" w:val="clear"/>
            <w:vAlign w:val="center"/>
          </w:tcPr>
          <w:p>
            <w:pPr>
              <w:pStyle w:val="TableContents"/>
              <w:bidi w:val="0"/>
              <w:spacing w:before="0" w:after="1"/>
              <w:ind w:left="0" w:right="0" w:hanging="0"/>
              <w:jc w:val="left"/>
              <w:rPr/>
            </w:pPr>
            <w:r>
              <w:rPr/>
              <w:t>​</w:t>
            </w:r>
          </w:p>
        </w:tc>
        <w:tc>
          <w:tcPr>
            <w:tcW w:w="364"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3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before="0" w:after="1"/>
              <w:ind w:left="0" w:right="0" w:hanging="0"/>
              <w:jc w:val="right"/>
              <w:rPr/>
            </w:pPr>
            <w:r>
              <w:rPr/>
              <w:t>​</w:t>
            </w:r>
          </w:p>
        </w:tc>
        <w:tc>
          <w:tcPr>
            <w:tcW w:w="3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3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w:t>
            </w:r>
          </w:p>
        </w:tc>
        <w:tc>
          <w:tcPr>
            <w:tcW w:w="109" w:type="dxa"/>
            <w:tcBorders/>
            <w:shd w:fill="CCEEFF" w:val="clear"/>
            <w:vAlign w:val="center"/>
          </w:tcPr>
          <w:p>
            <w:pPr>
              <w:pStyle w:val="TableContents"/>
              <w:bidi w:val="0"/>
              <w:spacing w:before="0" w:after="1"/>
              <w:ind w:left="0" w:right="0" w:hanging="0"/>
              <w:jc w:val="righ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109" w:type="dxa"/>
            <w:tcBorders/>
            <w:vAlign w:val="center"/>
          </w:tcPr>
          <w:p>
            <w:pPr>
              <w:pStyle w:val="TableContents"/>
              <w:bidi w:val="0"/>
              <w:spacing w:before="0" w:after="1"/>
              <w:ind w:left="0" w:right="0" w:hanging="0"/>
              <w:jc w:val="left"/>
              <w:rPr/>
            </w:pPr>
            <w:r>
              <w:rPr/>
              <w:t>​</w:t>
            </w:r>
          </w:p>
        </w:tc>
        <w:tc>
          <w:tcPr>
            <w:tcW w:w="364"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13,142</w:t>
            </w:r>
          </w:p>
        </w:tc>
        <w:tc>
          <w:tcPr>
            <w:tcW w:w="109" w:type="dxa"/>
            <w:tcBorders/>
            <w:vAlign w:val="center"/>
          </w:tcPr>
          <w:p>
            <w:pPr>
              <w:pStyle w:val="TableContents"/>
              <w:bidi w:val="0"/>
              <w:spacing w:before="0" w:after="1"/>
              <w:ind w:left="0" w:right="0" w:hanging="0"/>
              <w:jc w:val="right"/>
              <w:rPr/>
            </w:pPr>
            <w:r>
              <w:rPr/>
              <w:t>​</w:t>
            </w:r>
          </w:p>
        </w:tc>
        <w:tc>
          <w:tcPr>
            <w:tcW w:w="3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3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43,482</w:t>
            </w:r>
          </w:p>
        </w:tc>
        <w:tc>
          <w:tcPr>
            <w:tcW w:w="109" w:type="dxa"/>
            <w:tcBorders/>
            <w:vAlign w:val="center"/>
          </w:tcPr>
          <w:p>
            <w:pPr>
              <w:pStyle w:val="TableContents"/>
              <w:bidi w:val="0"/>
              <w:spacing w:before="0" w:after="1"/>
              <w:ind w:left="0" w:right="0" w:hanging="0"/>
              <w:jc w:val="right"/>
              <w:rPr/>
            </w:pPr>
            <w:r>
              <w:rPr/>
              <w:t>​</w:t>
            </w:r>
          </w:p>
        </w:tc>
        <w:tc>
          <w:tcPr>
            <w:tcW w:w="33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4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15,162</w:t>
            </w:r>
          </w:p>
        </w:tc>
      </w:tr>
      <w:tr>
        <w:trPr/>
        <w:tc>
          <w:tcPr>
            <w:tcW w:w="468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center"/>
              <w:rPr/>
            </w:pPr>
            <w:r>
              <w:rPr/>
              <w:t>​</w:t>
            </w:r>
          </w:p>
        </w:tc>
        <w:tc>
          <w:tcPr>
            <w:tcW w:w="135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64" w:type="dxa"/>
            <w:tcBorders/>
            <w:shd w:fill="CCEEFF" w:val="clear"/>
            <w:vAlign w:val="center"/>
          </w:tcPr>
          <w:p>
            <w:pPr>
              <w:pStyle w:val="TableContents"/>
              <w:bidi w:val="0"/>
              <w:spacing w:before="0" w:after="1"/>
              <w:ind w:left="0" w:right="0" w:hanging="0"/>
              <w:jc w:val="right"/>
              <w:rPr/>
            </w:pPr>
            <w:r>
              <w:rPr/>
              <w:t>​</w:t>
            </w:r>
          </w:p>
        </w:tc>
        <w:tc>
          <w:tcPr>
            <w:tcW w:w="135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38" w:type="dxa"/>
            <w:tcBorders/>
            <w:shd w:fill="CCEEFF" w:val="clear"/>
            <w:vAlign w:val="center"/>
          </w:tcPr>
          <w:p>
            <w:pPr>
              <w:pStyle w:val="TableContents"/>
              <w:bidi w:val="0"/>
              <w:spacing w:before="0" w:after="1"/>
              <w:ind w:left="0" w:right="0" w:hanging="0"/>
              <w:jc w:val="right"/>
              <w:rPr/>
            </w:pPr>
            <w:r>
              <w:rPr/>
              <w:t>​</w:t>
            </w:r>
          </w:p>
        </w:tc>
        <w:tc>
          <w:tcPr>
            <w:tcW w:w="1426" w:type="dxa"/>
            <w:tcBorders/>
            <w:shd w:fill="CCEEFF" w:val="clear"/>
            <w:vAlign w:val="center"/>
          </w:tcPr>
          <w:p>
            <w:pPr>
              <w:pStyle w:val="TableContents"/>
              <w:bidi w:val="0"/>
              <w:spacing w:before="0" w:after="1"/>
              <w:ind w:left="0" w:right="0" w:hanging="0"/>
              <w:jc w:val="right"/>
              <w:rPr/>
            </w:pPr>
            <w:r>
              <w:rPr/>
              <w:t>​</w:t>
            </w:r>
          </w:p>
        </w:tc>
      </w:tr>
      <w:tr>
        <w:trPr/>
        <w:tc>
          <w:tcPr>
            <w:tcW w:w="4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vAlign w:val="center"/>
          </w:tcPr>
          <w:p>
            <w:pPr>
              <w:pStyle w:val="TableContents"/>
              <w:bidi w:val="0"/>
              <w:spacing w:before="0" w:after="1"/>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25,758</w:t>
            </w:r>
          </w:p>
        </w:tc>
        <w:tc>
          <w:tcPr>
            <w:tcW w:w="109" w:type="dxa"/>
            <w:tcBorders/>
            <w:vAlign w:val="center"/>
          </w:tcPr>
          <w:p>
            <w:pPr>
              <w:pStyle w:val="TableContents"/>
              <w:bidi w:val="0"/>
              <w:spacing w:before="0" w:after="1"/>
              <w:ind w:left="0" w:right="0" w:hanging="0"/>
              <w:jc w:val="right"/>
              <w:rPr/>
            </w:pPr>
            <w:r>
              <w:rPr/>
              <w:t>​</w:t>
            </w:r>
          </w:p>
        </w:tc>
        <w:tc>
          <w:tcPr>
            <w:tcW w:w="3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3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23,564</w:t>
            </w:r>
          </w:p>
        </w:tc>
        <w:tc>
          <w:tcPr>
            <w:tcW w:w="109" w:type="dxa"/>
            <w:tcBorders/>
            <w:vAlign w:val="center"/>
          </w:tcPr>
          <w:p>
            <w:pPr>
              <w:pStyle w:val="TableContents"/>
              <w:bidi w:val="0"/>
              <w:spacing w:before="0" w:after="1"/>
              <w:ind w:left="0" w:right="0" w:hanging="0"/>
              <w:jc w:val="right"/>
              <w:rPr/>
            </w:pPr>
            <w:r>
              <w:rPr/>
              <w:t>​</w:t>
            </w:r>
          </w:p>
        </w:tc>
        <w:tc>
          <w:tcPr>
            <w:tcW w:w="3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4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15,939</w:t>
            </w:r>
          </w:p>
        </w:tc>
      </w:tr>
      <w:tr>
        <w:trPr/>
        <w:tc>
          <w:tcPr>
            <w:tcW w:w="4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25,758</w:t>
            </w:r>
          </w:p>
        </w:tc>
        <w:tc>
          <w:tcPr>
            <w:tcW w:w="109" w:type="dxa"/>
            <w:tcBorders/>
            <w:shd w:fill="CCEEFF" w:val="clear"/>
            <w:vAlign w:val="center"/>
          </w:tcPr>
          <w:p>
            <w:pPr>
              <w:pStyle w:val="TableContents"/>
              <w:bidi w:val="0"/>
              <w:spacing w:before="0" w:after="1"/>
              <w:ind w:left="0" w:right="0" w:hanging="0"/>
              <w:jc w:val="righ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3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23,564</w:t>
            </w:r>
          </w:p>
        </w:tc>
        <w:tc>
          <w:tcPr>
            <w:tcW w:w="109" w:type="dxa"/>
            <w:tcBorders/>
            <w:shd w:fill="CCEEFF" w:val="clear"/>
            <w:vAlign w:val="center"/>
          </w:tcPr>
          <w:p>
            <w:pPr>
              <w:pStyle w:val="TableContents"/>
              <w:bidi w:val="0"/>
              <w:spacing w:before="0" w:after="1"/>
              <w:ind w:left="0" w:right="0" w:hanging="0"/>
              <w:jc w:val="righ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4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15,939</w:t>
            </w:r>
          </w:p>
        </w:tc>
      </w:tr>
      <w:tr>
        <w:trPr/>
        <w:tc>
          <w:tcPr>
            <w:tcW w:w="468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Capital Expenditures:</w:t>
            </w:r>
          </w:p>
        </w:tc>
        <w:tc>
          <w:tcPr>
            <w:tcW w:w="109"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center"/>
              <w:rPr/>
            </w:pPr>
            <w:r>
              <w:rPr/>
              <w:t>​</w:t>
            </w:r>
          </w:p>
        </w:tc>
        <w:tc>
          <w:tcPr>
            <w:tcW w:w="135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64" w:type="dxa"/>
            <w:tcBorders/>
            <w:vAlign w:val="center"/>
          </w:tcPr>
          <w:p>
            <w:pPr>
              <w:pStyle w:val="TableContents"/>
              <w:bidi w:val="0"/>
              <w:spacing w:before="0" w:after="1"/>
              <w:ind w:left="0" w:right="0" w:hanging="0"/>
              <w:jc w:val="right"/>
              <w:rPr/>
            </w:pPr>
            <w:r>
              <w:rPr/>
              <w:t>​</w:t>
            </w:r>
          </w:p>
        </w:tc>
        <w:tc>
          <w:tcPr>
            <w:tcW w:w="135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38" w:type="dxa"/>
            <w:tcBorders/>
            <w:vAlign w:val="center"/>
          </w:tcPr>
          <w:p>
            <w:pPr>
              <w:pStyle w:val="TableContents"/>
              <w:bidi w:val="0"/>
              <w:spacing w:before="0" w:after="1"/>
              <w:ind w:left="0" w:right="0" w:hanging="0"/>
              <w:jc w:val="right"/>
              <w:rPr/>
            </w:pPr>
            <w:r>
              <w:rPr/>
              <w:t>​</w:t>
            </w:r>
          </w:p>
        </w:tc>
        <w:tc>
          <w:tcPr>
            <w:tcW w:w="1426" w:type="dxa"/>
            <w:tcBorders/>
            <w:vAlign w:val="center"/>
          </w:tcPr>
          <w:p>
            <w:pPr>
              <w:pStyle w:val="TableContents"/>
              <w:bidi w:val="0"/>
              <w:spacing w:before="0" w:after="1"/>
              <w:ind w:left="0" w:right="0" w:hanging="0"/>
              <w:jc w:val="right"/>
              <w:rPr/>
            </w:pPr>
            <w:r>
              <w:rPr/>
              <w:t>​</w:t>
            </w:r>
          </w:p>
        </w:tc>
      </w:tr>
      <w:tr>
        <w:trPr/>
        <w:tc>
          <w:tcPr>
            <w:tcW w:w="4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84,465</w:t>
            </w:r>
          </w:p>
        </w:tc>
        <w:tc>
          <w:tcPr>
            <w:tcW w:w="109" w:type="dxa"/>
            <w:tcBorders/>
            <w:shd w:fill="CCEEFF" w:val="clear"/>
            <w:vAlign w:val="center"/>
          </w:tcPr>
          <w:p>
            <w:pPr>
              <w:pStyle w:val="TableContents"/>
              <w:bidi w:val="0"/>
              <w:spacing w:before="0" w:after="1"/>
              <w:ind w:left="0" w:right="0" w:hanging="0"/>
              <w:jc w:val="right"/>
              <w:rPr/>
            </w:pPr>
            <w:r>
              <w:rPr/>
              <w:t>​</w:t>
            </w:r>
          </w:p>
        </w:tc>
        <w:tc>
          <w:tcPr>
            <w:tcW w:w="3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3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189,148</w:t>
            </w:r>
          </w:p>
        </w:tc>
        <w:tc>
          <w:tcPr>
            <w:tcW w:w="109" w:type="dxa"/>
            <w:tcBorders/>
            <w:shd w:fill="CCEEFF" w:val="clear"/>
            <w:vAlign w:val="center"/>
          </w:tcPr>
          <w:p>
            <w:pPr>
              <w:pStyle w:val="TableContents"/>
              <w:bidi w:val="0"/>
              <w:spacing w:before="0" w:after="1"/>
              <w:ind w:left="0" w:right="0" w:hanging="0"/>
              <w:jc w:val="right"/>
              <w:rPr/>
            </w:pPr>
            <w:r>
              <w:rPr/>
              <w:t>​</w:t>
            </w:r>
          </w:p>
        </w:tc>
        <w:tc>
          <w:tcPr>
            <w:tcW w:w="3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223,407</w:t>
            </w:r>
          </w:p>
        </w:tc>
      </w:tr>
      <w:tr>
        <w:trPr/>
        <w:tc>
          <w:tcPr>
            <w:tcW w:w="4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vAlign w:val="center"/>
          </w:tcPr>
          <w:p>
            <w:pPr>
              <w:pStyle w:val="TableContents"/>
              <w:bidi w:val="0"/>
              <w:spacing w:before="0" w:after="1"/>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35,419</w:t>
            </w:r>
          </w:p>
        </w:tc>
        <w:tc>
          <w:tcPr>
            <w:tcW w:w="109" w:type="dxa"/>
            <w:tcBorders/>
            <w:vAlign w:val="center"/>
          </w:tcPr>
          <w:p>
            <w:pPr>
              <w:pStyle w:val="TableContents"/>
              <w:bidi w:val="0"/>
              <w:spacing w:before="0" w:after="1"/>
              <w:ind w:left="0" w:right="0" w:hanging="0"/>
              <w:jc w:val="right"/>
              <w:rPr/>
            </w:pPr>
            <w:r>
              <w:rPr/>
              <w:t>​</w:t>
            </w:r>
          </w:p>
        </w:tc>
        <w:tc>
          <w:tcPr>
            <w:tcW w:w="3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3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3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Capital Expenditures</w:t>
            </w:r>
          </w:p>
        </w:tc>
        <w:tc>
          <w:tcPr>
            <w:tcW w:w="109" w:type="dxa"/>
            <w:tcBorders/>
            <w:shd w:fill="CCEEFF" w:val="clear"/>
            <w:vAlign w:val="center"/>
          </w:tcPr>
          <w:p>
            <w:pPr>
              <w:pStyle w:val="TableContents"/>
              <w:bidi w:val="0"/>
              <w:spacing w:before="0" w:after="1"/>
              <w:ind w:left="0" w:right="0" w:hanging="0"/>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119,884</w:t>
            </w:r>
          </w:p>
        </w:tc>
        <w:tc>
          <w:tcPr>
            <w:tcW w:w="109" w:type="dxa"/>
            <w:tcBorders/>
            <w:shd w:fill="CCEEFF" w:val="clear"/>
            <w:vAlign w:val="center"/>
          </w:tcPr>
          <w:p>
            <w:pPr>
              <w:pStyle w:val="TableContents"/>
              <w:bidi w:val="0"/>
              <w:spacing w:before="0" w:after="1"/>
              <w:ind w:left="0" w:right="0" w:hanging="0"/>
              <w:jc w:val="righ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3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189,148</w:t>
            </w:r>
          </w:p>
        </w:tc>
        <w:tc>
          <w:tcPr>
            <w:tcW w:w="109" w:type="dxa"/>
            <w:tcBorders/>
            <w:shd w:fill="CCEEFF" w:val="clear"/>
            <w:vAlign w:val="center"/>
          </w:tcPr>
          <w:p>
            <w:pPr>
              <w:pStyle w:val="TableContents"/>
              <w:bidi w:val="0"/>
              <w:spacing w:before="0" w:after="1"/>
              <w:ind w:left="0" w:right="0" w:hanging="0"/>
              <w:jc w:val="righ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4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223,407</w:t>
            </w:r>
          </w:p>
        </w:tc>
      </w:tr>
    </w:tbl>
    <w:p>
      <w:pPr>
        <w:pStyle w:val="TextBody"/>
        <w:bidi w:val="0"/>
        <w:spacing w:before="0" w:after="0"/>
        <w:ind w:left="0" w:right="0" w:hanging="0"/>
        <w:jc w:val="both"/>
        <w:rPr/>
      </w:pPr>
      <w:r>
        <w:rPr/>
        <w:t> </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Identifiable assets of each segment as of December 31, 2023 and 2022 are as follows (in thousands):</w:t>
      </w:r>
    </w:p>
    <w:tbl>
      <w:tblPr>
        <w:tblW w:w="6729" w:type="dxa"/>
        <w:jc w:val="left"/>
        <w:tblInd w:w="0" w:type="dxa"/>
        <w:tblLayout w:type="fixed"/>
        <w:tblCellMar>
          <w:top w:w="0" w:type="dxa"/>
          <w:left w:w="0" w:type="dxa"/>
          <w:bottom w:w="0" w:type="dxa"/>
          <w:right w:w="0" w:type="dxa"/>
        </w:tblCellMar>
      </w:tblPr>
      <w:tblGrid>
        <w:gridCol w:w="3016"/>
        <w:gridCol w:w="109"/>
        <w:gridCol w:w="366"/>
        <w:gridCol w:w="1359"/>
        <w:gridCol w:w="109"/>
        <w:gridCol w:w="340"/>
        <w:gridCol w:w="1430"/>
      </w:tblGrid>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32410" cy="175260"/>
                      <wp:effectExtent l="0" t="0" r="0" b="0"/>
                      <wp:wrapNone/>
                      <wp:docPr id="359" name="Frame359"/>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862965" cy="175260"/>
                      <wp:effectExtent l="0" t="0" r="0" b="0"/>
                      <wp:wrapNone/>
                      <wp:docPr id="360" name="Frame360"/>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61" name="Frame3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5900" cy="175260"/>
                      <wp:effectExtent l="0" t="0" r="0" b="0"/>
                      <wp:wrapNone/>
                      <wp:docPr id="362" name="Frame362"/>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908050" cy="175260"/>
                      <wp:effectExtent l="0" t="0" r="0" b="0"/>
                      <wp:wrapNone/>
                      <wp:docPr id="363" name="Frame363"/>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1"/>
              <w:ind w:left="0" w:right="0" w:hanging="0"/>
              <w:jc w:val="righ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Identifiable Assets:</w:t>
            </w:r>
          </w:p>
        </w:tc>
        <w:tc>
          <w:tcPr>
            <w:tcW w:w="109"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135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1430" w:type="dxa"/>
            <w:tcBorders/>
            <w:shd w:fill="CCEEFF" w:val="cle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503,151</w:t>
            </w:r>
          </w:p>
        </w:tc>
        <w:tc>
          <w:tcPr>
            <w:tcW w:w="109" w:type="dxa"/>
            <w:tcBorders/>
            <w:vAlign w:val="center"/>
          </w:tcPr>
          <w:p>
            <w:pPr>
              <w:pStyle w:val="TableContents"/>
              <w:bidi w:val="0"/>
              <w:spacing w:before="0" w:after="1"/>
              <w:ind w:left="0" w:right="0" w:hanging="0"/>
              <w:jc w:val="right"/>
              <w:rPr/>
            </w:pPr>
            <w:r>
              <w:rPr/>
              <w:t>​</w:t>
            </w:r>
          </w:p>
        </w:tc>
        <w:tc>
          <w:tcPr>
            <w:tcW w:w="34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4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543,909</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13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35,220</w:t>
            </w:r>
          </w:p>
        </w:tc>
        <w:tc>
          <w:tcPr>
            <w:tcW w:w="109"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1430" w:type="dxa"/>
            <w:tcBorders/>
            <w:shd w:fill="CCEEFF" w:val="cle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109" w:type="dxa"/>
            <w:tcBorders/>
            <w:vAlign w:val="center"/>
          </w:tcPr>
          <w:p>
            <w:pPr>
              <w:pStyle w:val="TableContents"/>
              <w:bidi w:val="0"/>
              <w:spacing w:before="0" w:after="1"/>
              <w:ind w:left="0" w:right="0" w:hanging="0"/>
              <w:jc w:val="left"/>
              <w:rPr/>
            </w:pPr>
            <w:r>
              <w:rPr/>
              <w:t>​</w:t>
            </w:r>
          </w:p>
        </w:tc>
        <w:tc>
          <w:tcPr>
            <w:tcW w:w="3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26,189</w:t>
            </w:r>
          </w:p>
        </w:tc>
        <w:tc>
          <w:tcPr>
            <w:tcW w:w="109" w:type="dxa"/>
            <w:tcBorders/>
            <w:vAlign w:val="center"/>
          </w:tcPr>
          <w:p>
            <w:pPr>
              <w:pStyle w:val="TableContents"/>
              <w:bidi w:val="0"/>
              <w:spacing w:before="0" w:after="1"/>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29,522</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shd w:fill="CCEEFF" w:val="clear"/>
            <w:vAlign w:val="center"/>
          </w:tcPr>
          <w:p>
            <w:pPr>
              <w:pStyle w:val="TableContents"/>
              <w:bidi w:val="0"/>
              <w:spacing w:before="0" w:after="1"/>
              <w:ind w:left="0" w:right="0" w:hanging="0"/>
              <w:jc w:val="left"/>
              <w:rPr/>
            </w:pPr>
            <w:r>
              <w:rPr/>
              <w:t>​</w:t>
            </w:r>
          </w:p>
        </w:tc>
        <w:tc>
          <w:tcPr>
            <w:tcW w:w="36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564,560</w:t>
            </w:r>
          </w:p>
        </w:tc>
        <w:tc>
          <w:tcPr>
            <w:tcW w:w="109" w:type="dxa"/>
            <w:tcBorders/>
            <w:shd w:fill="CCEEFF" w:val="clear"/>
            <w:vAlign w:val="center"/>
          </w:tcPr>
          <w:p>
            <w:pPr>
              <w:pStyle w:val="TableContents"/>
              <w:bidi w:val="0"/>
              <w:spacing w:before="0" w:after="1"/>
              <w:ind w:left="0" w:right="0" w:hanging="0"/>
              <w:jc w:val="righ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43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573,431</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Operating income represents income from continuing operations before interest expense, and investment and other income. General and corporate expenses are an aggregate of general and administrative expenses and depreciation and amortization expense. Identifiable assets by segment are those assets that are used in the Company’s operations in each segment. Corporate and other assets consist primarily of cash and restricted cash as well as the interest rate swaps.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NOTE 21.      SUBSEQUENT EVENTS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Subsequent events and transactions were evaluated through February 8, 2024, the date the consolidated financial statements were issued. There were no reportable subsequent events or transactions.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f-33</w:t>
      </w:r>
    </w:p>
    <w:p>
      <w:pPr>
        <w:pStyle w:val="TextBody"/>
        <w:bidi w:val="0"/>
        <w:spacing w:before="0" w:after="240"/>
        <w:ind w:left="0" w:right="0" w:hanging="0"/>
        <w:jc w:val="right"/>
        <w:rPr>
          <w:rFonts w:ascii="Times New Roman;Times;serif" w:hAnsi="Times New Roman;Times;serif"/>
          <w:b/>
          <w:sz w:val="20"/>
        </w:rPr>
      </w:pPr>
      <w:bookmarkStart w:id="1302" w:name="pine-20231231xex21d1.htm"/>
      <w:bookmarkStart w:id="1303" w:name="kspine20231231xex21d1"/>
      <w:bookmarkEnd w:id="1302"/>
      <w:bookmarkEnd w:id="1303"/>
      <w:r>
        <w:rPr>
          <w:rFonts w:ascii="Times New Roman;Times;serif" w:hAnsi="Times New Roman;Times;serif"/>
          <w:b/>
          <w:sz w:val="20"/>
        </w:rPr>
        <w:t>Exhibit 21.1</w:t>
      </w:r>
      <w:r>
        <w:br w:type="page"/>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Subsidiaries of the Registrant: Alpine Income Property Trust, Inc.</w:t>
      </w:r>
    </w:p>
    <w:p>
      <w:pPr>
        <w:pStyle w:val="TextBody"/>
        <w:bidi w:val="0"/>
        <w:spacing w:before="0" w:after="0"/>
        <w:ind w:left="0" w:right="0" w:hanging="0"/>
        <w:jc w:val="both"/>
        <w:rPr/>
      </w:pPr>
      <w:r>
        <w:rPr/>
        <w:t>​</w:t>
      </w:r>
    </w:p>
    <w:tbl>
      <w:tblPr>
        <w:tblW w:w="7722" w:type="dxa"/>
        <w:jc w:val="left"/>
        <w:tblInd w:w="0" w:type="dxa"/>
        <w:tblLayout w:type="fixed"/>
        <w:tblCellMar>
          <w:top w:w="0" w:type="dxa"/>
          <w:left w:w="0" w:type="dxa"/>
          <w:bottom w:w="0" w:type="dxa"/>
          <w:right w:w="0" w:type="dxa"/>
        </w:tblCellMar>
      </w:tblPr>
      <w:tblGrid>
        <w:gridCol w:w="2611"/>
        <w:gridCol w:w="109"/>
        <w:gridCol w:w="2101"/>
        <w:gridCol w:w="109"/>
        <w:gridCol w:w="2476"/>
        <w:gridCol w:w="316"/>
      </w:tblGrid>
      <w:tr>
        <w:trPr/>
        <w:tc>
          <w:tcPr>
            <w:tcW w:w="26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4135" cy="175260"/>
                      <wp:effectExtent l="0" t="0" r="0" b="0"/>
                      <wp:wrapNone/>
                      <wp:docPr id="364" name="Frame364"/>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572260" cy="175260"/>
                      <wp:effectExtent l="0" t="0" r="0" b="0"/>
                      <wp:wrapNone/>
                      <wp:docPr id="365" name="Frame365"/>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Organized Under Laws of</w:t>
            </w:r>
          </w:p>
        </w:tc>
        <w:tc>
          <w:tcPr>
            <w:tcW w:w="109" w:type="dxa"/>
            <w:tcBorders/>
            <w:vAlign w:val="center"/>
          </w:tcPr>
          <w:p>
            <w:pPr>
              <w:pStyle w:val="TableContents"/>
              <w:bidi w:val="0"/>
              <w:spacing w:before="0" w:after="0"/>
              <w:ind w:left="0" w:right="0" w:hanging="0"/>
              <w:jc w:val="left"/>
              <w:rPr/>
            </w:pPr>
            <w:r>
              <w:rPr/>
              <w:t>​</w:t>
            </w:r>
          </w:p>
        </w:tc>
        <w:tc>
          <w:tcPr>
            <w:tcW w:w="247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Percentage of Voting Securities</w:t>
              <w:br/>
              <w:t>Owned by Immediate Parent</w:t>
            </w:r>
          </w:p>
        </w:tc>
        <w:tc>
          <w:tcPr>
            <w:tcW w:w="316" w:type="dxa"/>
            <w:tcBorders/>
            <w:vAlign w:val="center"/>
          </w:tcPr>
          <w:p>
            <w:pPr>
              <w:pStyle w:val="TableContents"/>
              <w:bidi w:val="0"/>
              <w:spacing w:before="0" w:after="0"/>
              <w:ind w:left="0" w:right="0" w:hanging="0"/>
              <w:jc w:val="lef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Alpine Income Property GP,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Alpine Income Property OP, LP</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CTLC18 Lynn MA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CTO16 Raleigh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CTO16 Reno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CTO17 Brandon FL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CTO17 Hillsboro OR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CTO17 Saugus MA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CTO19 Albany GA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CTO19 Birmingham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CTO19 Troy WI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CTO19 Winston Salem NC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Indigo Henry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Florida</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LHC15 Glendale AZ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PINE MEX OH LLC </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PINE MEX OH 2 LLC </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PINE19 Alpharetta GA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PINE19 Asheville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PINE19 Georgetown TX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PINE19 Glendale AZ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PINE19 Jacksonville FL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PINE19 Slaughter Austin TX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Alb NM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Aloma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Arden NC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Barker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Bingham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Blanding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Blanding Pad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Cecelia KY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Chazy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Chicago IL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Cut &amp; Shoot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Del Rio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Glendale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Hammond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Harrisville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Heuvelton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Highland KY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Howell MI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Hurst TX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Kermit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Limestone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Milford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Mountain Lake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Newtonsville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Odessa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Salem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Seguin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Severn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Somerville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Sun WI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Tacoma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Tulsa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Tulsa Pad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Tyn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Willis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Winthrop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11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12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13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14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bl>
    <w:p>
      <w:pPr>
        <w:pStyle w:val="HorizontalLine"/>
        <w:pBdr>
          <w:bottom w:val="double" w:sz="2" w:space="0" w:color="808080"/>
        </w:pBdr>
        <w:bidi w:val="0"/>
        <w:spacing w:before="0" w:after="283"/>
        <w:jc w:val="left"/>
        <w:rPr/>
      </w:pPr>
      <w:r>
        <w:rPr/>
      </w:r>
    </w:p>
    <w:tbl>
      <w:tblPr>
        <w:tblW w:w="4212" w:type="dxa"/>
        <w:jc w:val="left"/>
        <w:tblInd w:w="0" w:type="dxa"/>
        <w:tblLayout w:type="fixed"/>
        <w:tblCellMar>
          <w:top w:w="0" w:type="dxa"/>
          <w:left w:w="0" w:type="dxa"/>
          <w:bottom w:w="0" w:type="dxa"/>
          <w:right w:w="0" w:type="dxa"/>
        </w:tblCellMar>
      </w:tblPr>
      <w:tblGrid>
        <w:gridCol w:w="2386"/>
        <w:gridCol w:w="109"/>
        <w:gridCol w:w="781"/>
        <w:gridCol w:w="109"/>
        <w:gridCol w:w="511"/>
        <w:gridCol w:w="316"/>
      </w:tblGrid>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II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III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IV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IX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V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VI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VII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VIII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X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Houston East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Houston West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Sports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PINE22 ACQ 2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PINE22 ACQ 3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PINE22 Caesar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PINE22 IN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PINE22 Malden MO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PINE22 Maple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PINE22 Wash Mo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PINE23 MM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PINE23 TN Lender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9603 Westheimer Road,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bl>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5"/>
        </w:rPr>
        <w:t>(1)    </w:t>
      </w:r>
      <w:r>
        <w:rPr>
          <w:rFonts w:ascii="Times New Roman;Times;serif" w:hAnsi="Times New Roman;Times;serif"/>
          <w:sz w:val="20"/>
        </w:rPr>
        <w:t>Alpine Income Property Trust, Inc. (the “Company”) is the sole member of Alpine Income Property GP, LLC (the “General Partner”).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5"/>
        </w:rPr>
        <w:t>(2)    </w:t>
      </w:r>
      <w:r>
        <w:rPr>
          <w:rFonts w:ascii="Times New Roman;Times;serif" w:hAnsi="Times New Roman;Times;serif"/>
          <w:sz w:val="20"/>
        </w:rPr>
        <w:t xml:space="preserve">The General Partner is the sole general partner of Alpine Income Property OP, LP (the “Operating Partnership”). The Company owns an approximate 91.8% ownership interest in the Operating Partnership, with CTO Realty Growth, Inc. holding, directly and indirectly, an approximate 8.2% ownership interest in the Operating Partnership.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5"/>
        </w:rPr>
        <w:t>(3)    </w:t>
      </w:r>
      <w:r>
        <w:rPr>
          <w:rFonts w:ascii="Times New Roman;Times;serif" w:hAnsi="Times New Roman;Times;serif"/>
          <w:sz w:val="20"/>
        </w:rPr>
        <w:t>The Operating Partnership is the sole member.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subsidiaries are included in the Consolidated and Combined Financial Statements of the Company and its subsidiaries appearing elsewhere in the Company’s Annual Report on Form 10-K for the year ended December 31, 2023.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04" w:name="pine-20231231xex23d1.htm"/>
      <w:bookmarkStart w:id="1305" w:name="kspine20231231xex23d1"/>
      <w:bookmarkEnd w:id="1304"/>
      <w:bookmarkEnd w:id="1305"/>
      <w:r>
        <w:rPr>
          <w:rFonts w:ascii="Times New Roman;Times;serif" w:hAnsi="Times New Roman;Times;serif"/>
          <w:b/>
          <w:sz w:val="20"/>
        </w:rPr>
        <w:t>Exhibit 23.1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issued our report dated February 8, 2024 with respect to the consolidated financial statements of Alpine Income Property Trust, Inc. included in the Annual Report on Form 10-K for the year ended December 31, 2023, which is incorporated by reference in this Registration Statement. We consent to the incorporation by reference of said report in the Registration Statements of Alpine Income Property Trust, Inc., on Form S-3 (File No. 333-274724) and Form S-8 (File No 333-235256).</w:t>
      </w:r>
    </w:p>
    <w:p>
      <w:pPr>
        <w:pStyle w:val="TextBody"/>
        <w:bidi w:val="0"/>
        <w:spacing w:before="0" w:after="0"/>
        <w:ind w:left="0" w:right="0" w:hanging="0"/>
        <w:jc w:val="left"/>
        <w:rPr/>
      </w:pPr>
      <w:r>
        <w:rPr/>
        <w:t>​</w:t>
      </w:r>
    </w:p>
    <w:tbl>
      <w:tblPr>
        <w:tblW w:w="2202" w:type="dxa"/>
        <w:jc w:val="center"/>
        <w:tblInd w:w="0" w:type="dxa"/>
        <w:tblLayout w:type="fixed"/>
        <w:tblCellMar>
          <w:top w:w="0" w:type="dxa"/>
          <w:left w:w="0" w:type="dxa"/>
          <w:bottom w:w="0" w:type="dxa"/>
          <w:right w:w="0" w:type="dxa"/>
        </w:tblCellMar>
      </w:tblPr>
      <w:tblGrid>
        <w:gridCol w:w="2011"/>
        <w:gridCol w:w="191"/>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276985" cy="29210"/>
                      <wp:effectExtent l="0" t="0" r="0" b="0"/>
                      <wp:wrapNone/>
                      <wp:docPr id="366" name="Frame366"/>
                      <a:graphic xmlns:a="http://schemas.openxmlformats.org/drawingml/2006/main">
                        <a:graphicData uri="http://schemas.microsoft.com/office/word/2010/wordprocessingShape">
                          <wps:wsp>
                            <wps:cNvSpPr txBox="1"/>
                            <wps:spPr>
                              <a:xfrm>
                                <a:off x="0" y="0"/>
                                <a:ext cx="1276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21920" cy="29210"/>
                      <wp:effectExtent l="0" t="0" r="0" b="0"/>
                      <wp:wrapNone/>
                      <wp:docPr id="367" name="Frame367"/>
                      <a:graphic xmlns:a="http://schemas.openxmlformats.org/drawingml/2006/main">
                        <a:graphicData uri="http://schemas.microsoft.com/office/word/2010/wordprocessingShape">
                          <wps:wsp>
                            <wps:cNvSpPr txBox="1"/>
                            <wps:spPr>
                              <a:xfrm>
                                <a:off x="0" y="0"/>
                                <a:ext cx="1219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Grant Thornton LLP</w:t>
            </w:r>
          </w:p>
        </w:tc>
        <w:tc>
          <w:tcPr>
            <w:tcW w:w="19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r>
      <w:tr>
        <w:trPr/>
        <w:tc>
          <w:tcPr>
            <w:tcW w:w="201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Orlando, Florida</w:t>
            </w:r>
          </w:p>
        </w:tc>
        <w:tc>
          <w:tcPr>
            <w:tcW w:w="191" w:type="dxa"/>
            <w:tcBorders/>
            <w:vAlign w:val="center"/>
          </w:tcPr>
          <w:p>
            <w:pPr>
              <w:pStyle w:val="TableContents"/>
              <w:bidi w:val="0"/>
              <w:spacing w:before="0" w:after="0"/>
              <w:ind w:left="0" w:right="0" w:hanging="0"/>
              <w:jc w:val="left"/>
              <w:rPr/>
            </w:pPr>
            <w:r>
              <w:rPr/>
              <w:t> </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8, 2024</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06" w:name="pine-20231231xex31d1.htm"/>
      <w:bookmarkStart w:id="1307" w:name="kspine20231231xex31d1"/>
      <w:bookmarkEnd w:id="1306"/>
      <w:bookmarkEnd w:id="1307"/>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 John P. Albright, certify that: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1.    I have reviewed this annual report on Form 10-K of Alpine Income Property Trust, Inc.;</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5718" w:type="dxa"/>
        <w:jc w:val="center"/>
        <w:tblInd w:w="0" w:type="dxa"/>
        <w:tblLayout w:type="fixed"/>
        <w:tblCellMar>
          <w:top w:w="0" w:type="dxa"/>
          <w:left w:w="0" w:type="dxa"/>
          <w:bottom w:w="0" w:type="dxa"/>
          <w:right w:w="0" w:type="dxa"/>
        </w:tblCellMar>
      </w:tblPr>
      <w:tblGrid>
        <w:gridCol w:w="1981"/>
        <w:gridCol w:w="406"/>
        <w:gridCol w:w="333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283"/>
              <w:ind w:left="0" w:right="0" w:hanging="0"/>
              <w:jc w:val="left"/>
              <w:rPr>
                <w:sz w:val="4"/>
                <w:szCs w:val="4"/>
              </w:rPr>
            </w:pPr>
            <w:r>
              <w:rPr>
                <w:sz w:val="4"/>
                <w:szCs w:val="4"/>
              </w:rPr>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8, 2024</w:t>
            </w:r>
          </w:p>
        </w:tc>
        <w:tc>
          <w:tcPr>
            <w:tcW w:w="4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By:</w:t>
            </w:r>
          </w:p>
        </w:tc>
        <w:tc>
          <w:tcPr>
            <w:tcW w:w="33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JOHN P. ALBRIGHT</w:t>
            </w:r>
          </w:p>
        </w:tc>
      </w:tr>
      <w:tr>
        <w:trPr/>
        <w:tc>
          <w:tcPr>
            <w:tcW w:w="198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John P. Albright</w:t>
            </w:r>
          </w:p>
        </w:tc>
      </w:tr>
      <w:tr>
        <w:trPr/>
        <w:tc>
          <w:tcPr>
            <w:tcW w:w="1981"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President and Chief Executive Officer</w:t>
            </w:r>
          </w:p>
        </w:tc>
      </w:tr>
      <w:tr>
        <w:trPr/>
        <w:tc>
          <w:tcPr>
            <w:tcW w:w="1981"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08" w:name="pine-20231231xex31d2.htm"/>
      <w:bookmarkStart w:id="1309" w:name="kspine20231231xex31d2"/>
      <w:bookmarkEnd w:id="1308"/>
      <w:bookmarkEnd w:id="1309"/>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 Matthew M. Partridge, certify that: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1.    I have reviewed this annual report on Form 10-K of Alpine Income Property Trust, Inc.;</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6753" w:type="dxa"/>
        <w:jc w:val="left"/>
        <w:tblInd w:w="0" w:type="dxa"/>
        <w:tblLayout w:type="fixed"/>
        <w:tblCellMar>
          <w:top w:w="0" w:type="dxa"/>
          <w:left w:w="0" w:type="dxa"/>
          <w:bottom w:w="0" w:type="dxa"/>
          <w:right w:w="0" w:type="dxa"/>
        </w:tblCellMar>
      </w:tblPr>
      <w:tblGrid>
        <w:gridCol w:w="1981"/>
        <w:gridCol w:w="406"/>
        <w:gridCol w:w="4366"/>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257935" cy="350520"/>
                      <wp:effectExtent l="0" t="0" r="0" b="0"/>
                      <wp:wrapNone/>
                      <wp:docPr id="368" name="Frame368"/>
                      <a:graphic xmlns:a="http://schemas.openxmlformats.org/drawingml/2006/main">
                        <a:graphicData uri="http://schemas.microsoft.com/office/word/2010/wordprocessingShape">
                          <wps:wsp>
                            <wps:cNvSpPr txBox="1"/>
                            <wps:spPr>
                              <a:xfrm>
                                <a:off x="0" y="0"/>
                                <a:ext cx="1257935" cy="35052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772410" cy="29210"/>
                      <wp:effectExtent l="0" t="0" r="0" b="0"/>
                      <wp:wrapNone/>
                      <wp:docPr id="369" name="Frame369"/>
                      <a:graphic xmlns:a="http://schemas.openxmlformats.org/drawingml/2006/main">
                        <a:graphicData uri="http://schemas.microsoft.com/office/word/2010/wordprocessingShape">
                          <wps:wsp>
                            <wps:cNvSpPr txBox="1"/>
                            <wps:spPr>
                              <a:xfrm>
                                <a:off x="0" y="0"/>
                                <a:ext cx="2772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8,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6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MATTHEW M. PARTRIDGE</w:t>
            </w:r>
          </w:p>
        </w:tc>
      </w:tr>
      <w:tr>
        <w:trPr/>
        <w:tc>
          <w:tcPr>
            <w:tcW w:w="198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Matthew M. Partridge</w:t>
            </w:r>
          </w:p>
        </w:tc>
      </w:tr>
      <w:tr>
        <w:trPr/>
        <w:tc>
          <w:tcPr>
            <w:tcW w:w="198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Senior Vice President, Chief Financial Officer and</w:t>
            </w:r>
          </w:p>
        </w:tc>
      </w:tr>
      <w:tr>
        <w:trPr/>
        <w:tc>
          <w:tcPr>
            <w:tcW w:w="198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Treasurer</w:t>
            </w:r>
          </w:p>
        </w:tc>
      </w:tr>
      <w:tr>
        <w:trPr/>
        <w:tc>
          <w:tcPr>
            <w:tcW w:w="198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10" w:name="pine-20231231xex32d1.htm"/>
      <w:bookmarkStart w:id="1311" w:name="kspine20231231xex32d1"/>
      <w:bookmarkEnd w:id="1310"/>
      <w:bookmarkEnd w:id="1311"/>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Annual Report of Alpine Income Property Trust, Inc. (the “Company”) on Form 10-K for the period ending December 31, 2023,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4978" w:type="dxa"/>
        <w:jc w:val="center"/>
        <w:tblInd w:w="0" w:type="dxa"/>
        <w:tblLayout w:type="fixed"/>
        <w:tblCellMar>
          <w:top w:w="0" w:type="dxa"/>
          <w:left w:w="0" w:type="dxa"/>
          <w:bottom w:w="0" w:type="dxa"/>
          <w:right w:w="0" w:type="dxa"/>
        </w:tblCellMar>
      </w:tblPr>
      <w:tblGrid>
        <w:gridCol w:w="1501"/>
        <w:gridCol w:w="146"/>
        <w:gridCol w:w="3331"/>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283"/>
              <w:ind w:left="0" w:right="0" w:hanging="0"/>
              <w:jc w:val="left"/>
              <w:rPr>
                <w:sz w:val="4"/>
                <w:szCs w:val="4"/>
              </w:rPr>
            </w:pPr>
            <w:r>
              <w:rPr>
                <w:sz w:val="4"/>
                <w:szCs w:val="4"/>
              </w:rPr>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8, 2024</w:t>
            </w:r>
          </w:p>
        </w:tc>
        <w:tc>
          <w:tcPr>
            <w:tcW w:w="146" w:type="dxa"/>
            <w:tcBorders/>
            <w:vAlign w:val="center"/>
          </w:tcPr>
          <w:p>
            <w:pPr>
              <w:pStyle w:val="TableContents"/>
              <w:bidi w:val="0"/>
              <w:spacing w:before="0" w:after="0"/>
              <w:ind w:left="0" w:right="0" w:hanging="0"/>
              <w:jc w:val="left"/>
              <w:rPr/>
            </w:pPr>
            <w:r>
              <w:rPr/>
              <w:t> </w:t>
            </w:r>
          </w:p>
        </w:tc>
        <w:tc>
          <w:tcPr>
            <w:tcW w:w="33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JOHN P. ALBRIGHT</w:t>
            </w:r>
          </w:p>
        </w:tc>
      </w:tr>
      <w:tr>
        <w:trPr/>
        <w:tc>
          <w:tcPr>
            <w:tcW w:w="15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John P. Albright</w:t>
            </w:r>
          </w:p>
        </w:tc>
      </w:tr>
      <w:tr>
        <w:trPr/>
        <w:tc>
          <w:tcPr>
            <w:tcW w:w="15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President and Chief Executive Officer</w:t>
            </w:r>
          </w:p>
        </w:tc>
      </w:tr>
      <w:tr>
        <w:trPr/>
        <w:tc>
          <w:tcPr>
            <w:tcW w:w="15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12" w:name="pine-20231231xex32d2.htm"/>
      <w:bookmarkStart w:id="1313" w:name="kspine20231231xex32d2"/>
      <w:bookmarkEnd w:id="1312"/>
      <w:bookmarkEnd w:id="1313"/>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Annual Report of Alpine Income Property Trust, Inc. (the “Company”) on Form 10-K for the period ending December 31, 2023,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6782" w:type="dxa"/>
        <w:jc w:val="left"/>
        <w:tblInd w:w="0" w:type="dxa"/>
        <w:tblLayout w:type="fixed"/>
        <w:tblCellMar>
          <w:top w:w="0" w:type="dxa"/>
          <w:left w:w="0" w:type="dxa"/>
          <w:bottom w:w="0" w:type="dxa"/>
          <w:right w:w="0" w:type="dxa"/>
        </w:tblCellMar>
      </w:tblPr>
      <w:tblGrid>
        <w:gridCol w:w="1501"/>
        <w:gridCol w:w="5281"/>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p>
        </w:tc>
        <w:tc>
          <w:tcPr>
            <w:tcW w:w="5281" w:type="dxa"/>
            <w:tcBorders/>
            <w:vAlign w:val="center"/>
          </w:tcPr>
          <w:p>
            <w:pPr>
              <w:pStyle w:val="TableContents"/>
              <w:bidi w:val="0"/>
              <w:spacing w:before="0" w:after="283"/>
              <w:ind w:left="0" w:right="0" w:hanging="0"/>
              <w:jc w:val="left"/>
              <w:rPr>
                <w:sz w:val="4"/>
                <w:szCs w:val="4"/>
              </w:rPr>
            </w:pPr>
            <w:r>
              <w:rPr>
                <w:sz w:val="4"/>
                <w:szCs w:val="4"/>
              </w:rPr>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8, 2024</w:t>
            </w:r>
          </w:p>
        </w:tc>
        <w:tc>
          <w:tcPr>
            <w:tcW w:w="528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MATTHEW M. PARTRIDGE</w:t>
            </w:r>
          </w:p>
        </w:tc>
      </w:tr>
      <w:tr>
        <w:trPr/>
        <w:tc>
          <w:tcPr>
            <w:tcW w:w="1501" w:type="dxa"/>
            <w:tcBorders/>
            <w:vAlign w:val="center"/>
          </w:tcPr>
          <w:p>
            <w:pPr>
              <w:pStyle w:val="TableContents"/>
              <w:bidi w:val="0"/>
              <w:spacing w:before="0" w:after="0"/>
              <w:ind w:left="0" w:right="0" w:hanging="0"/>
              <w:jc w:val="left"/>
              <w:rPr/>
            </w:pPr>
            <w:r>
              <w:rPr/>
              <w:t> </w:t>
            </w:r>
          </w:p>
        </w:tc>
        <w:tc>
          <w:tcPr>
            <w:tcW w:w="52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Matthew M. Partridge</w:t>
            </w:r>
          </w:p>
        </w:tc>
      </w:tr>
      <w:tr>
        <w:trPr/>
        <w:tc>
          <w:tcPr>
            <w:tcW w:w="1501" w:type="dxa"/>
            <w:tcBorders/>
            <w:vAlign w:val="center"/>
          </w:tcPr>
          <w:p>
            <w:pPr>
              <w:pStyle w:val="TableContents"/>
              <w:bidi w:val="0"/>
              <w:spacing w:before="0" w:after="0"/>
              <w:ind w:left="0" w:right="0" w:hanging="0"/>
              <w:jc w:val="left"/>
              <w:rPr/>
            </w:pPr>
            <w:r>
              <w:rPr/>
              <w:t>​</w:t>
            </w:r>
          </w:p>
        </w:tc>
        <w:tc>
          <w:tcPr>
            <w:tcW w:w="52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Senior Vice President, Chief Financial Officer and Treasurer</w:t>
            </w:r>
          </w:p>
        </w:tc>
      </w:tr>
      <w:tr>
        <w:trPr/>
        <w:tc>
          <w:tcPr>
            <w:tcW w:w="1501" w:type="dxa"/>
            <w:tcBorders/>
            <w:vAlign w:val="center"/>
          </w:tcPr>
          <w:p>
            <w:pPr>
              <w:pStyle w:val="TableContents"/>
              <w:bidi w:val="0"/>
              <w:spacing w:before="0" w:after="0"/>
              <w:ind w:left="0" w:right="0" w:hanging="0"/>
              <w:jc w:val="left"/>
              <w:rPr/>
            </w:pPr>
            <w:r>
              <w:rPr/>
              <w:t> </w:t>
            </w:r>
          </w:p>
        </w:tc>
        <w:tc>
          <w:tcPr>
            <w:tcW w:w="52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120" w:after="0"/>
        <w:ind w:left="0" w:right="0" w:hanging="0"/>
        <w:jc w:val="right"/>
        <w:rPr>
          <w:rFonts w:ascii="Times New Roman;Times;serif" w:hAnsi="Times New Roman;Times;serif"/>
          <w:b/>
          <w:sz w:val="24"/>
        </w:rPr>
      </w:pPr>
      <w:bookmarkStart w:id="1314" w:name="_Hlk141974725"/>
      <w:bookmarkStart w:id="1315" w:name="pine-20231231xex97d1.htm"/>
      <w:bookmarkStart w:id="1316" w:name="kspine20231231xex97d1"/>
      <w:bookmarkEnd w:id="1314"/>
      <w:bookmarkEnd w:id="1315"/>
      <w:bookmarkEnd w:id="1316"/>
      <w:r>
        <w:rPr>
          <w:rFonts w:ascii="Times New Roman;Times;serif" w:hAnsi="Times New Roman;Times;serif"/>
          <w:b/>
          <w:sz w:val="24"/>
        </w:rPr>
        <w:t>Exhibit 97.1</w:t>
      </w:r>
      <w:r>
        <w:br w:type="page"/>
      </w:r>
    </w:p>
    <w:p>
      <w:pPr>
        <w:pStyle w:val="TextBody"/>
        <w:bidi w:val="0"/>
        <w:spacing w:before="120" w:after="0"/>
        <w:ind w:left="0" w:right="0" w:hanging="0"/>
        <w:jc w:val="center"/>
        <w:rPr>
          <w:rFonts w:ascii="Times New Roman;Times;serif" w:hAnsi="Times New Roman;Times;serif"/>
          <w:b/>
          <w:sz w:val="24"/>
        </w:rPr>
      </w:pPr>
      <w:r>
        <w:rPr>
          <w:rFonts w:ascii="Times New Roman;Times;serif" w:hAnsi="Times New Roman;Times;serif"/>
          <w:b/>
          <w:sz w:val="24"/>
        </w:rPr>
        <w:t>Alpine Income Property Trust,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Clawback Policy </w:t>
      </w:r>
    </w:p>
    <w:p>
      <w:pPr>
        <w:pStyle w:val="TextBody"/>
        <w:bidi w:val="0"/>
        <w:spacing w:before="0" w:after="0"/>
        <w:ind w:left="0" w:right="0" w:hanging="0"/>
        <w:jc w:val="center"/>
        <w:rPr>
          <w:rFonts w:ascii="CG Times" w:hAnsi="CG Times"/>
          <w:sz w:val="24"/>
        </w:rPr>
      </w:pPr>
      <w:r>
        <w:rPr>
          <w:rFonts w:ascii="Times New Roman;Times;serif" w:hAnsi="Times New Roman;Times;serif"/>
          <w:sz w:val="24"/>
        </w:rPr>
        <w:t>(this “</w:t>
      </w:r>
      <w:r>
        <w:rPr>
          <w:rFonts w:ascii="Times New Roman;Times;serif" w:hAnsi="Times New Roman;Times;serif"/>
          <w:b/>
          <w:sz w:val="24"/>
        </w:rPr>
        <w:t>Policy</w:t>
      </w:r>
      <w:r>
        <w:rPr>
          <w:rFonts w:ascii="CG Times" w:hAnsi="CG Times"/>
          <w:sz w:val="24"/>
        </w:rPr>
        <w:t>”</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CG Times" w:hAnsi="CG Times"/>
          <w:sz w:val="24"/>
        </w:rPr>
      </w:pPr>
      <w:r>
        <w:rPr>
          <w:rFonts w:ascii="Times New Roman;Times;serif" w:hAnsi="Times New Roman;Times;serif"/>
          <w:sz w:val="24"/>
        </w:rPr>
        <w:t>Adopted by the Board of Directors (the “</w:t>
      </w:r>
      <w:r>
        <w:rPr>
          <w:rFonts w:ascii="Times New Roman;Times;serif" w:hAnsi="Times New Roman;Times;serif"/>
          <w:b/>
          <w:sz w:val="24"/>
        </w:rPr>
        <w:t>Board</w:t>
      </w:r>
      <w:r>
        <w:rPr>
          <w:rFonts w:ascii="CG Times" w:hAnsi="CG Times"/>
          <w:sz w:val="24"/>
        </w:rPr>
        <w:t>”</w:t>
      </w:r>
      <w:r>
        <w:rPr>
          <w:rFonts w:ascii="Times New Roman;Times;serif" w:hAnsi="Times New Roman;Times;serif"/>
          <w:sz w:val="24"/>
        </w:rPr>
        <w:t>) of Alpine Income Property Trust, Inc. (the “</w:t>
      </w:r>
      <w:r>
        <w:rPr>
          <w:rFonts w:ascii="Times New Roman;Times;serif" w:hAnsi="Times New Roman;Times;serif"/>
          <w:b/>
          <w:sz w:val="24"/>
        </w:rPr>
        <w:t>Company</w:t>
      </w:r>
      <w:r>
        <w:rPr>
          <w:rFonts w:ascii="CG Times" w:hAnsi="CG Times"/>
          <w:sz w:val="24"/>
        </w:rPr>
        <w:t>”</w:t>
      </w:r>
      <w:r>
        <w:rPr>
          <w:rFonts w:ascii="Times New Roman;Times;serif" w:hAnsi="Times New Roman;Times;serif"/>
          <w:sz w:val="24"/>
        </w:rPr>
        <w:t>) on October 17, 2023.</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1.</w:t>
      </w:r>
      <w:r>
        <w:rPr>
          <w:rFonts w:ascii="CG Times" w:hAnsi="CG Times"/>
          <w:sz w:val="24"/>
        </w:rPr>
        <w:t>  </w:t>
      </w:r>
      <w:r>
        <w:rPr>
          <w:rFonts w:ascii="Times New Roman;Times;serif" w:hAnsi="Times New Roman;Times;serif"/>
          <w:b/>
          <w:sz w:val="24"/>
        </w:rPr>
        <w:t>Recoupment.  </w:t>
      </w:r>
      <w:r>
        <w:rPr>
          <w:rFonts w:ascii="Times New Roman;Times;serif" w:hAnsi="Times New Roman;Times;serif"/>
          <w:sz w:val="24"/>
        </w:rPr>
        <w:t>If the Company</w:t>
      </w:r>
      <w:r>
        <w:rPr>
          <w:rFonts w:ascii="CG Times" w:hAnsi="CG Times"/>
          <w:sz w:val="24"/>
        </w:rPr>
        <w:t xml:space="preserve"> </w:t>
      </w:r>
      <w:r>
        <w:rPr>
          <w:rFonts w:ascii="Times New Roman;Times;serif" w:hAnsi="Times New Roman;Times;serif"/>
          <w:sz w:val="24"/>
        </w:rPr>
        <w:t>is required to prepare a Restatement, the Compensation Committee</w:t>
      </w:r>
      <w:r>
        <w:rPr>
          <w:rFonts w:ascii="CG Times" w:hAnsi="CG Times"/>
          <w:sz w:val="24"/>
        </w:rPr>
        <w:t xml:space="preserve"> </w:t>
      </w:r>
      <w:r>
        <w:rPr>
          <w:rFonts w:ascii="Times New Roman;Times;serif" w:hAnsi="Times New Roman;Times;serif"/>
          <w:sz w:val="24"/>
        </w:rPr>
        <w:t>of the Board (the “</w:t>
      </w:r>
      <w:r>
        <w:rPr>
          <w:rFonts w:ascii="Times New Roman;Times;serif" w:hAnsi="Times New Roman;Times;serif"/>
          <w:b/>
          <w:sz w:val="24"/>
        </w:rPr>
        <w:t>Committee</w:t>
      </w:r>
      <w:r>
        <w:rPr>
          <w:rFonts w:ascii="CG Times" w:hAnsi="CG Times"/>
          <w:sz w:val="24"/>
        </w:rPr>
        <w:t>”</w:t>
      </w:r>
      <w:r>
        <w:rPr>
          <w:rFonts w:ascii="Times New Roman;Times;serif" w:hAnsi="Times New Roman;Times;serif"/>
          <w:sz w:val="24"/>
        </w:rPr>
        <w:t>) shall, unless</w:t>
      </w:r>
      <w:r>
        <w:rPr>
          <w:rFonts w:ascii="CG Times" w:hAnsi="CG Times"/>
          <w:sz w:val="24"/>
        </w:rPr>
        <w:t xml:space="preserve"> </w:t>
      </w:r>
      <w:r>
        <w:rPr>
          <w:rFonts w:ascii="Times New Roman;Times;serif" w:hAnsi="Times New Roman;Times;serif"/>
          <w:sz w:val="24"/>
        </w:rPr>
        <w:t>determined to be Impracticable, take</w:t>
      </w:r>
      <w:r>
        <w:rPr>
          <w:rFonts w:ascii="CG Times" w:hAnsi="CG Times"/>
          <w:sz w:val="24"/>
        </w:rPr>
        <w:t xml:space="preserve"> </w:t>
      </w:r>
      <w:r>
        <w:rPr>
          <w:rFonts w:ascii="Times New Roman;Times;serif" w:hAnsi="Times New Roman;Times;serif"/>
          <w:sz w:val="24"/>
        </w:rPr>
        <w:t>reasonably prompt action to recoup all Recoverable Compensation</w:t>
      </w:r>
      <w:r>
        <w:rPr>
          <w:rFonts w:ascii="CG Times" w:hAnsi="CG Times"/>
          <w:sz w:val="24"/>
        </w:rPr>
        <w:t xml:space="preserve"> </w:t>
      </w:r>
      <w:r>
        <w:rPr>
          <w:rFonts w:ascii="Times New Roman;Times;serif" w:hAnsi="Times New Roman;Times;serif"/>
          <w:sz w:val="24"/>
        </w:rPr>
        <w:t>from</w:t>
      </w:r>
      <w:r>
        <w:rPr>
          <w:rFonts w:ascii="CG Times" w:hAnsi="CG Times"/>
          <w:sz w:val="24"/>
        </w:rPr>
        <w:t xml:space="preserve"> </w:t>
      </w:r>
      <w:r>
        <w:rPr>
          <w:rFonts w:ascii="Times New Roman;Times;serif" w:hAnsi="Times New Roman;Times;serif"/>
          <w:sz w:val="24"/>
        </w:rPr>
        <w:t>any Covered Person. This Policy is in addition to (and not in lieu of) any right of repayment, forfeiture or off-set against</w:t>
      </w:r>
      <w:r>
        <w:rPr>
          <w:rFonts w:ascii="CG Times" w:hAnsi="CG Times"/>
          <w:sz w:val="24"/>
        </w:rPr>
        <w:t xml:space="preserve"> </w:t>
      </w:r>
      <w:r>
        <w:rPr>
          <w:rFonts w:ascii="Times New Roman;Times;serif" w:hAnsi="Times New Roman;Times;serif"/>
          <w:sz w:val="24"/>
        </w:rPr>
        <w:t>any Covered Person that may be available under applicable law or otherwise (whether</w:t>
      </w:r>
      <w:r>
        <w:rPr>
          <w:rFonts w:ascii="CG Times" w:hAnsi="CG Times"/>
          <w:sz w:val="24"/>
        </w:rPr>
        <w:t xml:space="preserve"> </w:t>
      </w:r>
      <w:r>
        <w:rPr>
          <w:rFonts w:ascii="Times New Roman;Times;serif" w:hAnsi="Times New Roman;Times;serif"/>
          <w:sz w:val="24"/>
        </w:rPr>
        <w:t>implemented prior to or after</w:t>
      </w:r>
      <w:r>
        <w:rPr>
          <w:rFonts w:ascii="CG Times" w:hAnsi="CG Times"/>
          <w:sz w:val="24"/>
        </w:rPr>
        <w:t xml:space="preserve"> </w:t>
      </w:r>
      <w:r>
        <w:rPr>
          <w:rFonts w:ascii="Times New Roman;Times;serif" w:hAnsi="Times New Roman;Times;serif"/>
          <w:sz w:val="24"/>
        </w:rPr>
        <w:t>adoption of this</w:t>
      </w:r>
      <w:r>
        <w:rPr>
          <w:rFonts w:ascii="CG Times" w:hAnsi="CG Times"/>
          <w:sz w:val="24"/>
        </w:rPr>
        <w:t xml:space="preserve"> </w:t>
      </w:r>
      <w:r>
        <w:rPr>
          <w:rFonts w:ascii="Times New Roman;Times;serif" w:hAnsi="Times New Roman;Times;serif"/>
          <w:sz w:val="24"/>
        </w:rPr>
        <w:t>Policy).  The</w:t>
      </w:r>
      <w:r>
        <w:rPr>
          <w:rFonts w:ascii="CG Times" w:hAnsi="CG Times"/>
          <w:sz w:val="24"/>
        </w:rPr>
        <w:t xml:space="preserve"> </w:t>
      </w:r>
      <w:r>
        <w:rPr>
          <w:rFonts w:ascii="Times New Roman;Times;serif" w:hAnsi="Times New Roman;Times;serif"/>
          <w:sz w:val="24"/>
        </w:rPr>
        <w:t>Committee</w:t>
      </w:r>
      <w:r>
        <w:rPr>
          <w:rFonts w:ascii="CG Times" w:hAnsi="CG Times"/>
          <w:sz w:val="24"/>
        </w:rPr>
        <w:t xml:space="preserve"> </w:t>
      </w:r>
      <w:r>
        <w:rPr>
          <w:rFonts w:ascii="Times New Roman;Times;serif" w:hAnsi="Times New Roman;Times;serif"/>
          <w:sz w:val="24"/>
        </w:rPr>
        <w:t>may, in its sole</w:t>
      </w:r>
      <w:r>
        <w:rPr>
          <w:rFonts w:ascii="CG Times" w:hAnsi="CG Times"/>
          <w:sz w:val="24"/>
        </w:rPr>
        <w:t xml:space="preserve"> </w:t>
      </w:r>
      <w:r>
        <w:rPr>
          <w:rFonts w:ascii="Times New Roman;Times;serif" w:hAnsi="Times New Roman;Times;serif"/>
          <w:sz w:val="24"/>
        </w:rPr>
        <w:t>discretion and in the exercise of its business judgment, determine whether and to what extent</w:t>
      </w:r>
      <w:r>
        <w:rPr>
          <w:rFonts w:ascii="CG Times" w:hAnsi="CG Times"/>
          <w:sz w:val="24"/>
        </w:rPr>
        <w:t xml:space="preserve"> </w:t>
      </w:r>
      <w:r>
        <w:rPr>
          <w:rFonts w:ascii="Times New Roman;Times;serif" w:hAnsi="Times New Roman;Times;serif"/>
          <w:sz w:val="24"/>
        </w:rPr>
        <w:t>additional action is appropriate to address the circumstances surrounding any</w:t>
      </w:r>
      <w:r>
        <w:rPr>
          <w:rFonts w:ascii="CG Times" w:hAnsi="CG Times"/>
          <w:sz w:val="24"/>
        </w:rPr>
        <w:t xml:space="preserve"> </w:t>
      </w:r>
      <w:r>
        <w:rPr>
          <w:rFonts w:ascii="Times New Roman;Times;serif" w:hAnsi="Times New Roman;Times;serif"/>
          <w:sz w:val="24"/>
        </w:rPr>
        <w:t xml:space="preserve">recovery of Recoverable Compensation tied to a Restatement and to impose such other discipline as it deems appropriate. </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2.  Method of Recoupment.</w:t>
      </w:r>
      <w:r>
        <w:rPr>
          <w:rFonts w:ascii="CG Times" w:hAnsi="CG Times"/>
          <w:sz w:val="24"/>
        </w:rPr>
        <w:t xml:space="preserve">  </w:t>
      </w:r>
      <w:r>
        <w:rPr>
          <w:rFonts w:ascii="Times New Roman;Times;serif" w:hAnsi="Times New Roman;Times;serif"/>
          <w:sz w:val="24"/>
        </w:rPr>
        <w:t>Subject to applicable law, the Committee</w:t>
      </w:r>
      <w:r>
        <w:rPr>
          <w:rFonts w:ascii="CG Times" w:hAnsi="CG Times"/>
          <w:sz w:val="24"/>
        </w:rPr>
        <w:t xml:space="preserve"> </w:t>
      </w:r>
      <w:r>
        <w:rPr>
          <w:rFonts w:ascii="Times New Roman;Times;serif" w:hAnsi="Times New Roman;Times;serif"/>
          <w:sz w:val="24"/>
        </w:rPr>
        <w:t>may seek to recoup Recoverable Compensation by (i) requiring a</w:t>
      </w:r>
      <w:r>
        <w:rPr>
          <w:rFonts w:ascii="CG Times" w:hAnsi="CG Times"/>
          <w:sz w:val="24"/>
        </w:rPr>
        <w:t xml:space="preserve"> </w:t>
      </w:r>
      <w:r>
        <w:rPr>
          <w:rFonts w:ascii="Times New Roman;Times;serif" w:hAnsi="Times New Roman;Times;serif"/>
          <w:sz w:val="24"/>
        </w:rPr>
        <w:t>Covered Person to repay such amount to the Company;</w:t>
      </w:r>
      <w:r>
        <w:rPr>
          <w:rFonts w:ascii="CG Times" w:hAnsi="CG Times"/>
          <w:sz w:val="24"/>
        </w:rPr>
        <w:t xml:space="preserve"> </w:t>
      </w:r>
      <w:r>
        <w:rPr>
          <w:rFonts w:ascii="Times New Roman;Times;serif" w:hAnsi="Times New Roman;Times;serif"/>
          <w:sz w:val="24"/>
        </w:rPr>
        <w:t>(ii) offsetting a Covered Person’s other</w:t>
      </w:r>
      <w:r>
        <w:rPr>
          <w:rFonts w:ascii="CG Times" w:hAnsi="CG Times"/>
          <w:sz w:val="24"/>
        </w:rPr>
        <w:t xml:space="preserve"> </w:t>
      </w:r>
      <w:r>
        <w:rPr>
          <w:rFonts w:ascii="Times New Roman;Times;serif" w:hAnsi="Times New Roman;Times;serif"/>
          <w:sz w:val="24"/>
        </w:rPr>
        <w:t>compensation;</w:t>
      </w:r>
      <w:r>
        <w:rPr>
          <w:rFonts w:ascii="CG Times" w:hAnsi="CG Times"/>
          <w:sz w:val="24"/>
        </w:rPr>
        <w:t xml:space="preserve"> </w:t>
      </w:r>
      <w:r>
        <w:rPr>
          <w:rFonts w:ascii="Times New Roman;Times;serif" w:hAnsi="Times New Roman;Times;serif"/>
          <w:sz w:val="24"/>
        </w:rPr>
        <w:t>or (iii) such other means or combination of means as the</w:t>
      </w:r>
      <w:r>
        <w:rPr>
          <w:rFonts w:ascii="CG Times" w:hAnsi="CG Times"/>
          <w:sz w:val="24"/>
        </w:rPr>
        <w:t xml:space="preserve"> </w:t>
      </w:r>
      <w:r>
        <w:rPr>
          <w:rFonts w:ascii="Times New Roman;Times;serif" w:hAnsi="Times New Roman;Times;serif"/>
          <w:sz w:val="24"/>
        </w:rPr>
        <w:t>Committee, in its sole discretion, determines to be appropriate.</w:t>
      </w:r>
      <w:r>
        <w:rPr>
          <w:rFonts w:ascii="CG Times" w:hAnsi="CG Times"/>
          <w:sz w:val="24"/>
        </w:rPr>
        <w:t xml:space="preserve">  </w:t>
      </w:r>
      <w:r>
        <w:rPr>
          <w:rFonts w:ascii="Times New Roman;Times;serif" w:hAnsi="Times New Roman;Times;serif"/>
          <w:sz w:val="24"/>
        </w:rPr>
        <w:t>To the extent that a Covered Person fails to repay all Recoverable Compensation to the Company as determined pursuant to this Policy, the Company shall take all actions reasonable and appropriate to recover such amount, subject to applicable law.  The applicable Covered Person shall be required to reimburse the Company for any and all expenses reasonably incurred (including legal fees) by the Company in recovering such amount.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3.</w:t>
      </w:r>
      <w:r>
        <w:rPr>
          <w:rFonts w:ascii="CG Times" w:hAnsi="CG Times"/>
          <w:sz w:val="24"/>
        </w:rPr>
        <w:t>  </w:t>
      </w:r>
      <w:r>
        <w:rPr>
          <w:rFonts w:ascii="Times New Roman;Times;serif" w:hAnsi="Times New Roman;Times;serif"/>
          <w:b/>
          <w:sz w:val="24"/>
        </w:rPr>
        <w:t>Administration of Policy.  </w:t>
      </w:r>
      <w:r>
        <w:rPr>
          <w:rFonts w:ascii="Times New Roman;Times;serif" w:hAnsi="Times New Roman;Times;serif"/>
          <w:sz w:val="24"/>
        </w:rPr>
        <w:t>The Committee</w:t>
      </w:r>
      <w:r>
        <w:rPr>
          <w:rFonts w:ascii="CG Times" w:hAnsi="CG Times"/>
          <w:sz w:val="24"/>
        </w:rPr>
        <w:t xml:space="preserve"> </w:t>
      </w:r>
      <w:r>
        <w:rPr>
          <w:rFonts w:ascii="Times New Roman;Times;serif" w:hAnsi="Times New Roman;Times;serif"/>
          <w:sz w:val="24"/>
        </w:rPr>
        <w:t>shall have full authority to administer, amend or terminate</w:t>
      </w:r>
      <w:r>
        <w:rPr>
          <w:rFonts w:ascii="CG Times" w:hAnsi="CG Times"/>
          <w:sz w:val="24"/>
        </w:rPr>
        <w:t xml:space="preserve"> </w:t>
      </w:r>
      <w:r>
        <w:rPr>
          <w:rFonts w:ascii="Times New Roman;Times;serif" w:hAnsi="Times New Roman;Times;serif"/>
          <w:sz w:val="24"/>
        </w:rPr>
        <w:t>this Policy. The Committee shall, subject to the provisions of this</w:t>
      </w:r>
      <w:r>
        <w:rPr>
          <w:rFonts w:ascii="CG Times" w:hAnsi="CG Times"/>
          <w:sz w:val="24"/>
        </w:rPr>
        <w:t xml:space="preserve"> </w:t>
      </w:r>
      <w:r>
        <w:rPr>
          <w:rFonts w:ascii="Times New Roman;Times;serif" w:hAnsi="Times New Roman;Times;serif"/>
          <w:sz w:val="24"/>
        </w:rPr>
        <w:t>Policy, make such determinations and interpretations and take such actions in connection with this Policy</w:t>
      </w:r>
      <w:r>
        <w:rPr>
          <w:rFonts w:ascii="CG Times" w:hAnsi="CG Times"/>
          <w:sz w:val="24"/>
        </w:rPr>
        <w:t xml:space="preserve"> </w:t>
      </w:r>
      <w:r>
        <w:rPr>
          <w:rFonts w:ascii="Times New Roman;Times;serif" w:hAnsi="Times New Roman;Times;serif"/>
          <w:sz w:val="24"/>
        </w:rPr>
        <w:t>as it deems necessary, appropriate or advisable.</w:t>
      </w:r>
      <w:r>
        <w:rPr>
          <w:rFonts w:ascii="CG Times" w:hAnsi="CG Times"/>
          <w:sz w:val="24"/>
        </w:rPr>
        <w:t xml:space="preserve"> </w:t>
      </w:r>
      <w:r>
        <w:rPr>
          <w:rFonts w:ascii="Times New Roman;Times;serif" w:hAnsi="Times New Roman;Times;serif"/>
          <w:sz w:val="24"/>
        </w:rPr>
        <w:t>All determinations and interpretations made by the Committee</w:t>
      </w:r>
      <w:r>
        <w:rPr>
          <w:rFonts w:ascii="CG Times" w:hAnsi="CG Times"/>
          <w:sz w:val="24"/>
        </w:rPr>
        <w:t xml:space="preserve"> </w:t>
      </w:r>
      <w:r>
        <w:rPr>
          <w:rFonts w:ascii="Times New Roman;Times;serif" w:hAnsi="Times New Roman;Times;serif"/>
          <w:sz w:val="24"/>
        </w:rPr>
        <w:t>shall be final, binding and conclusive.</w:t>
      </w:r>
      <w:r>
        <w:rPr>
          <w:rFonts w:ascii="CG Times" w:hAnsi="CG Times"/>
          <w:sz w:val="24"/>
        </w:rPr>
        <w:t xml:space="preserve">  </w:t>
      </w:r>
      <w:r>
        <w:rPr>
          <w:rFonts w:ascii="Times New Roman;Times;serif" w:hAnsi="Times New Roman;Times;serif"/>
          <w:sz w:val="24"/>
        </w:rPr>
        <w:t>Notwithstanding anything in this Section 3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rules of the U.S. Securities and Exchange Commission (the “</w:t>
      </w:r>
      <w:r>
        <w:rPr>
          <w:rFonts w:ascii="Times New Roman;Times;serif" w:hAnsi="Times New Roman;Times;serif"/>
          <w:b/>
          <w:sz w:val="24"/>
        </w:rPr>
        <w:t>SEC</w:t>
      </w:r>
      <w:r>
        <w:rPr>
          <w:rFonts w:ascii="CG Times" w:hAnsi="CG Times"/>
          <w:sz w:val="24"/>
        </w:rPr>
        <w:t>”</w:t>
      </w:r>
      <w:r>
        <w:rPr>
          <w:rFonts w:ascii="Times New Roman;Times;serif" w:hAnsi="Times New Roman;Times;serif"/>
          <w:sz w:val="24"/>
        </w:rPr>
        <w:t xml:space="preserve">) or the rules of any national securities exchange or national securities association on which the Company’s securities are then listed.  The Committee shall consult with the Company’s audit committee, chief financial officer and chief accounting officer, as applicable, as needed in order to properly administer and interpret any provision of this Policy. </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4.</w:t>
      </w:r>
      <w:r>
        <w:rPr>
          <w:rFonts w:ascii="CG Times" w:hAnsi="CG Times"/>
          <w:sz w:val="24"/>
        </w:rPr>
        <w:t>  </w:t>
      </w:r>
      <w:r>
        <w:rPr>
          <w:rFonts w:ascii="Times New Roman;Times;serif" w:hAnsi="Times New Roman;Times;serif"/>
          <w:b/>
          <w:sz w:val="24"/>
        </w:rPr>
        <w:t>Acknowledgement by Executive Officers.  </w:t>
      </w:r>
      <w:r>
        <w:rPr>
          <w:rFonts w:ascii="Times New Roman;Times;serif" w:hAnsi="Times New Roman;Times;serif"/>
          <w:sz w:val="24"/>
        </w:rPr>
        <w:t>The Committee may</w:t>
      </w:r>
      <w:r>
        <w:rPr>
          <w:rFonts w:ascii="CG Times" w:hAnsi="CG Times"/>
          <w:sz w:val="24"/>
        </w:rPr>
        <w:t xml:space="preserve"> </w:t>
      </w:r>
      <w:r>
        <w:rPr>
          <w:rFonts w:ascii="Times New Roman;Times;serif" w:hAnsi="Times New Roman;Times;serif"/>
          <w:sz w:val="24"/>
        </w:rPr>
        <w:t>provide notice to and seek written acknowledgement of this Policy from each</w:t>
      </w:r>
      <w:r>
        <w:rPr>
          <w:rFonts w:ascii="CG Times" w:hAnsi="CG Times"/>
          <w:sz w:val="24"/>
        </w:rPr>
        <w:t xml:space="preserve"> </w:t>
      </w:r>
      <w:r>
        <w:rPr>
          <w:rFonts w:ascii="Times New Roman;Times;serif" w:hAnsi="Times New Roman;Times;serif"/>
          <w:sz w:val="24"/>
        </w:rPr>
        <w:t>Executive Officer; provided that the failure to provide such notice or obtain such acknowledgement shall not affect the applicability or enforceability of this Policy.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5.</w:t>
      </w:r>
      <w:r>
        <w:rPr>
          <w:rFonts w:ascii="CG Times" w:hAnsi="CG Times"/>
          <w:sz w:val="24"/>
        </w:rPr>
        <w:t>  </w:t>
      </w:r>
      <w:r>
        <w:rPr>
          <w:rFonts w:ascii="Times New Roman;Times;serif" w:hAnsi="Times New Roman;Times;serif"/>
          <w:b/>
          <w:sz w:val="24"/>
        </w:rPr>
        <w:t>No Indemnification.  </w:t>
      </w:r>
      <w:r>
        <w:rPr>
          <w:rFonts w:ascii="Times New Roman;Times;serif" w:hAnsi="Times New Roman;Times;serif"/>
          <w:sz w:val="24"/>
        </w:rPr>
        <w:t>Notwithstanding the terms of any of the Company’s organizational documents, any corporate policy or any contract, the Company shall not indemnify any Covered Person against the loss of any Recoverable Compensation.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6.</w:t>
      </w:r>
      <w:r>
        <w:rPr>
          <w:rFonts w:ascii="CG Times" w:hAnsi="CG Times"/>
          <w:sz w:val="24"/>
        </w:rPr>
        <w:t>  </w:t>
      </w:r>
      <w:r>
        <w:rPr>
          <w:rFonts w:ascii="Times New Roman;Times;serif" w:hAnsi="Times New Roman;Times;serif"/>
          <w:b/>
          <w:sz w:val="24"/>
        </w:rPr>
        <w:t>Disclosures</w:t>
      </w:r>
      <w:r>
        <w:rPr>
          <w:rFonts w:ascii="CG Times" w:hAnsi="CG Times"/>
          <w:sz w:val="24"/>
        </w:rPr>
        <w:t xml:space="preserve"> </w:t>
      </w:r>
      <w:r>
        <w:rPr>
          <w:rFonts w:ascii="Times New Roman;Times;serif" w:hAnsi="Times New Roman;Times;serif"/>
          <w:b/>
          <w:sz w:val="24"/>
        </w:rPr>
        <w:t>and Record Keeping.  </w:t>
      </w:r>
      <w:r>
        <w:rPr>
          <w:rFonts w:ascii="Times New Roman;Times;serif" w:hAnsi="Times New Roman;Times;serif"/>
          <w:sz w:val="24"/>
        </w:rPr>
        <w:t>The Company shall make all disclosures and filings</w:t>
      </w:r>
      <w:r>
        <w:rPr>
          <w:rFonts w:ascii="CG Times" w:hAnsi="CG Times"/>
          <w:sz w:val="24"/>
        </w:rPr>
        <w:t xml:space="preserve"> </w:t>
      </w:r>
      <w:r>
        <w:rPr>
          <w:rFonts w:ascii="Times New Roman;Times;serif" w:hAnsi="Times New Roman;Times;serif"/>
          <w:sz w:val="24"/>
        </w:rPr>
        <w:t>with respect to this Policy</w:t>
      </w:r>
      <w:r>
        <w:rPr>
          <w:rFonts w:ascii="CG Times" w:hAnsi="CG Times"/>
          <w:sz w:val="24"/>
        </w:rPr>
        <w:t xml:space="preserve"> </w:t>
      </w:r>
      <w:r>
        <w:rPr>
          <w:rFonts w:ascii="Times New Roman;Times;serif" w:hAnsi="Times New Roman;Times;serif"/>
          <w:sz w:val="24"/>
        </w:rPr>
        <w:t>and maintain all documents and records</w:t>
      </w:r>
      <w:r>
        <w:rPr>
          <w:rFonts w:ascii="CG Times" w:hAnsi="CG Times"/>
          <w:sz w:val="24"/>
        </w:rPr>
        <w:t xml:space="preserve"> </w:t>
      </w:r>
      <w:r>
        <w:rPr>
          <w:rFonts w:ascii="Times New Roman;Times;serif" w:hAnsi="Times New Roman;Times;serif"/>
          <w:sz w:val="24"/>
        </w:rPr>
        <w:t>that are required by the applicable rules and forms of the SEC (including, without limitation, Rule</w:t>
      </w:r>
      <w:r>
        <w:rPr>
          <w:rFonts w:ascii="CG Times" w:hAnsi="CG Times"/>
          <w:sz w:val="24"/>
        </w:rPr>
        <w:t xml:space="preserve"> </w:t>
      </w:r>
      <w:r>
        <w:rPr>
          <w:rFonts w:ascii="Times New Roman;Times;serif" w:hAnsi="Times New Roman;Times;serif"/>
          <w:sz w:val="24"/>
        </w:rPr>
        <w:t>10D-1 under</w:t>
      </w:r>
      <w:r>
        <w:rPr>
          <w:rFonts w:ascii="CG Times" w:hAnsi="CG Times"/>
          <w:sz w:val="24"/>
        </w:rPr>
        <w:t xml:space="preserve"> </w:t>
      </w:r>
      <w:r>
        <w:rPr>
          <w:rFonts w:ascii="Times New Roman;Times;serif" w:hAnsi="Times New Roman;Times;serif"/>
          <w:sz w:val="24"/>
        </w:rPr>
        <w:t>the Securities Exchange Act of 1934</w:t>
      </w:r>
      <w:r>
        <w:rPr>
          <w:rFonts w:ascii="CG Times" w:hAnsi="CG Times"/>
          <w:sz w:val="24"/>
        </w:rPr>
        <w:t xml:space="preserve"> </w:t>
      </w:r>
      <w:r>
        <w:rPr>
          <w:rFonts w:ascii="Times New Roman;Times;serif" w:hAnsi="Times New Roman;Times;serif"/>
          <w:sz w:val="24"/>
        </w:rPr>
        <w:t>(the “</w:t>
      </w:r>
      <w:r>
        <w:rPr>
          <w:rFonts w:ascii="Times New Roman;Times;serif" w:hAnsi="Times New Roman;Times;serif"/>
          <w:b/>
          <w:sz w:val="24"/>
        </w:rPr>
        <w:t>Exchange Act</w:t>
      </w:r>
      <w:r>
        <w:rPr>
          <w:rFonts w:ascii="CG Times" w:hAnsi="CG Times"/>
          <w:sz w:val="24"/>
        </w:rPr>
        <w:t>”</w:t>
      </w:r>
      <w:r>
        <w:rPr>
          <w:rFonts w:ascii="Times New Roman;Times;serif" w:hAnsi="Times New Roman;Times;serif"/>
          <w:sz w:val="24"/>
        </w:rPr>
        <w:t>)) and any applicable exchange listing</w:t>
      </w:r>
      <w:r>
        <w:rPr>
          <w:rFonts w:ascii="CG Times" w:hAnsi="CG Times"/>
          <w:sz w:val="24"/>
        </w:rPr>
        <w:t xml:space="preserve"> </w:t>
      </w:r>
      <w:r>
        <w:rPr>
          <w:rFonts w:ascii="Times New Roman;Times;serif" w:hAnsi="Times New Roman;Times;serif"/>
          <w:sz w:val="24"/>
        </w:rPr>
        <w:t>standard.</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7.</w:t>
      </w:r>
      <w:r>
        <w:rPr>
          <w:rFonts w:ascii="CG Times" w:hAnsi="CG Times"/>
          <w:sz w:val="24"/>
        </w:rPr>
        <w:t>  </w:t>
      </w:r>
      <w:r>
        <w:rPr>
          <w:rFonts w:ascii="Times New Roman;Times;serif" w:hAnsi="Times New Roman;Times;serif"/>
          <w:b/>
          <w:sz w:val="24"/>
        </w:rPr>
        <w:t>Governing Law.  </w:t>
      </w:r>
      <w:r>
        <w:rPr>
          <w:rFonts w:ascii="Times New Roman;Times;serif" w:hAnsi="Times New Roman;Times;serif"/>
          <w:sz w:val="24"/>
        </w:rPr>
        <w:t xml:space="preserve">The validity, construction, and effect of this Policy and any determinations relating to this Policy shall be construed in accordance with the laws of the State of Maryland without regard to its conflicts of laws principles.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8.</w:t>
      </w:r>
      <w:r>
        <w:rPr>
          <w:rFonts w:ascii="CG Times" w:hAnsi="CG Times"/>
          <w:sz w:val="24"/>
        </w:rPr>
        <w:t>  </w:t>
      </w:r>
      <w:r>
        <w:rPr>
          <w:rFonts w:ascii="Times New Roman;Times;serif" w:hAnsi="Times New Roman;Times;serif"/>
          <w:b/>
          <w:sz w:val="24"/>
        </w:rPr>
        <w:t xml:space="preserve">Successors. </w:t>
      </w:r>
      <w:r>
        <w:rPr>
          <w:rFonts w:ascii="Times New Roman;Times;serif" w:hAnsi="Times New Roman;Times;serif"/>
          <w:sz w:val="24"/>
        </w:rPr>
        <w:t xml:space="preserve">This Policy shall be binding and enforceable against all Covered Persons and their beneficiaries, heirs, executors, administrators or other legal representatives.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9.  Definitions.  </w:t>
      </w:r>
      <w:r>
        <w:rPr>
          <w:rFonts w:ascii="Times New Roman;Times;serif" w:hAnsi="Times New Roman;Times;serif"/>
          <w:sz w:val="24"/>
        </w:rPr>
        <w:t>In addition to terms otherwise defined in this Policy, the following terms, when used in</w:t>
      </w:r>
      <w:r>
        <w:rPr>
          <w:rFonts w:ascii="CG Times" w:hAnsi="CG Times"/>
          <w:sz w:val="24"/>
        </w:rPr>
        <w:t xml:space="preserve"> </w:t>
      </w:r>
      <w:r>
        <w:rPr>
          <w:rFonts w:ascii="Times New Roman;Times;serif" w:hAnsi="Times New Roman;Times;serif"/>
          <w:sz w:val="24"/>
        </w:rPr>
        <w:t>this Policy, shall have the following meanings: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Applicable Period</w:t>
      </w:r>
      <w:r>
        <w:rPr>
          <w:rFonts w:ascii="CG Times" w:hAnsi="CG Times"/>
          <w:sz w:val="24"/>
        </w:rPr>
        <w:t xml:space="preserve">” </w:t>
      </w:r>
      <w:r>
        <w:rPr>
          <w:rFonts w:ascii="Times New Roman;Times;serif" w:hAnsi="Times New Roman;Times;serif"/>
          <w:sz w:val="24"/>
        </w:rPr>
        <w:t>means the three completed fiscal</w:t>
      </w:r>
      <w:r>
        <w:rPr>
          <w:rFonts w:ascii="CG Times" w:hAnsi="CG Times"/>
          <w:sz w:val="24"/>
        </w:rPr>
        <w:t xml:space="preserve"> </w:t>
      </w:r>
      <w:r>
        <w:rPr>
          <w:rFonts w:ascii="Times New Roman;Times;serif" w:hAnsi="Times New Roman;Times;serif"/>
          <w:sz w:val="24"/>
        </w:rPr>
        <w:t>years preceding the earlier of: (i) the</w:t>
      </w:r>
      <w:r>
        <w:rPr>
          <w:rFonts w:ascii="CG Times" w:hAnsi="CG Times"/>
          <w:sz w:val="24"/>
        </w:rPr>
        <w:t xml:space="preserve"> </w:t>
      </w:r>
      <w:r>
        <w:rPr>
          <w:rFonts w:ascii="Times New Roman;Times;serif" w:hAnsi="Times New Roman;Times;serif"/>
          <w:sz w:val="24"/>
        </w:rPr>
        <w:t>date</w:t>
      </w:r>
      <w:r>
        <w:rPr>
          <w:rFonts w:ascii="CG Times" w:hAnsi="CG Times"/>
          <w:sz w:val="24"/>
        </w:rPr>
        <w:t xml:space="preserve"> </w:t>
      </w:r>
      <w:r>
        <w:rPr>
          <w:rFonts w:ascii="Times New Roman;Times;serif" w:hAnsi="Times New Roman;Times;serif"/>
          <w:sz w:val="24"/>
        </w:rPr>
        <w:t>that</w:t>
      </w:r>
      <w:r>
        <w:rPr>
          <w:rFonts w:ascii="CG Times" w:hAnsi="CG Times"/>
          <w:sz w:val="24"/>
        </w:rPr>
        <w:t xml:space="preserve"> </w:t>
      </w:r>
      <w:r>
        <w:rPr>
          <w:rFonts w:ascii="Times New Roman;Times;serif" w:hAnsi="Times New Roman;Times;serif"/>
          <w:sz w:val="24"/>
        </w:rPr>
        <w:t>the Committee, or the officer or officers of the Company</w:t>
      </w:r>
      <w:r>
        <w:rPr>
          <w:rFonts w:ascii="CG Times" w:hAnsi="CG Times"/>
          <w:sz w:val="24"/>
        </w:rPr>
        <w:t xml:space="preserve"> </w:t>
      </w:r>
      <w:r>
        <w:rPr>
          <w:rFonts w:ascii="Times New Roman;Times;serif" w:hAnsi="Times New Roman;Times;serif"/>
          <w:sz w:val="24"/>
        </w:rPr>
        <w:t>authorized to take such action if</w:t>
      </w:r>
      <w:r>
        <w:rPr>
          <w:rFonts w:ascii="CG Times" w:hAnsi="CG Times"/>
          <w:sz w:val="24"/>
        </w:rPr>
        <w:t xml:space="preserve"> </w:t>
      </w:r>
      <w:r>
        <w:rPr>
          <w:rFonts w:ascii="Times New Roman;Times;serif" w:hAnsi="Times New Roman;Times;serif"/>
          <w:sz w:val="24"/>
        </w:rPr>
        <w:t>Committee action is not required, concludes, or reasonably should have concluded, that the Company</w:t>
      </w:r>
      <w:r>
        <w:rPr>
          <w:rFonts w:ascii="CG Times" w:hAnsi="CG Times"/>
          <w:sz w:val="24"/>
        </w:rPr>
        <w:t xml:space="preserve"> </w:t>
      </w:r>
      <w:r>
        <w:rPr>
          <w:rFonts w:ascii="Times New Roman;Times;serif" w:hAnsi="Times New Roman;Times;serif"/>
          <w:sz w:val="24"/>
        </w:rPr>
        <w:t>is required to prepare a</w:t>
      </w:r>
      <w:r>
        <w:rPr>
          <w:rFonts w:ascii="CG Times" w:hAnsi="CG Times"/>
          <w:sz w:val="24"/>
        </w:rPr>
        <w:t xml:space="preserve"> </w:t>
      </w:r>
      <w:r>
        <w:rPr>
          <w:rFonts w:ascii="Times New Roman;Times;serif" w:hAnsi="Times New Roman;Times;serif"/>
          <w:sz w:val="24"/>
        </w:rPr>
        <w:t>Restatement; or</w:t>
      </w:r>
      <w:r>
        <w:rPr>
          <w:rFonts w:ascii="CG Times" w:hAnsi="CG Times"/>
          <w:sz w:val="24"/>
        </w:rPr>
        <w:t xml:space="preserve"> </w:t>
      </w:r>
      <w:r>
        <w:rPr>
          <w:rFonts w:ascii="Times New Roman;Times;serif" w:hAnsi="Times New Roman;Times;serif"/>
          <w:sz w:val="24"/>
        </w:rPr>
        <w:t>(ii) the date a court, regulator, or other legally authorized body directs the Company to prepare a</w:t>
      </w:r>
      <w:r>
        <w:rPr>
          <w:rFonts w:ascii="CG Times" w:hAnsi="CG Times"/>
          <w:sz w:val="24"/>
        </w:rPr>
        <w:t xml:space="preserve"> </w:t>
      </w:r>
      <w:r>
        <w:rPr>
          <w:rFonts w:ascii="Times New Roman;Times;serif" w:hAnsi="Times New Roman;Times;serif"/>
          <w:sz w:val="24"/>
        </w:rPr>
        <w:t>Restatement.</w:t>
      </w:r>
      <w:r>
        <w:rPr>
          <w:rFonts w:ascii="CG Times" w:hAnsi="CG Times"/>
          <w:sz w:val="24"/>
        </w:rPr>
        <w:t xml:space="preserve">  </w:t>
      </w:r>
      <w:r>
        <w:rPr>
          <w:rFonts w:ascii="Times New Roman;Times;serif" w:hAnsi="Times New Roman;Times;serif"/>
          <w:sz w:val="24"/>
        </w:rPr>
        <w:t>The Applicable Period shall also include any transition period (that results from a change in the Company’s fiscal year) of less than nine months within or immediately following the three completed fiscal years.</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Covered Person</w:t>
      </w:r>
      <w:r>
        <w:rPr>
          <w:rFonts w:ascii="CG Times" w:hAnsi="CG Times"/>
          <w:sz w:val="24"/>
        </w:rPr>
        <w:t xml:space="preserve">” </w:t>
      </w:r>
      <w:r>
        <w:rPr>
          <w:rFonts w:ascii="Times New Roman;Times;serif" w:hAnsi="Times New Roman;Times;serif"/>
          <w:sz w:val="24"/>
        </w:rPr>
        <w:t>means any person who</w:t>
      </w:r>
      <w:r>
        <w:rPr>
          <w:rFonts w:ascii="CG Times" w:hAnsi="CG Times"/>
          <w:sz w:val="24"/>
        </w:rPr>
        <w:t xml:space="preserve"> </w:t>
      </w:r>
      <w:r>
        <w:rPr>
          <w:rFonts w:ascii="Times New Roman;Times;serif" w:hAnsi="Times New Roman;Times;serif"/>
          <w:sz w:val="24"/>
        </w:rPr>
        <w:t>receives Recoverable Compensation.</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Executive Officer”</w:t>
      </w:r>
      <w:r>
        <w:rPr>
          <w:rFonts w:ascii="CG Times" w:hAnsi="CG Times"/>
          <w:sz w:val="24"/>
        </w:rPr>
        <w:t xml:space="preserve"> </w:t>
      </w:r>
      <w:r>
        <w:rPr>
          <w:rFonts w:ascii="Times New Roman;Times;serif" w:hAnsi="Times New Roman;Times;serif"/>
          <w:sz w:val="24"/>
        </w:rPr>
        <w:t>includes</w:t>
      </w:r>
      <w:r>
        <w:rPr>
          <w:rFonts w:ascii="CG Times" w:hAnsi="CG Times"/>
          <w:sz w:val="24"/>
        </w:rPr>
        <w:t xml:space="preserve"> </w:t>
      </w:r>
      <w:r>
        <w:rPr>
          <w:rFonts w:ascii="Times New Roman;Times;serif" w:hAnsi="Times New Roman;Times;serif"/>
          <w:sz w:val="24"/>
        </w:rPr>
        <w:t>the Company’s president, principal financial officer, principal accounting officer</w:t>
      </w:r>
      <w:r>
        <w:rPr>
          <w:rFonts w:ascii="CG Times" w:hAnsi="CG Times"/>
          <w:sz w:val="24"/>
        </w:rPr>
        <w:t xml:space="preserve"> </w:t>
      </w:r>
      <w:r>
        <w:rPr>
          <w:rFonts w:ascii="Times New Roman;Times;serif" w:hAnsi="Times New Roman;Times;serif"/>
          <w:sz w:val="24"/>
        </w:rPr>
        <w:t>(or if there is no such accounting officer, the controller), any vice-president of the</w:t>
      </w:r>
      <w:r>
        <w:rPr>
          <w:rFonts w:ascii="CG Times" w:hAnsi="CG Times"/>
          <w:sz w:val="24"/>
        </w:rPr>
        <w:t xml:space="preserve"> </w:t>
      </w:r>
      <w:r>
        <w:rPr>
          <w:rFonts w:ascii="Times New Roman;Times;serif" w:hAnsi="Times New Roman;Times;serif"/>
          <w:sz w:val="24"/>
        </w:rPr>
        <w:t>Company in charge of a principal business unit, division, or function (such as sales, administration, or</w:t>
      </w:r>
      <w:r>
        <w:rPr>
          <w:rFonts w:ascii="CG Times" w:hAnsi="CG Times"/>
          <w:sz w:val="24"/>
        </w:rPr>
        <w:t xml:space="preserve"> </w:t>
      </w:r>
      <w:r>
        <w:rPr>
          <w:rFonts w:ascii="Times New Roman;Times;serif" w:hAnsi="Times New Roman;Times;serif"/>
          <w:sz w:val="24"/>
        </w:rPr>
        <w:t>finance), any other officer</w:t>
      </w:r>
      <w:r>
        <w:rPr>
          <w:rFonts w:ascii="CG Times" w:hAnsi="CG Times"/>
          <w:sz w:val="24"/>
        </w:rPr>
        <w:t xml:space="preserve"> </w:t>
      </w:r>
      <w:r>
        <w:rPr>
          <w:rFonts w:ascii="Times New Roman;Times;serif" w:hAnsi="Times New Roman;Times;serif"/>
          <w:sz w:val="24"/>
        </w:rPr>
        <w:t>who performs a policy-making function, or any other person (including any executive officer of the Company’s controlled affiliates) who performs</w:t>
      </w:r>
      <w:r>
        <w:rPr>
          <w:rFonts w:ascii="CG Times" w:hAnsi="CG Times"/>
          <w:sz w:val="24"/>
        </w:rPr>
        <w:t xml:space="preserve"> </w:t>
      </w:r>
      <w:r>
        <w:rPr>
          <w:rFonts w:ascii="Times New Roman;Times;serif" w:hAnsi="Times New Roman;Times;serif"/>
          <w:sz w:val="24"/>
        </w:rPr>
        <w:t>similar policy-making functions for the Company.</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Financial Reporting Measure</w:t>
      </w:r>
      <w:r>
        <w:rPr>
          <w:rFonts w:ascii="CG Times" w:hAnsi="CG Times"/>
          <w:sz w:val="24"/>
        </w:rPr>
        <w:t xml:space="preserve">” </w:t>
      </w:r>
      <w:r>
        <w:rPr>
          <w:rFonts w:ascii="Times New Roman;Times;serif" w:hAnsi="Times New Roman;Times;serif"/>
          <w:sz w:val="24"/>
        </w:rPr>
        <w:t>means a measure that is determined and</w:t>
      </w:r>
      <w:r>
        <w:rPr>
          <w:rFonts w:ascii="CG Times" w:hAnsi="CG Times"/>
          <w:sz w:val="24"/>
        </w:rPr>
        <w:t xml:space="preserve"> </w:t>
      </w:r>
      <w:r>
        <w:rPr>
          <w:rFonts w:ascii="Times New Roman;Times;serif" w:hAnsi="Times New Roman;Times;serif"/>
          <w:sz w:val="24"/>
        </w:rPr>
        <w:t>presented in accordance with the accounting principles used in preparing the Company’s financial statements (including “non-GAAP”</w:t>
      </w:r>
      <w:r>
        <w:rPr>
          <w:rFonts w:ascii="CG Times" w:hAnsi="CG Times"/>
          <w:sz w:val="24"/>
        </w:rPr>
        <w:t xml:space="preserve"> </w:t>
      </w:r>
      <w:r>
        <w:rPr>
          <w:rFonts w:ascii="Times New Roman;Times;serif" w:hAnsi="Times New Roman;Times;serif"/>
          <w:sz w:val="24"/>
        </w:rPr>
        <w:t>financial</w:t>
      </w:r>
      <w:r>
        <w:rPr>
          <w:rFonts w:ascii="CG Times" w:hAnsi="CG Times"/>
          <w:sz w:val="24"/>
        </w:rPr>
        <w:t xml:space="preserve"> </w:t>
      </w:r>
      <w:r>
        <w:rPr>
          <w:rFonts w:ascii="Times New Roman;Times;serif" w:hAnsi="Times New Roman;Times;serif"/>
          <w:sz w:val="24"/>
        </w:rPr>
        <w:t>measures, such as those appearing in earnings releases), and any measure that is derived wholly or in part from such measure. Stock price</w:t>
      </w:r>
      <w:r>
        <w:rPr>
          <w:rFonts w:ascii="CG Times" w:hAnsi="CG Times"/>
          <w:sz w:val="24"/>
        </w:rPr>
        <w:t xml:space="preserve"> </w:t>
      </w:r>
      <w:r>
        <w:rPr>
          <w:rFonts w:ascii="Times New Roman;Times;serif" w:hAnsi="Times New Roman;Times;serif"/>
          <w:sz w:val="24"/>
        </w:rPr>
        <w:t>and total shareholder return</w:t>
      </w:r>
      <w:r>
        <w:rPr>
          <w:rFonts w:ascii="CG Times" w:hAnsi="CG Times"/>
          <w:sz w:val="24"/>
        </w:rPr>
        <w:t xml:space="preserve"> </w:t>
      </w:r>
      <w:r>
        <w:rPr>
          <w:rFonts w:ascii="Times New Roman;Times;serif" w:hAnsi="Times New Roman;Times;serif"/>
          <w:sz w:val="24"/>
        </w:rPr>
        <w:t>(“</w:t>
      </w:r>
      <w:r>
        <w:rPr>
          <w:rFonts w:ascii="Times New Roman;Times;serif" w:hAnsi="Times New Roman;Times;serif"/>
          <w:b/>
          <w:sz w:val="24"/>
        </w:rPr>
        <w:t>TSR</w:t>
      </w:r>
      <w:r>
        <w:rPr>
          <w:rFonts w:ascii="CG Times" w:hAnsi="CG Times"/>
          <w:sz w:val="24"/>
        </w:rPr>
        <w:t>”</w:t>
      </w:r>
      <w:r>
        <w:rPr>
          <w:rFonts w:ascii="Times New Roman;Times;serif" w:hAnsi="Times New Roman;Times;serif"/>
          <w:sz w:val="24"/>
        </w:rPr>
        <w:t>)</w:t>
      </w:r>
      <w:r>
        <w:rPr>
          <w:rFonts w:ascii="CG Times" w:hAnsi="CG Times"/>
          <w:sz w:val="24"/>
        </w:rPr>
        <w:t xml:space="preserve"> </w:t>
      </w:r>
      <w:r>
        <w:rPr>
          <w:rFonts w:ascii="Times New Roman;Times;serif" w:hAnsi="Times New Roman;Times;serif"/>
          <w:sz w:val="24"/>
        </w:rPr>
        <w:t>are Financial Reporting Measures.</w:t>
      </w:r>
      <w:r>
        <w:rPr>
          <w:rFonts w:ascii="CG Times" w:hAnsi="CG Times"/>
          <w:sz w:val="24"/>
        </w:rPr>
        <w:t xml:space="preserve">  </w:t>
      </w:r>
      <w:r>
        <w:rPr>
          <w:rFonts w:ascii="Times New Roman;Times;serif" w:hAnsi="Times New Roman;Times;serif"/>
          <w:sz w:val="24"/>
        </w:rPr>
        <w:t>Examples of additional</w:t>
      </w:r>
      <w:r>
        <w:rPr>
          <w:rFonts w:ascii="CG Times" w:hAnsi="CG Times"/>
          <w:sz w:val="24"/>
        </w:rPr>
        <w:t xml:space="preserve"> </w:t>
      </w:r>
      <w:r>
        <w:rPr>
          <w:rFonts w:ascii="Times New Roman;Times;serif" w:hAnsi="Times New Roman;Times;serif"/>
          <w:sz w:val="24"/>
        </w:rPr>
        <w:t>Financial</w:t>
      </w:r>
      <w:r>
        <w:rPr>
          <w:rFonts w:ascii="CG Times" w:hAnsi="CG Times"/>
          <w:sz w:val="24"/>
        </w:rPr>
        <w:t xml:space="preserve"> </w:t>
      </w:r>
      <w:r>
        <w:rPr>
          <w:rFonts w:ascii="Times New Roman;Times;serif" w:hAnsi="Times New Roman;Times;serif"/>
          <w:sz w:val="24"/>
        </w:rPr>
        <w:t>Reporting Measures include measures based on: revenues;</w:t>
      </w:r>
      <w:r>
        <w:rPr>
          <w:rFonts w:ascii="CG Times" w:hAnsi="CG Times"/>
          <w:sz w:val="24"/>
        </w:rPr>
        <w:t xml:space="preserve"> </w:t>
      </w:r>
      <w:r>
        <w:rPr>
          <w:rFonts w:ascii="Times New Roman;Times;serif" w:hAnsi="Times New Roman;Times;serif"/>
          <w:sz w:val="24"/>
        </w:rPr>
        <w:t>net income;</w:t>
      </w:r>
      <w:r>
        <w:rPr>
          <w:rFonts w:ascii="CG Times" w:hAnsi="CG Times"/>
          <w:sz w:val="24"/>
        </w:rPr>
        <w:t xml:space="preserve"> </w:t>
      </w:r>
      <w:r>
        <w:rPr>
          <w:rFonts w:ascii="Times New Roman;Times;serif" w:hAnsi="Times New Roman;Times;serif"/>
          <w:sz w:val="24"/>
        </w:rPr>
        <w:t>funds from operations; core funds from operations; adjusted funds from operations; pro forma earnings before interest, taxes, depreciation and amortization; same property net operating income; or</w:t>
      </w:r>
      <w:r>
        <w:rPr>
          <w:rFonts w:ascii="CG Times" w:hAnsi="CG Times"/>
          <w:sz w:val="24"/>
        </w:rPr>
        <w:t xml:space="preserve"> </w:t>
      </w:r>
      <w:r>
        <w:rPr>
          <w:rFonts w:ascii="Times New Roman;Times;serif" w:hAnsi="Times New Roman;Times;serif"/>
          <w:sz w:val="24"/>
        </w:rPr>
        <w:t>liquidity measures.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Impracticable”</w:t>
      </w:r>
      <w:r>
        <w:rPr>
          <w:rFonts w:ascii="CG Times" w:hAnsi="CG Times"/>
          <w:sz w:val="24"/>
        </w:rPr>
        <w:t xml:space="preserve"> </w:t>
      </w:r>
      <w:r>
        <w:rPr>
          <w:rFonts w:ascii="Times New Roman;Times;serif" w:hAnsi="Times New Roman;Times;serif"/>
          <w:sz w:val="24"/>
        </w:rPr>
        <w:t>means,</w:t>
      </w:r>
      <w:r>
        <w:rPr>
          <w:rFonts w:ascii="CG Times" w:hAnsi="CG Times"/>
          <w:sz w:val="24"/>
        </w:rPr>
        <w:t xml:space="preserve"> </w:t>
      </w:r>
      <w:r>
        <w:rPr>
          <w:rFonts w:ascii="Times New Roman;Times;serif" w:hAnsi="Times New Roman;Times;serif"/>
          <w:sz w:val="24"/>
        </w:rPr>
        <w:t>after exercising a</w:t>
      </w:r>
      <w:r>
        <w:rPr>
          <w:rFonts w:ascii="CG Times" w:hAnsi="CG Times"/>
          <w:sz w:val="24"/>
        </w:rPr>
        <w:t xml:space="preserve"> </w:t>
      </w:r>
      <w:r>
        <w:rPr>
          <w:rFonts w:ascii="Times New Roman;Times;serif" w:hAnsi="Times New Roman;Times;serif"/>
          <w:sz w:val="24"/>
        </w:rPr>
        <w:t>review of all the relevant facts and circumstances and taking all steps required by Exchange Act Rule 10D-1 and any applicable exchange listing standard, the Committee determines that recovery of the Incentive-Based Compensation is impracticable because: (i) it has determined that the direct expense that the Company would pay to a third party to assist in recovering the Incentive-Based Compensation would exceed the amount to be recovered; (ii) it has concluded that the recovery of the Incentive-Based Compensation would violate home country law adopted prior to November 28, 2022; or (iii) it has determined that the recovery of Incentive-Based Compensation would cause a tax-qualified retirement plan, under which benefits are broadly available to the Company’s employees, to fail to meet the requirements of 26 U.S.C. 401(a)(13) or 26 U.S.C. 411(a) and regulations thereunder.</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Incentive-Based Compensation</w:t>
      </w:r>
      <w:r>
        <w:rPr>
          <w:rFonts w:ascii="CG Times" w:hAnsi="CG Times"/>
          <w:sz w:val="24"/>
        </w:rPr>
        <w:t xml:space="preserve">” </w:t>
      </w:r>
      <w:r>
        <w:rPr>
          <w:rFonts w:ascii="Times New Roman;Times;serif" w:hAnsi="Times New Roman;Times;serif"/>
          <w:sz w:val="24"/>
        </w:rPr>
        <w:t>includes</w:t>
      </w:r>
      <w:r>
        <w:rPr>
          <w:rFonts w:ascii="CG Times" w:hAnsi="CG Times"/>
          <w:sz w:val="24"/>
        </w:rPr>
        <w:t xml:space="preserve"> </w:t>
      </w:r>
      <w:r>
        <w:rPr>
          <w:rFonts w:ascii="Times New Roman;Times;serif" w:hAnsi="Times New Roman;Times;serif"/>
          <w:sz w:val="24"/>
        </w:rPr>
        <w:t>any compensation that is</w:t>
      </w:r>
      <w:r>
        <w:rPr>
          <w:rFonts w:ascii="CG Times" w:hAnsi="CG Times"/>
          <w:sz w:val="24"/>
        </w:rPr>
        <w:t xml:space="preserve"> </w:t>
      </w:r>
      <w:r>
        <w:rPr>
          <w:rFonts w:ascii="Times New Roman;Times;serif" w:hAnsi="Times New Roman;Times;serif"/>
          <w:sz w:val="24"/>
        </w:rPr>
        <w:t>granted, earned, or vested based wholly or in part upon the attainment of a</w:t>
      </w:r>
      <w:r>
        <w:rPr>
          <w:rFonts w:ascii="CG Times" w:hAnsi="CG Times"/>
          <w:sz w:val="24"/>
        </w:rPr>
        <w:t xml:space="preserve"> </w:t>
      </w:r>
      <w:r>
        <w:rPr>
          <w:rFonts w:ascii="Times New Roman;Times;serif" w:hAnsi="Times New Roman;Times;serif"/>
          <w:sz w:val="24"/>
        </w:rPr>
        <w:t>Financial Reporting Measure; however, Incentive-Based Compensation</w:t>
      </w:r>
      <w:r>
        <w:rPr>
          <w:rFonts w:ascii="CG Times" w:hAnsi="CG Times"/>
          <w:sz w:val="24"/>
        </w:rPr>
        <w:t xml:space="preserve"> </w:t>
      </w:r>
      <w:r>
        <w:rPr>
          <w:rFonts w:ascii="Times New Roman;Times;serif" w:hAnsi="Times New Roman;Times;serif"/>
          <w:sz w:val="24"/>
        </w:rPr>
        <w:t>does not include: (i) base salaries; (ii)</w:t>
      </w:r>
      <w:r>
        <w:rPr>
          <w:rFonts w:ascii="CG Times" w:hAnsi="CG Times"/>
          <w:sz w:val="24"/>
        </w:rPr>
        <w:t xml:space="preserve"> </w:t>
      </w:r>
      <w:r>
        <w:rPr>
          <w:rFonts w:ascii="Times New Roman;Times;serif" w:hAnsi="Times New Roman;Times;serif"/>
          <w:sz w:val="24"/>
        </w:rPr>
        <w:t>discretionary cash bonuses; (iii) awards (either cash or equity) that are based upon subjective, strategic or operational standards;</w:t>
      </w:r>
      <w:r>
        <w:rPr>
          <w:rFonts w:ascii="CG Times" w:hAnsi="CG Times"/>
          <w:sz w:val="24"/>
        </w:rPr>
        <w:t xml:space="preserve"> </w:t>
      </w:r>
      <w:r>
        <w:rPr>
          <w:rFonts w:ascii="Times New Roman;Times;serif" w:hAnsi="Times New Roman;Times;serif"/>
          <w:sz w:val="24"/>
        </w:rPr>
        <w:t>and (iv) equity</w:t>
      </w:r>
      <w:r>
        <w:rPr>
          <w:rFonts w:ascii="CG Times" w:hAnsi="CG Times"/>
          <w:sz w:val="24"/>
        </w:rPr>
        <w:t xml:space="preserve"> </w:t>
      </w:r>
      <w:r>
        <w:rPr>
          <w:rFonts w:ascii="Times New Roman;Times;serif" w:hAnsi="Times New Roman;Times;serif"/>
          <w:sz w:val="24"/>
        </w:rPr>
        <w:t>awards that vest solely on the passage of time.</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Received</w:t>
      </w:r>
      <w:r>
        <w:rPr>
          <w:rFonts w:ascii="CG Times" w:hAnsi="CG Times"/>
          <w:sz w:val="24"/>
        </w:rPr>
        <w:t xml:space="preserve">” – </w:t>
      </w:r>
      <w:r>
        <w:rPr>
          <w:rFonts w:ascii="Times New Roman;Times;serif" w:hAnsi="Times New Roman;Times;serif"/>
          <w:sz w:val="24"/>
        </w:rPr>
        <w:t>Incentive-Based Compensation is deemed “Received” in any</w:t>
      </w:r>
      <w:r>
        <w:rPr>
          <w:rFonts w:ascii="CG Times" w:hAnsi="CG Times"/>
          <w:sz w:val="24"/>
        </w:rPr>
        <w:t xml:space="preserve"> </w:t>
      </w:r>
      <w:r>
        <w:rPr>
          <w:rFonts w:ascii="Times New Roman;Times;serif" w:hAnsi="Times New Roman;Times;serif"/>
          <w:sz w:val="24"/>
        </w:rPr>
        <w:t>Company fiscal</w:t>
      </w:r>
      <w:r>
        <w:rPr>
          <w:rFonts w:ascii="CG Times" w:hAnsi="CG Times"/>
          <w:sz w:val="24"/>
        </w:rPr>
        <w:t xml:space="preserve"> </w:t>
      </w:r>
      <w:r>
        <w:rPr>
          <w:rFonts w:ascii="Times New Roman;Times;serif" w:hAnsi="Times New Roman;Times;serif"/>
          <w:sz w:val="24"/>
        </w:rPr>
        <w:t>period during</w:t>
      </w:r>
      <w:r>
        <w:rPr>
          <w:rFonts w:ascii="CG Times" w:hAnsi="CG Times"/>
          <w:sz w:val="24"/>
        </w:rPr>
        <w:t xml:space="preserve"> </w:t>
      </w:r>
      <w:r>
        <w:rPr>
          <w:rFonts w:ascii="Times New Roman;Times;serif" w:hAnsi="Times New Roman;Times;serif"/>
          <w:sz w:val="24"/>
        </w:rPr>
        <w:t>which the Financial Reporting Measure</w:t>
      </w:r>
      <w:r>
        <w:rPr>
          <w:rFonts w:ascii="CG Times" w:hAnsi="CG Times"/>
          <w:sz w:val="24"/>
        </w:rPr>
        <w:t xml:space="preserve"> </w:t>
      </w:r>
      <w:r>
        <w:rPr>
          <w:rFonts w:ascii="Times New Roman;Times;serif" w:hAnsi="Times New Roman;Times;serif"/>
          <w:sz w:val="24"/>
        </w:rPr>
        <w:t>specified</w:t>
      </w:r>
      <w:r>
        <w:rPr>
          <w:rFonts w:ascii="CG Times" w:hAnsi="CG Times"/>
          <w:sz w:val="24"/>
        </w:rPr>
        <w:t xml:space="preserve"> </w:t>
      </w:r>
      <w:r>
        <w:rPr>
          <w:rFonts w:ascii="Times New Roman;Times;serif" w:hAnsi="Times New Roman;Times;serif"/>
          <w:sz w:val="24"/>
        </w:rPr>
        <w:t>in the Incentive-Based Compensation award is attained,</w:t>
      </w:r>
      <w:r>
        <w:rPr>
          <w:rFonts w:ascii="CG Times" w:hAnsi="CG Times"/>
          <w:sz w:val="24"/>
        </w:rPr>
        <w:t xml:space="preserve"> </w:t>
      </w:r>
      <w:r>
        <w:rPr>
          <w:rFonts w:ascii="Times New Roman;Times;serif" w:hAnsi="Times New Roman;Times;serif"/>
          <w:sz w:val="24"/>
        </w:rPr>
        <w:t>even if the payment or grant of the Incentive-Based Compensation occurs after the end of that period.</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Recoverable Compensation</w:t>
      </w:r>
      <w:r>
        <w:rPr>
          <w:rFonts w:ascii="CG Times" w:hAnsi="CG Times"/>
          <w:sz w:val="24"/>
        </w:rPr>
        <w:t xml:space="preserve">” </w:t>
      </w:r>
      <w:r>
        <w:rPr>
          <w:rFonts w:ascii="Times New Roman;Times;serif" w:hAnsi="Times New Roman;Times;serif"/>
          <w:sz w:val="24"/>
        </w:rPr>
        <w:t>means all</w:t>
      </w:r>
      <w:r>
        <w:rPr>
          <w:rFonts w:ascii="CG Times" w:hAnsi="CG Times"/>
          <w:sz w:val="24"/>
        </w:rPr>
        <w:t xml:space="preserve"> </w:t>
      </w:r>
      <w:r>
        <w:rPr>
          <w:rFonts w:ascii="Times New Roman;Times;serif" w:hAnsi="Times New Roman;Times;serif"/>
          <w:sz w:val="24"/>
        </w:rPr>
        <w:t>Incentive-Based</w:t>
      </w:r>
      <w:r>
        <w:rPr>
          <w:rFonts w:ascii="CG Times" w:hAnsi="CG Times"/>
          <w:sz w:val="24"/>
        </w:rPr>
        <w:t xml:space="preserve"> </w:t>
      </w:r>
      <w:r>
        <w:rPr>
          <w:rFonts w:ascii="Times New Roman;Times;serif" w:hAnsi="Times New Roman;Times;serif"/>
          <w:sz w:val="24"/>
        </w:rPr>
        <w:t>Compensation (calculated on a pre-tax basis) Received after October 2, 2023 by a person: (i) after beginning service as an Executive Officer; (ii) who served as an Executive Officer at any time during the performance period for that Incentive-Based Compensation; (iii) while the Company had a class of securities listed on a national securities exchange or national securities association; and (iv) during the Applicable Period, that exceeded the amount of Incentive-Based Compensation that otherwise would have been Received had the amount</w:t>
      </w:r>
      <w:r>
        <w:rPr>
          <w:rFonts w:ascii="CG Times" w:hAnsi="CG Times"/>
          <w:sz w:val="24"/>
        </w:rPr>
        <w:t xml:space="preserve"> </w:t>
      </w:r>
      <w:r>
        <w:rPr>
          <w:rFonts w:ascii="Times New Roman;Times;serif" w:hAnsi="Times New Roman;Times;serif"/>
          <w:sz w:val="24"/>
        </w:rPr>
        <w:t>been determined based on the</w:t>
      </w:r>
      <w:r>
        <w:rPr>
          <w:rFonts w:ascii="CG Times" w:hAnsi="CG Times"/>
          <w:sz w:val="24"/>
        </w:rPr>
        <w:t xml:space="preserve"> </w:t>
      </w:r>
      <w:r>
        <w:rPr>
          <w:rFonts w:ascii="Times New Roman;Times;serif" w:hAnsi="Times New Roman;Times;serif"/>
          <w:sz w:val="24"/>
        </w:rPr>
        <w:t>Financial Reporting Measures, as reflected in the Restatement. With respect to Incentive-Based Compensation based on stock price or TSR, when</w:t>
      </w:r>
      <w:r>
        <w:rPr>
          <w:rFonts w:ascii="CG Times" w:hAnsi="CG Times"/>
          <w:sz w:val="24"/>
        </w:rPr>
        <w:t xml:space="preserve"> </w:t>
      </w:r>
      <w:r>
        <w:rPr>
          <w:rFonts w:ascii="Times New Roman;Times;serif" w:hAnsi="Times New Roman;Times;serif"/>
          <w:sz w:val="24"/>
        </w:rPr>
        <w:t>the</w:t>
      </w:r>
      <w:r>
        <w:rPr>
          <w:rFonts w:ascii="CG Times" w:hAnsi="CG Times"/>
          <w:sz w:val="24"/>
        </w:rPr>
        <w:t xml:space="preserve"> </w:t>
      </w:r>
      <w:r>
        <w:rPr>
          <w:rFonts w:ascii="Times New Roman;Times;serif" w:hAnsi="Times New Roman;Times;serif"/>
          <w:sz w:val="24"/>
        </w:rPr>
        <w:t>amount of erroneously awarded compensation is not subject to mathematical</w:t>
      </w:r>
      <w:r>
        <w:rPr>
          <w:rFonts w:ascii="CG Times" w:hAnsi="CG Times"/>
          <w:sz w:val="24"/>
        </w:rPr>
        <w:t xml:space="preserve"> </w:t>
      </w:r>
      <w:r>
        <w:rPr>
          <w:rFonts w:ascii="Times New Roman;Times;serif" w:hAnsi="Times New Roman;Times;serif"/>
          <w:sz w:val="24"/>
        </w:rPr>
        <w:t>recalculation directly from the information in a Restatement, the</w:t>
      </w:r>
      <w:r>
        <w:rPr>
          <w:rFonts w:ascii="CG Times" w:hAnsi="CG Times"/>
          <w:sz w:val="24"/>
        </w:rPr>
        <w:t xml:space="preserve"> </w:t>
      </w:r>
      <w:r>
        <w:rPr>
          <w:rFonts w:ascii="Times New Roman;Times;serif" w:hAnsi="Times New Roman;Times;serif"/>
          <w:sz w:val="24"/>
        </w:rPr>
        <w:t>amount</w:t>
      </w:r>
      <w:r>
        <w:rPr>
          <w:rFonts w:ascii="CG Times" w:hAnsi="CG Times"/>
          <w:sz w:val="24"/>
        </w:rPr>
        <w:t xml:space="preserve"> </w:t>
      </w:r>
      <w:r>
        <w:rPr>
          <w:rFonts w:ascii="Times New Roman;Times;serif" w:hAnsi="Times New Roman;Times;serif"/>
          <w:sz w:val="24"/>
        </w:rPr>
        <w:t>of Incentive-Based Compensation determined to have been erroneously awarded must be based on a reasonable estimate of the effect of the Restatement on the</w:t>
      </w:r>
      <w:r>
        <w:rPr>
          <w:rFonts w:ascii="CG Times" w:hAnsi="CG Times"/>
          <w:sz w:val="24"/>
        </w:rPr>
        <w:t xml:space="preserve"> </w:t>
      </w:r>
      <w:r>
        <w:rPr>
          <w:rFonts w:ascii="Times New Roman;Times;serif" w:hAnsi="Times New Roman;Times;serif"/>
          <w:sz w:val="24"/>
        </w:rPr>
        <w:t>stock price or TSR upon which the Incentive-Based compensation was received.</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Restatement</w:t>
      </w:r>
      <w:r>
        <w:rPr>
          <w:rFonts w:ascii="CG Times" w:hAnsi="CG Times"/>
          <w:sz w:val="24"/>
        </w:rPr>
        <w:t xml:space="preserve">” </w:t>
      </w:r>
      <w:r>
        <w:rPr>
          <w:rFonts w:ascii="Times New Roman;Times;serif" w:hAnsi="Times New Roman;Times;serif"/>
          <w:sz w:val="24"/>
        </w:rPr>
        <w:t>means an accounting restatement of any of the Company’s financial statements due to the Company’s material noncompliance</w:t>
      </w:r>
      <w:r>
        <w:rPr>
          <w:rFonts w:ascii="CG Times" w:hAnsi="CG Times"/>
          <w:sz w:val="24"/>
        </w:rPr>
        <w:t xml:space="preserve"> </w:t>
      </w:r>
      <w:r>
        <w:rPr>
          <w:rFonts w:ascii="Times New Roman;Times;serif" w:hAnsi="Times New Roman;Times;serif"/>
          <w:sz w:val="24"/>
        </w:rPr>
        <w:t>with any financial reporting requirement under U.S. securities laws, including any required accounting restatement to correct an error in previously issued financial statements that is material to the previously issued financial statements</w:t>
      </w:r>
      <w:r>
        <w:rPr>
          <w:rFonts w:ascii="CG Times" w:hAnsi="CG Times"/>
          <w:sz w:val="24"/>
        </w:rPr>
        <w:t xml:space="preserve"> </w:t>
      </w:r>
      <w:r>
        <w:rPr>
          <w:rFonts w:ascii="Times New Roman;Times;serif" w:hAnsi="Times New Roman;Times;serif"/>
          <w:sz w:val="24"/>
        </w:rPr>
        <w:t xml:space="preserve">(often referred to as a </w:t>
      </w:r>
      <w:r>
        <w:rPr>
          <w:rFonts w:ascii="CG Times" w:hAnsi="CG Times"/>
          <w:sz w:val="24"/>
        </w:rPr>
        <w:t>“</w:t>
      </w:r>
      <w:r>
        <w:rPr>
          <w:rFonts w:ascii="Times New Roman;Times;serif" w:hAnsi="Times New Roman;Times;serif"/>
          <w:sz w:val="24"/>
        </w:rPr>
        <w:t>Big R” restatement), or that would result in a material misstatement if the error were corrected in the current period or left uncorrected in the current period</w:t>
      </w:r>
      <w:r>
        <w:rPr>
          <w:rFonts w:ascii="CG Times" w:hAnsi="CG Times"/>
          <w:sz w:val="24"/>
        </w:rPr>
        <w:t xml:space="preserve"> </w:t>
      </w:r>
      <w:r>
        <w:rPr>
          <w:rFonts w:ascii="Times New Roman;Times;serif" w:hAnsi="Times New Roman;Times;serif"/>
          <w:sz w:val="24"/>
        </w:rPr>
        <w:t>(often</w:t>
      </w:r>
      <w:r>
        <w:rPr>
          <w:rFonts w:ascii="CG Times" w:hAnsi="CG Times"/>
          <w:sz w:val="24"/>
        </w:rPr>
        <w:t xml:space="preserve"> </w:t>
      </w:r>
      <w:r>
        <w:rPr>
          <w:rFonts w:ascii="Times New Roman;Times;serif" w:hAnsi="Times New Roman;Times;serif"/>
          <w:sz w:val="24"/>
        </w:rPr>
        <w:t xml:space="preserve">referred to as a </w:t>
      </w:r>
      <w:r>
        <w:rPr>
          <w:rFonts w:ascii="CG Times" w:hAnsi="CG Times"/>
          <w:sz w:val="24"/>
        </w:rPr>
        <w:t>“</w:t>
      </w:r>
      <w:r>
        <w:rPr>
          <w:rFonts w:ascii="Times New Roman;Times;serif" w:hAnsi="Times New Roman;Times;serif"/>
          <w:sz w:val="24"/>
        </w:rPr>
        <w:t xml:space="preserve">little r” restatement).  As of the effective date of this Policy (but subject to changes that may occur in accounting principles and rules following the effective date), a Restatement does not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CG Times" w:hAnsi="CG Times"/>
          <w:sz w:val="24"/>
        </w:rPr>
      </w:pPr>
      <w:r>
        <w:rPr>
          <w:rFonts w:ascii="Times New Roman;Times;serif" w:hAnsi="Times New Roman;Times;serif"/>
          <w:sz w:val="24"/>
        </w:rPr>
        <w:t>include situations in which financial statement changes did not result from material non-compliance</w:t>
      </w:r>
      <w:r>
        <w:rPr>
          <w:rFonts w:ascii="CG Times" w:hAnsi="CG Times"/>
          <w:sz w:val="24"/>
        </w:rPr>
        <w:t xml:space="preserve"> </w:t>
      </w:r>
      <w:r>
        <w:rPr>
          <w:rFonts w:ascii="Times New Roman;Times;serif" w:hAnsi="Times New Roman;Times;serif"/>
          <w:sz w:val="24"/>
        </w:rPr>
        <w:t>with financial reporting requirements, such as, but not limited to</w:t>
      </w:r>
      <w:r>
        <w:rPr>
          <w:rFonts w:ascii="CG Times" w:hAnsi="CG Times"/>
          <w:sz w:val="24"/>
        </w:rPr>
        <w:t xml:space="preserve"> </w:t>
      </w:r>
      <w:r>
        <w:rPr>
          <w:rFonts w:ascii="Times New Roman;Times;serif" w:hAnsi="Times New Roman;Times;serif"/>
          <w:sz w:val="24"/>
        </w:rPr>
        <w:t>retrospective: (i) application of</w:t>
      </w:r>
      <w:r>
        <w:rPr>
          <w:rFonts w:ascii="CG Times" w:hAnsi="CG Times"/>
          <w:sz w:val="24"/>
        </w:rPr>
        <w:t xml:space="preserve"> </w:t>
      </w:r>
      <w:r>
        <w:rPr>
          <w:rFonts w:ascii="Times New Roman;Times;serif" w:hAnsi="Times New Roman;Times;serif"/>
          <w:sz w:val="24"/>
        </w:rPr>
        <w:t>a change in accounting principles; (ii) revision to reportable segment information due to a change</w:t>
      </w:r>
      <w:r>
        <w:rPr>
          <w:rFonts w:ascii="CG Times" w:hAnsi="CG Times"/>
          <w:sz w:val="24"/>
        </w:rPr>
        <w:t xml:space="preserve"> </w:t>
      </w:r>
      <w:r>
        <w:rPr>
          <w:rFonts w:ascii="Times New Roman;Times;serif" w:hAnsi="Times New Roman;Times;serif"/>
          <w:sz w:val="24"/>
        </w:rPr>
        <w:t>in the structure of the Company’s internal organization; (iii) reclassification due to a discontinued</w:t>
      </w:r>
      <w:r>
        <w:rPr>
          <w:rFonts w:ascii="CG Times" w:hAnsi="CG Times"/>
          <w:sz w:val="24"/>
        </w:rPr>
        <w:t xml:space="preserve"> </w:t>
      </w:r>
      <w:r>
        <w:rPr>
          <w:rFonts w:ascii="Times New Roman;Times;serif" w:hAnsi="Times New Roman;Times;serif"/>
          <w:sz w:val="24"/>
        </w:rPr>
        <w:t>operation; (iv) application of a change in reporting entity, such as from a reorganization of entities</w:t>
      </w:r>
      <w:r>
        <w:rPr>
          <w:rFonts w:ascii="CG Times" w:hAnsi="CG Times"/>
          <w:sz w:val="24"/>
        </w:rPr>
        <w:t xml:space="preserve"> </w:t>
      </w:r>
      <w:r>
        <w:rPr>
          <w:rFonts w:ascii="Times New Roman;Times;serif" w:hAnsi="Times New Roman;Times;serif"/>
          <w:sz w:val="24"/>
        </w:rPr>
        <w:t>under common control; (v) adjustment to provision amounts in connection with a prior business</w:t>
      </w:r>
      <w:r>
        <w:rPr>
          <w:rFonts w:ascii="CG Times" w:hAnsi="CG Times"/>
          <w:sz w:val="24"/>
        </w:rPr>
        <w:t xml:space="preserve"> </w:t>
      </w:r>
      <w:r>
        <w:rPr>
          <w:rFonts w:ascii="Times New Roman;Times;serif" w:hAnsi="Times New Roman;Times;serif"/>
          <w:sz w:val="24"/>
        </w:rPr>
        <w:t>combination; and (vi) revision for stock splits,</w:t>
      </w:r>
      <w:r>
        <w:rPr>
          <w:rFonts w:ascii="CG Times" w:hAnsi="CG Times"/>
          <w:sz w:val="24"/>
        </w:rPr>
        <w:t xml:space="preserve"> </w:t>
      </w:r>
      <w:r>
        <w:rPr>
          <w:rFonts w:ascii="Times New Roman;Times;serif" w:hAnsi="Times New Roman;Times;serif"/>
          <w:sz w:val="24"/>
        </w:rPr>
        <w:t>stock dividends, reverse stock splits or other changes in capital structure.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Adopted: October 17, 2023</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Last Amended: n/a</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Last Reviewed: January 31, 2024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ItalicMT">
    <w:charset w:val="01"/>
    <w:family w:val="auto"/>
    <w:pitch w:val="default"/>
  </w:font>
  <w:font w:name="CG 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6117/000155837019011294/ex-3d1.htm" TargetMode="External"/><Relationship Id="rId3" Type="http://schemas.openxmlformats.org/officeDocument/2006/relationships/hyperlink" Target="https://www.sec.gov/Archives/edgar/data/1786117/000155837023000881/pine-20230201xex3d1.htm" TargetMode="External"/><Relationship Id="rId4" Type="http://schemas.openxmlformats.org/officeDocument/2006/relationships/hyperlink" Target="https://www.sec.gov/Archives/edgar/data/1786117/000155837023001074/pine-20221231xex4d1.htm" TargetMode="External"/><Relationship Id="rId5" Type="http://schemas.openxmlformats.org/officeDocument/2006/relationships/hyperlink" Target="https://www.sec.gov/Archives/edgar/data/1786117/000119312519277917/d793798dex41.htm" TargetMode="External"/><Relationship Id="rId6" Type="http://schemas.openxmlformats.org/officeDocument/2006/relationships/hyperlink" Target="https://www.sec.gov/Archives/edgar/data/1786117/000155837019011294/ex-10d1.htm" TargetMode="External"/><Relationship Id="rId7" Type="http://schemas.openxmlformats.org/officeDocument/2006/relationships/hyperlink" Target="https://www.sec.gov/Archives/edgar/data/1786117/000155837019011294/ex-10d2.htm" TargetMode="External"/><Relationship Id="rId8" Type="http://schemas.openxmlformats.org/officeDocument/2006/relationships/hyperlink" Target="https://www.sec.gov/Archives/edgar/data/1786117/000155837019011294/ex-10d3.htm" TargetMode="External"/><Relationship Id="rId9" Type="http://schemas.openxmlformats.org/officeDocument/2006/relationships/hyperlink" Target="https://www.sec.gov/Archives/edgar/data/1786117/000155837019011294/ex-10d4.htm" TargetMode="External"/><Relationship Id="rId10" Type="http://schemas.openxmlformats.org/officeDocument/2006/relationships/hyperlink" Target="https://www.sec.gov/Archives/edgar/data/1786117/000155837019011294/ex-10d5.htm" TargetMode="External"/><Relationship Id="rId11" Type="http://schemas.openxmlformats.org/officeDocument/2006/relationships/hyperlink" Target="https://www.sec.gov/Archives/edgar/data/1786117/000155837019011294/ex-10d6.htm" TargetMode="External"/><Relationship Id="rId12" Type="http://schemas.openxmlformats.org/officeDocument/2006/relationships/hyperlink" Target="https://www.sec.gov/Archives/edgar/data/1786117/000155837019011294/ex-10d8.htm" TargetMode="External"/><Relationship Id="rId13" Type="http://schemas.openxmlformats.org/officeDocument/2006/relationships/hyperlink" Target="https://www.sec.gov/Archives/edgar/data/1786117/000155837019011294/ex-10d10.htm" TargetMode="External"/><Relationship Id="rId14" Type="http://schemas.openxmlformats.org/officeDocument/2006/relationships/hyperlink" Target="https://www.sec.gov/Archives/edgar/data/1786117/000155837019011294/ex-10d11.htm" TargetMode="External"/><Relationship Id="rId15" Type="http://schemas.openxmlformats.org/officeDocument/2006/relationships/hyperlink" Target="https://www.sec.gov/Archives/edgar/data/1786117/000155837019011294/ex-10d12.htm" TargetMode="External"/><Relationship Id="rId16" Type="http://schemas.openxmlformats.org/officeDocument/2006/relationships/hyperlink" Target="https://www.sec.gov/Archives/edgar/data/1786117/000155837019011294/ex-10d13.htm" TargetMode="External"/><Relationship Id="rId17" Type="http://schemas.openxmlformats.org/officeDocument/2006/relationships/hyperlink" Target="https://www.sec.gov/Archives/edgar/data/1786117/000155837019011294/ex-10d14.htm" TargetMode="External"/><Relationship Id="rId18" Type="http://schemas.openxmlformats.org/officeDocument/2006/relationships/hyperlink" Target="https://www.sec.gov/Archives/edgar/data/1786117/000155837019011294/ex-10d15.htm" TargetMode="External"/><Relationship Id="rId19" Type="http://schemas.openxmlformats.org/officeDocument/2006/relationships/hyperlink" Target="https://www.sec.gov/Archives/edgar/data/1786117/000155837021000918/tmb-20210210xex10d1.htm" TargetMode="External"/><Relationship Id="rId20" Type="http://schemas.openxmlformats.org/officeDocument/2006/relationships/hyperlink" Target="https://www.sec.gov/Archives/edgar/data/1786117/000119312519300042/d839902dex101.htm" TargetMode="External"/><Relationship Id="rId21" Type="http://schemas.openxmlformats.org/officeDocument/2006/relationships/hyperlink" Target="https://www.sec.gov/Archives/edgar/data/1786117/000155837019011294/ex-10d17.htm" TargetMode="External"/><Relationship Id="rId22" Type="http://schemas.openxmlformats.org/officeDocument/2006/relationships/hyperlink" Target="https://www.sec.gov/Archives/edgar/data/1786117/000119312519287435/d793798dex1011.htm" TargetMode="External"/><Relationship Id="rId23" Type="http://schemas.openxmlformats.org/officeDocument/2006/relationships/hyperlink" Target="https://www.sec.gov/Archives/edgar/data/1786117/000155837021007720/tmb-20210519xex10d2.htm" TargetMode="External"/><Relationship Id="rId24" Type="http://schemas.openxmlformats.org/officeDocument/2006/relationships/hyperlink" Target="https://www.sec.gov/Archives/edgar/data/1786117/000155837022005535/pine-20220414xex10d2.htm" TargetMode="External"/><Relationship Id="rId25" Type="http://schemas.openxmlformats.org/officeDocument/2006/relationships/hyperlink" Target="https://www.sec.gov/Archives/edgar/data/1786117/000155837022014891/pine-20220930xex10d1.htm" TargetMode="External"/><Relationship Id="rId26" Type="http://schemas.openxmlformats.org/officeDocument/2006/relationships/hyperlink" Target="https://www.sec.gov/Archives/edgar/data/1786117/000155837022015143/pine-20220930xex10d2.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65225</Words>
  <Characters>351491</Characters>
  <CharactersWithSpaces>417689</CharactersWithSpaces>
  <Paragraphs>9195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