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5" w:lineRule="exact"/>
        <w:rPr>
          <w:sz w:val="24"/>
          <w:szCs w:val="24"/>
          <w:color w:val="auto"/>
        </w:rPr>
      </w:pPr>
    </w:p>
    <w:p>
      <w:pPr>
        <w:ind w:left="3140" w:right="1419" w:hanging="3090"/>
        <w:spacing w:after="0" w:line="289" w:lineRule="auto"/>
        <w:tabs>
          <w:tab w:leader="none" w:pos="56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17" w:lineRule="exact"/>
        <w:rPr>
          <w:sz w:val="24"/>
          <w:szCs w:val="24"/>
          <w:color w:val="auto"/>
        </w:rPr>
      </w:pPr>
    </w:p>
    <w:p>
      <w:pPr>
        <w:ind w:left="580" w:hanging="530"/>
        <w:spacing w:after="0"/>
        <w:tabs>
          <w:tab w:leader="none" w:pos="5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3160"/>
        <w:spacing w:after="0"/>
        <w:tabs>
          <w:tab w:leader="none" w:pos="53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3206750</wp:posOffset>
            </wp:positionH>
            <wp:positionV relativeFrom="paragraph">
              <wp:posOffset>-1270</wp:posOffset>
            </wp:positionV>
            <wp:extent cx="509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83820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ALPINE INCOME PROPERTY TRUST,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Maryland</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84-2769895</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4"/>
          </w:tcPr>
          <w:p>
            <w:pPr>
              <w:jc w:val="center"/>
              <w:ind w:left="6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4"/>
              </w:rPr>
              <w:t>incorporation or organization)</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3"/>
              </w:rPr>
              <w:t>1140 N. Williamson Blvd., Suite 140</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32114</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3"/>
              </w:rPr>
              <w:t>Daytona Beach, Florida</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200" w:type="dxa"/>
            <w:vAlign w:val="bottom"/>
            <w:gridSpan w:val="6"/>
          </w:tcPr>
          <w:p>
            <w:pPr>
              <w:jc w:val="center"/>
              <w:ind w:right="40"/>
              <w:spacing w:after="0" w:line="151"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(386) 274-2202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gridSpan w:val="3"/>
          </w:tcPr>
          <w:p>
            <w:pPr>
              <w:spacing w:after="0"/>
              <w:rPr>
                <w:sz w:val="9"/>
                <w:szCs w:val="9"/>
                <w:color w:val="auto"/>
              </w:rPr>
            </w:pPr>
          </w:p>
        </w:tc>
        <w:tc>
          <w:tcPr>
            <w:tcW w:w="2220" w:type="dxa"/>
            <w:vAlign w:val="bottom"/>
            <w:tcBorders>
              <w:bottom w:val="single" w:sz="8" w:color="auto"/>
            </w:tcBorders>
            <w:gridSpan w:val="2"/>
          </w:tcPr>
          <w:p>
            <w:pPr>
              <w:spacing w:after="0"/>
              <w:rPr>
                <w:sz w:val="9"/>
                <w:szCs w:val="9"/>
                <w:color w:val="auto"/>
              </w:rPr>
            </w:pPr>
          </w:p>
        </w:tc>
        <w:tc>
          <w:tcPr>
            <w:tcW w:w="1700" w:type="dxa"/>
            <w:vAlign w:val="bottom"/>
            <w:gridSpan w:val="3"/>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40" w:type="dxa"/>
            <w:vAlign w:val="bottom"/>
            <w:gridSpan w:val="8"/>
          </w:tcPr>
          <w:p>
            <w:pPr>
              <w:jc w:val="center"/>
              <w:ind w:left="154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60" w:type="dxa"/>
            <w:vAlign w:val="bottom"/>
            <w:gridSpan w:val="4"/>
            <w:vMerge w:val="restart"/>
          </w:tcPr>
          <w:p>
            <w:pPr>
              <w:jc w:val="center"/>
              <w:ind w:right="860"/>
              <w:spacing w:after="0"/>
              <w:rPr>
                <w:sz w:val="20"/>
                <w:szCs w:val="20"/>
                <w:color w:val="auto"/>
              </w:rPr>
            </w:pPr>
            <w:r>
              <w:rPr>
                <w:rFonts w:ascii="Arial" w:cs="Arial" w:eastAsia="Arial" w:hAnsi="Arial"/>
                <w:sz w:val="14"/>
                <w:szCs w:val="14"/>
                <w:b w:val="1"/>
                <w:bCs w:val="1"/>
                <w:color w:val="auto"/>
                <w:w w:val="89"/>
              </w:rPr>
              <w:t>Title of each class</w:t>
            </w:r>
          </w:p>
        </w:tc>
        <w:tc>
          <w:tcPr>
            <w:tcW w:w="238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4"/>
              </w:rPr>
              <w:t>Trading Symbol</w:t>
            </w:r>
          </w:p>
        </w:tc>
        <w:tc>
          <w:tcPr>
            <w:tcW w:w="2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gridSpan w:val="4"/>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28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COMMON STOCK, $0.01 PAR VALUE</w:t>
            </w: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PINE</w:t>
            </w:r>
          </w:p>
        </w:tc>
        <w:tc>
          <w:tcPr>
            <w:tcW w:w="1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ind w:left="20"/>
              <w:spacing w:after="0" w:line="160" w:lineRule="exact"/>
              <w:rPr>
                <w:sz w:val="20"/>
                <w:szCs w:val="20"/>
                <w:color w:val="auto"/>
              </w:rPr>
            </w:pPr>
            <w:r>
              <w:rPr>
                <w:rFonts w:ascii="Arial" w:cs="Arial" w:eastAsia="Arial" w:hAnsi="Arial"/>
                <w:sz w:val="14"/>
                <w:szCs w:val="14"/>
                <w:b w:val="1"/>
                <w:bCs w:val="1"/>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8"/>
          </w:tcPr>
          <w:p>
            <w:pPr>
              <w:jc w:val="center"/>
              <w:ind w:left="1548"/>
              <w:spacing w:after="0" w:line="149" w:lineRule="exact"/>
              <w:rPr>
                <w:sz w:val="20"/>
                <w:szCs w:val="20"/>
                <w:color w:val="auto"/>
              </w:rPr>
            </w:pPr>
            <w:r>
              <w:rPr>
                <w:rFonts w:ascii="Arial" w:cs="Arial" w:eastAsia="Arial" w:hAnsi="Arial"/>
                <w:sz w:val="14"/>
                <w:szCs w:val="14"/>
                <w:b w:val="1"/>
                <w:bCs w:val="1"/>
                <w:color w:val="auto"/>
              </w:rPr>
              <w:t>SECURITIES REGISTERED PURSUANT TO SECTION 12(g) OF THE ACT:</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NONE</w:t>
            </w: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3340" w:type="dxa"/>
            <w:vAlign w:val="bottom"/>
            <w:gridSpan w:val="4"/>
          </w:tcPr>
          <w:p>
            <w:pPr>
              <w:spacing w:after="0"/>
              <w:rPr>
                <w:sz w:val="9"/>
                <w:szCs w:val="9"/>
                <w:color w:val="auto"/>
              </w:rPr>
            </w:pPr>
          </w:p>
        </w:tc>
        <w:tc>
          <w:tcPr>
            <w:tcW w:w="2220" w:type="dxa"/>
            <w:vAlign w:val="bottom"/>
            <w:tcBorders>
              <w:bottom w:val="single" w:sz="8" w:color="auto"/>
            </w:tcBorders>
            <w:gridSpan w:val="2"/>
          </w:tcPr>
          <w:p>
            <w:pPr>
              <w:spacing w:after="0"/>
              <w:rPr>
                <w:sz w:val="9"/>
                <w:szCs w:val="9"/>
                <w:color w:val="auto"/>
              </w:rPr>
            </w:pPr>
          </w:p>
        </w:tc>
        <w:tc>
          <w:tcPr>
            <w:tcW w:w="1700" w:type="dxa"/>
            <w:vAlign w:val="bottom"/>
            <w:gridSpan w:val="3"/>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260" w:type="dxa"/>
            <w:vAlign w:val="bottom"/>
            <w:gridSpan w:val="9"/>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16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5"/>
        </w:trPr>
        <w:tc>
          <w:tcPr>
            <w:tcW w:w="726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164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left="60" w:right="59"/>
        <w:spacing w:after="0" w:line="15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jc w:val="both"/>
        <w:ind w:left="60" w:right="79"/>
        <w:spacing w:after="0" w:line="15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jc w:val="both"/>
        <w:ind w:left="60" w:right="59"/>
        <w:spacing w:after="0" w:line="2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ind w:left="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240"/>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both"/>
        <w:ind w:right="79" w:hanging="1"/>
        <w:spacing w:after="0" w:line="157"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1" w:lineRule="exact"/>
        <w:rPr>
          <w:sz w:val="24"/>
          <w:szCs w:val="24"/>
          <w:color w:val="auto"/>
        </w:rPr>
      </w:pPr>
    </w:p>
    <w:p>
      <w:pPr>
        <w:sectPr>
          <w:pgSz w:w="11900" w:h="16838" w:orient="portrait"/>
          <w:cols w:equalWidth="0" w:num="4">
            <w:col w:w="1740" w:space="720"/>
            <w:col w:w="1360" w:space="720"/>
            <w:col w:w="1940" w:space="720"/>
            <w:col w:w="1819"/>
          </w:cols>
          <w:pgMar w:left="1440" w:top="665" w:right="1440" w:bottom="1440" w:gutter="0" w:footer="0" w:header="0"/>
          <w:type w:val="continuous"/>
        </w:sectPr>
      </w:pPr>
    </w:p>
    <w:p>
      <w:pPr>
        <w:ind w:left="60" w:right="119"/>
        <w:spacing w:after="0" w:line="15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 w:right="59"/>
        <w:spacing w:after="0" w:line="255"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prepared or issued its audit report. </w:t>
      </w:r>
      <w:r>
        <w:rPr>
          <w:rFonts w:ascii="MS PGothic" w:cs="MS PGothic" w:eastAsia="MS PGothic" w:hAnsi="MS PGothic"/>
          <w:sz w:val="14"/>
          <w:szCs w:val="14"/>
          <w:color w:val="auto"/>
        </w:rPr>
        <w:t>☐</w:t>
      </w:r>
    </w:p>
    <w:p>
      <w:pPr>
        <w:spacing w:after="0" w:line="21" w:lineRule="exact"/>
        <w:rPr>
          <w:sz w:val="24"/>
          <w:szCs w:val="24"/>
          <w:color w:val="auto"/>
        </w:rPr>
      </w:pPr>
    </w:p>
    <w:p>
      <w:pPr>
        <w:ind w:left="60"/>
        <w:spacing w:after="0" w:line="161"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jc w:val="both"/>
        <w:ind w:left="60" w:right="59"/>
        <w:spacing w:after="0" w:line="227" w:lineRule="auto"/>
        <w:rPr>
          <w:sz w:val="20"/>
          <w:szCs w:val="20"/>
          <w:color w:val="auto"/>
        </w:rPr>
      </w:pPr>
      <w:r>
        <w:rPr>
          <w:rFonts w:ascii="Arial" w:cs="Arial" w:eastAsia="Arial" w:hAnsi="Arial"/>
          <w:sz w:val="14"/>
          <w:szCs w:val="14"/>
          <w:color w:val="auto"/>
        </w:rPr>
        <w:t>On June 30, 2021, the last business day of the Registrant’s most recently completed second fiscal quarter, the aggregate market value of the Registrant’s common stock held by non-affiliates of the Registrant was $198,412,475 based on the closing sales price of the Registrant’s common stock on such date 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 officers, directors or 10% beneficial owners are, in fact, affiliates of the Registrant.</w:t>
      </w:r>
    </w:p>
    <w:p>
      <w:pPr>
        <w:spacing w:after="0" w:line="3" w:lineRule="exact"/>
        <w:rPr>
          <w:sz w:val="24"/>
          <w:szCs w:val="24"/>
          <w:color w:val="auto"/>
        </w:rPr>
      </w:pPr>
    </w:p>
    <w:p>
      <w:pPr>
        <w:jc w:val="right"/>
        <w:ind w:left="60" w:right="2859"/>
        <w:spacing w:after="0" w:line="276" w:lineRule="auto"/>
        <w:rPr>
          <w:sz w:val="20"/>
          <w:szCs w:val="20"/>
          <w:color w:val="auto"/>
        </w:rPr>
      </w:pPr>
      <w:r>
        <w:rPr>
          <w:rFonts w:ascii="Arial" w:cs="Arial" w:eastAsia="Arial" w:hAnsi="Arial"/>
          <w:sz w:val="14"/>
          <w:szCs w:val="14"/>
          <w:color w:val="auto"/>
        </w:rPr>
        <w:t xml:space="preserve">The number of shares of the registrant’s common stock outstanding on February 3, 2022 was 11,671,039.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ind w:left="60" w:right="79" w:firstLine="324"/>
        <w:spacing w:after="0" w:line="290" w:lineRule="auto"/>
        <w:rPr>
          <w:sz w:val="20"/>
          <w:szCs w:val="20"/>
          <w:color w:val="auto"/>
        </w:rPr>
      </w:pPr>
      <w:r>
        <w:rPr>
          <w:rFonts w:ascii="Arial" w:cs="Arial" w:eastAsia="Arial" w:hAnsi="Arial"/>
          <w:sz w:val="13"/>
          <w:szCs w:val="13"/>
          <w:color w:val="auto"/>
        </w:rPr>
        <w:t>Portions of the registrant’s Proxy Statement for the 2022 Annual Meeting of Stockholders, which will be filed with the Securities and Exchange Commission within 120 days after the end of the registrant’s fiscal year ended December 31, 2021,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442595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39370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8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320" w:type="dxa"/>
            <w:vAlign w:val="bottom"/>
            <w:vMerge w:val="restart"/>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 #</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060" w:type="dxa"/>
            <w:vAlign w:val="bottom"/>
            <w:gridSpan w:val="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4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RISK FACTORS</w:t>
              </w:r>
            </w:hyperlink>
          </w:p>
        </w:tc>
        <w:tc>
          <w:tcPr>
            <w:tcW w:w="1820" w:type="dxa"/>
            <w:vAlign w:val="bottom"/>
            <w:gridSpan w:val="4"/>
          </w:tcPr>
          <w:p>
            <w:pPr>
              <w:spacing w:after="0"/>
              <w:rPr>
                <w:sz w:val="17"/>
                <w:szCs w:val="17"/>
                <w:color w:val="auto"/>
              </w:rPr>
            </w:pP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1B.</w:t>
              </w:r>
            </w:hyperlink>
          </w:p>
        </w:tc>
        <w:tc>
          <w:tcPr>
            <w:tcW w:w="3060" w:type="dxa"/>
            <w:vAlign w:val="bottom"/>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500" w:type="dxa"/>
            <w:vAlign w:val="bottom"/>
            <w:gridSpan w:val="2"/>
          </w:tcPr>
          <w:p>
            <w:pPr>
              <w:spacing w:after="0"/>
              <w:rPr>
                <w:sz w:val="17"/>
                <w:szCs w:val="17"/>
                <w:color w:val="auto"/>
              </w:rPr>
            </w:pPr>
          </w:p>
        </w:tc>
        <w:tc>
          <w:tcPr>
            <w:tcW w:w="2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260" w:type="dxa"/>
            <w:vAlign w:val="bottom"/>
          </w:tcPr>
          <w:p>
            <w:pPr>
              <w:spacing w:after="0"/>
              <w:rPr>
                <w:sz w:val="17"/>
                <w:szCs w:val="17"/>
                <w:color w:val="auto"/>
              </w:rPr>
            </w:pP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306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306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7"/>
          </w:tcPr>
          <w:p>
            <w:pPr>
              <w:ind w:left="420"/>
              <w:spacing w:after="0"/>
              <w:rPr>
                <w:sz w:val="20"/>
                <w:szCs w:val="20"/>
                <w:color w:val="auto"/>
              </w:rPr>
            </w:pPr>
            <w:r>
              <w:rPr>
                <w:rFonts w:ascii="Arial" w:cs="Arial" w:eastAsia="Arial" w:hAnsi="Arial"/>
                <w:sz w:val="18"/>
                <w:szCs w:val="18"/>
                <w:b w:val="1"/>
                <w:bCs w:val="1"/>
                <w:color w:val="auto"/>
              </w:rPr>
              <w:t>PART II</w:t>
            </w:r>
          </w:p>
        </w:tc>
        <w:tc>
          <w:tcPr>
            <w:tcW w:w="720" w:type="dxa"/>
            <w:vAlign w:val="bottom"/>
          </w:tcPr>
          <w:p>
            <w:pPr>
              <w:spacing w:after="0"/>
              <w:rPr>
                <w:sz w:val="19"/>
                <w:szCs w:val="19"/>
                <w:color w:val="auto"/>
              </w:rPr>
            </w:pPr>
          </w:p>
        </w:tc>
      </w:tr>
      <w:tr>
        <w:trPr>
          <w:trHeight w:val="190"/>
        </w:trPr>
        <w:tc>
          <w:tcPr>
            <w:tcW w:w="1120" w:type="dxa"/>
            <w:vAlign w:val="bottom"/>
            <w:gridSpan w:val="4"/>
          </w:tcPr>
          <w:p>
            <w:pPr>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7040" w:type="dxa"/>
            <w:vAlign w:val="bottom"/>
            <w:gridSpan w:val="11"/>
          </w:tcPr>
          <w:p>
            <w:pPr>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MARKET FOR REGISTRANT’S COMMON EQUITY, RELATED</w:t>
              </w:r>
            </w:hyperlink>
          </w:p>
        </w:tc>
        <w:tc>
          <w:tcPr>
            <w:tcW w:w="7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40" w:type="dxa"/>
            <w:vAlign w:val="bottom"/>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STOCKHOLDER MATTERS, AND ISSUER PURCHASES OF EQUITY SECURITIES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65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auto"/>
              </w:rPr>
              <w:t>RESERVED</w:t>
            </w: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7.</w:t>
              </w:r>
            </w:hyperlink>
          </w:p>
        </w:tc>
        <w:tc>
          <w:tcPr>
            <w:tcW w:w="7040" w:type="dxa"/>
            <w:vAlign w:val="bottom"/>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w:t>
              </w:r>
            </w:hyperlink>
          </w:p>
        </w:tc>
        <w:tc>
          <w:tcPr>
            <w:tcW w:w="7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AND RESULTS OF OPERATIONS</w:t>
              </w:r>
            </w:hyperlink>
          </w:p>
        </w:tc>
        <w:tc>
          <w:tcPr>
            <w:tcW w:w="3620" w:type="dxa"/>
            <w:vAlign w:val="bottom"/>
            <w:tcBorders>
              <w:top w:val="single" w:sz="8" w:color="0000EE"/>
            </w:tcBorders>
            <w:gridSpan w:val="4"/>
          </w:tcPr>
          <w:p>
            <w:pPr>
              <w:spacing w:after="0"/>
              <w:rPr>
                <w:sz w:val="17"/>
                <w:szCs w:val="17"/>
                <w:color w:val="auto"/>
              </w:rPr>
            </w:pPr>
          </w:p>
        </w:tc>
        <w:tc>
          <w:tcPr>
            <w:tcW w:w="8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7A.</w:t>
              </w:r>
            </w:hyperlink>
          </w:p>
        </w:tc>
        <w:tc>
          <w:tcPr>
            <w:tcW w:w="480" w:type="dxa"/>
            <w:vAlign w:val="bottom"/>
          </w:tcPr>
          <w:p>
            <w:pPr>
              <w:spacing w:after="0"/>
              <w:rPr>
                <w:sz w:val="17"/>
                <w:szCs w:val="17"/>
                <w:color w:val="auto"/>
              </w:rPr>
            </w:pPr>
          </w:p>
        </w:tc>
        <w:tc>
          <w:tcPr>
            <w:tcW w:w="704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8.</w:t>
              </w:r>
            </w:hyperlink>
          </w:p>
        </w:tc>
        <w:tc>
          <w:tcPr>
            <w:tcW w:w="480" w:type="dxa"/>
            <w:vAlign w:val="bottom"/>
          </w:tcPr>
          <w:p>
            <w:pPr>
              <w:spacing w:after="0"/>
              <w:rPr>
                <w:sz w:val="17"/>
                <w:szCs w:val="17"/>
                <w:color w:val="auto"/>
              </w:rPr>
            </w:pPr>
          </w:p>
        </w:tc>
        <w:tc>
          <w:tcPr>
            <w:tcW w:w="6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92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9.</w:t>
              </w:r>
            </w:hyperlink>
          </w:p>
        </w:tc>
        <w:tc>
          <w:tcPr>
            <w:tcW w:w="704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w:t>
              </w:r>
            </w:hyperlink>
          </w:p>
        </w:tc>
        <w:tc>
          <w:tcPr>
            <w:tcW w:w="7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AND FINANCIAL DISCLOSURE</w:t>
              </w:r>
            </w:hyperlink>
          </w:p>
        </w:tc>
        <w:tc>
          <w:tcPr>
            <w:tcW w:w="3920" w:type="dxa"/>
            <w:vAlign w:val="bottom"/>
            <w:tcBorders>
              <w:top w:val="single" w:sz="8" w:color="0000EE"/>
            </w:tcBorders>
            <w:gridSpan w:val="7"/>
          </w:tcPr>
          <w:p>
            <w:pPr>
              <w:spacing w:after="0"/>
              <w:rPr>
                <w:sz w:val="17"/>
                <w:szCs w:val="17"/>
                <w:color w:val="auto"/>
              </w:rPr>
            </w:pPr>
          </w:p>
        </w:tc>
        <w:tc>
          <w:tcPr>
            <w:tcW w:w="5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9A.</w:t>
              </w:r>
            </w:hyperlink>
          </w:p>
        </w:tc>
        <w:tc>
          <w:tcPr>
            <w:tcW w:w="480" w:type="dxa"/>
            <w:vAlign w:val="bottom"/>
          </w:tcPr>
          <w:p>
            <w:pPr>
              <w:spacing w:after="0"/>
              <w:rPr>
                <w:sz w:val="17"/>
                <w:szCs w:val="17"/>
                <w:color w:val="auto"/>
              </w:rPr>
            </w:pPr>
          </w:p>
        </w:tc>
        <w:tc>
          <w:tcPr>
            <w:tcW w:w="26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CONTROLS AND PROCEDURES</w:t>
              </w:r>
            </w:hyperlink>
          </w:p>
        </w:tc>
        <w:tc>
          <w:tcPr>
            <w:tcW w:w="444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2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9B.</w:t>
              </w:r>
            </w:hyperlink>
          </w:p>
        </w:tc>
        <w:tc>
          <w:tcPr>
            <w:tcW w:w="7040" w:type="dxa"/>
            <w:vAlign w:val="bottom"/>
            <w:gridSpan w:val="1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gridSpan w:val="7"/>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6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Item 10.</w:t>
              </w:r>
            </w:hyperlink>
          </w:p>
        </w:tc>
        <w:tc>
          <w:tcPr>
            <w:tcW w:w="520" w:type="dxa"/>
            <w:vAlign w:val="bottom"/>
          </w:tcPr>
          <w:p>
            <w:pPr>
              <w:spacing w:after="0"/>
              <w:rPr>
                <w:sz w:val="17"/>
                <w:szCs w:val="17"/>
                <w:color w:val="auto"/>
              </w:rPr>
            </w:pPr>
          </w:p>
        </w:tc>
        <w:tc>
          <w:tcPr>
            <w:tcW w:w="58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DIRECTORS, EXECUTIVE OFFICERS, AND CORPORATE GOVERNANCE</w:t>
              </w:r>
            </w:hyperlink>
          </w:p>
        </w:tc>
        <w:tc>
          <w:tcPr>
            <w:tcW w:w="132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11.</w:t>
              </w:r>
            </w:hyperlink>
          </w:p>
        </w:tc>
        <w:tc>
          <w:tcPr>
            <w:tcW w:w="716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Item 12.</w:t>
              </w:r>
            </w:hyperlink>
          </w:p>
        </w:tc>
        <w:tc>
          <w:tcPr>
            <w:tcW w:w="52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SECURITY OWNERSHIP OF CERTAIN BENEFICIAL OWNERS AND MANAGEMENT</w:t>
              </w:r>
            </w:hyperlink>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AND RELATED STOCKHOLDER MATTERS</w:t>
              </w:r>
            </w:hyperlink>
          </w:p>
        </w:tc>
        <w:tc>
          <w:tcPr>
            <w:tcW w:w="370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Item 13.</w:t>
              </w:r>
            </w:hyperlink>
          </w:p>
        </w:tc>
        <w:tc>
          <w:tcPr>
            <w:tcW w:w="52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CERTAIN RELATIONSHIPS AND RELATED TRANSACTIONS, AND DIRECTOR</w:t>
              </w:r>
            </w:hyperlink>
          </w:p>
        </w:tc>
        <w:tc>
          <w:tcPr>
            <w:tcW w:w="8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6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INDEPENDENCE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Item 14.</w:t>
              </w:r>
            </w:hyperlink>
          </w:p>
        </w:tc>
        <w:tc>
          <w:tcPr>
            <w:tcW w:w="52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PRINCIPAL ACCOUNTANT FEES AND SERVICES</w:t>
              </w:r>
            </w:hyperlink>
          </w:p>
        </w:tc>
        <w:tc>
          <w:tcPr>
            <w:tcW w:w="32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22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Item 15.</w:t>
              </w:r>
            </w:hyperlink>
          </w:p>
        </w:tc>
        <w:tc>
          <w:tcPr>
            <w:tcW w:w="520" w:type="dxa"/>
            <w:vAlign w:val="bottom"/>
            <w:gridSpan w:val="2"/>
          </w:tcPr>
          <w:p>
            <w:pPr>
              <w:spacing w:after="0"/>
              <w:rPr>
                <w:sz w:val="17"/>
                <w:szCs w:val="17"/>
                <w:color w:val="auto"/>
              </w:rPr>
            </w:pPr>
          </w:p>
        </w:tc>
        <w:tc>
          <w:tcPr>
            <w:tcW w:w="6000" w:type="dxa"/>
            <w:vAlign w:val="bottom"/>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 AND FINANCIAL STATEMENT SCHEDULES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3"/>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SIGNATURES</w:t>
              </w:r>
            </w:hyperlink>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027"/>
        </w:trPr>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and Combined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a real estate company that owns and operates a high-quality portfolio of commercial net lease properties all located in the United States. Our properties are primarily leased to industry leading, creditworthy tenants, many of which operate in industries we believe are resistant to the impact of e-commerce. Our portfolio consists of 113 net leased properties located in 76 markets in 32 states. Our initial portfolio consisted of twenty properties, of which four have been sold as of December 31, 2021, which were acquired from CTO Realty Growth, Inc. (“CTO”), a public company listed on the New York Stock Exchange (the “NYSE”) under the symbol “CTO,” in the Formation Transactions (defined below) utilizing $125.9 million of proceeds from our initial public offering of our common stock (the “IPO”) and the issuance of 1,223,854 units of our operating partnership (the “OP Units”) that had an initial value of $23.3 million based on the IPO price of $19.00 per share (the “IPO Price”).</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portfolio is comprised of net leased properties primarily located in or in close proximity to major Metropolitan Statistical Areas (“MSAs”), growth markets and other markets in the United States with favorable economic and demographic conditions. The properties in our portfolio are primarily triple-net leases, which generally require the tenant to pay all of the property operating expenses such as real estate taxes, insurance, assessments and other governmental fees, utilities, repairs and maintenance expenses and certain capital expenditures.</w:t>
      </w:r>
    </w:p>
    <w:p>
      <w:pPr>
        <w:spacing w:after="0" w:line="176"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The Company elected to be taxed as a real estate investment trust (“REIT”) for U.S. federal income tax purposes commencing with its initial taxable year ended December 31, 2019. We believe the Company has been organized and has operated in such a manner as to qualify for taxation as a REIT under the U.S. federal income tax laws. We intend to continue to operate in such a manner, but no assurances can be given that we will continue to operate in such a manner as to qualify for taxation as a REIT under the U.S. federal income tax laws.</w:t>
      </w:r>
    </w:p>
    <w:p>
      <w:pPr>
        <w:spacing w:after="0" w:line="1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primary objective is to maximize cash flow and value per share by generating stable and growing cash flows and attractive risk-adjusted returns through the ownership, operation and growth through acquisition of a diversified portfolio of high-quality, net leased commercial properties with attractive long-term real estate fundamentals. The 113 properties in our portfolio are 100% occupied and represent 3.3 million of gross rentable square feet with leases that have a weighted average lease term of 7.9 years (weighting based on annualized base rent as of December 31, 2021). Our portfolio is representative of our investment strategy, which consists of one or more of the following core investment criteria:</w:t>
      </w:r>
    </w:p>
    <w:p>
      <w:pPr>
        <w:spacing w:after="0" w:line="160" w:lineRule="exact"/>
        <w:rPr>
          <w:sz w:val="20"/>
          <w:szCs w:val="20"/>
          <w:color w:val="auto"/>
        </w:rPr>
      </w:pPr>
    </w:p>
    <w:p>
      <w:pPr>
        <w:jc w:val="both"/>
        <w:ind w:left="720" w:right="79" w:hanging="319"/>
        <w:spacing w:after="0" w:line="25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Attractive Locations</w:t>
      </w:r>
      <w:r>
        <w:rPr>
          <w:rFonts w:ascii="Arial" w:cs="Arial" w:eastAsia="Arial" w:hAnsi="Arial"/>
          <w:sz w:val="18"/>
          <w:szCs w:val="18"/>
          <w:color w:val="auto"/>
        </w:rPr>
        <w:t>. The 113 properties in our portfolio represent 3.3 million gross rentable square feet, are</w:t>
      </w:r>
      <w:r>
        <w:rPr>
          <w:rFonts w:ascii="Arial" w:cs="Arial" w:eastAsia="Arial" w:hAnsi="Arial"/>
          <w:sz w:val="18"/>
          <w:szCs w:val="18"/>
          <w:b w:val="1"/>
          <w:bCs w:val="1"/>
          <w:color w:val="auto"/>
        </w:rPr>
        <w:t xml:space="preserve"> </w:t>
      </w:r>
      <w:r>
        <w:rPr>
          <w:rFonts w:ascii="Arial" w:cs="Arial" w:eastAsia="Arial" w:hAnsi="Arial"/>
          <w:sz w:val="18"/>
          <w:szCs w:val="18"/>
          <w:color w:val="auto"/>
        </w:rPr>
        <w:t>100% occupied, and are primarily located in, or in close proximity to major MSAs and in markets in the United States with favorable economic and demographic conditions. As of December 31, 2021, a total of 63% of our portfolio’s annualized base rent was derived from properties located in MSAs with populations greater than one million people.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20" w:right="79" w:hanging="319"/>
        <w:spacing w:after="0" w:line="277"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Creditworthy Tenants</w:t>
      </w:r>
      <w:r>
        <w:rPr>
          <w:rFonts w:ascii="Arial" w:cs="Arial" w:eastAsia="Arial" w:hAnsi="Arial"/>
          <w:sz w:val="17"/>
          <w:szCs w:val="17"/>
          <w:color w:val="auto"/>
        </w:rPr>
        <w:t>. 45% of our portfolio’s annualized base rent as of December 31, 2021 was derived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that have (or whose parent company has) an investment grade credit rating from a recognized credit rating agency. Our largest tenant, Wells Fargo, has an ‘A+’ credit rating from S&amp;P Global Ratings or its equivalent from Moody’s Investor Services, Fitch Ratings or the National Association of Insurance Commissioners and contributed 12% of our portfolio’s total revenue as of December 31, 2021.</w:t>
      </w:r>
    </w:p>
    <w:p>
      <w:pPr>
        <w:spacing w:after="0" w:line="167" w:lineRule="exact"/>
        <w:rPr>
          <w:rFonts w:ascii="Arial" w:cs="Arial" w:eastAsia="Arial" w:hAnsi="Arial"/>
          <w:sz w:val="17"/>
          <w:szCs w:val="17"/>
          <w:color w:val="auto"/>
        </w:rPr>
      </w:pPr>
    </w:p>
    <w:p>
      <w:pPr>
        <w:ind w:left="720" w:right="79" w:hanging="319"/>
        <w:spacing w:after="0" w:line="282"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Geographic Diversity</w:t>
      </w:r>
      <w:r>
        <w:rPr>
          <w:rFonts w:ascii="Arial" w:cs="Arial" w:eastAsia="Arial" w:hAnsi="Arial"/>
          <w:sz w:val="18"/>
          <w:szCs w:val="18"/>
          <w:color w:val="auto"/>
        </w:rPr>
        <w:t>. Our portfolio is spread across 76 markets in 32 states. Our largest property, as measured</w:t>
      </w:r>
      <w:r>
        <w:rPr>
          <w:rFonts w:ascii="Arial" w:cs="Arial" w:eastAsia="Arial" w:hAnsi="Arial"/>
          <w:sz w:val="18"/>
          <w:szCs w:val="18"/>
          <w:b w:val="1"/>
          <w:bCs w:val="1"/>
          <w:color w:val="auto"/>
        </w:rPr>
        <w:t xml:space="preserve"> </w:t>
      </w:r>
      <w:r>
        <w:rPr>
          <w:rFonts w:ascii="Arial" w:cs="Arial" w:eastAsia="Arial" w:hAnsi="Arial"/>
          <w:sz w:val="18"/>
          <w:szCs w:val="18"/>
          <w:color w:val="auto"/>
        </w:rPr>
        <w:t>by annualized base rent, is located in the Portland, Oregon MSA.</w:t>
      </w:r>
    </w:p>
    <w:p>
      <w:pPr>
        <w:spacing w:after="0" w:line="161" w:lineRule="exact"/>
        <w:rPr>
          <w:rFonts w:ascii="Arial" w:cs="Arial" w:eastAsia="Arial" w:hAnsi="Arial"/>
          <w:sz w:val="18"/>
          <w:szCs w:val="18"/>
          <w:color w:val="auto"/>
        </w:rPr>
      </w:pPr>
    </w:p>
    <w:p>
      <w:pPr>
        <w:jc w:val="both"/>
        <w:ind w:left="720" w:right="79" w:hanging="319"/>
        <w:spacing w:after="0" w:line="26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100% Occupied with Primarily Long Duration Leases</w:t>
      </w:r>
      <w:r>
        <w:rPr>
          <w:rFonts w:ascii="Arial" w:cs="Arial" w:eastAsia="Arial" w:hAnsi="Arial"/>
          <w:sz w:val="18"/>
          <w:szCs w:val="18"/>
          <w:color w:val="auto"/>
        </w:rPr>
        <w:t>. Our portfolio is 100% leased and occupied. The leases</w:t>
      </w:r>
      <w:r>
        <w:rPr>
          <w:rFonts w:ascii="Arial" w:cs="Arial" w:eastAsia="Arial" w:hAnsi="Arial"/>
          <w:sz w:val="18"/>
          <w:szCs w:val="18"/>
          <w:b w:val="1"/>
          <w:bCs w:val="1"/>
          <w:color w:val="auto"/>
        </w:rPr>
        <w:t xml:space="preserve"> </w:t>
      </w:r>
      <w:r>
        <w:rPr>
          <w:rFonts w:ascii="Arial" w:cs="Arial" w:eastAsia="Arial" w:hAnsi="Arial"/>
          <w:sz w:val="18"/>
          <w:szCs w:val="18"/>
          <w:color w:val="auto"/>
        </w:rPr>
        <w:t>in our portfolio have a weighted average remaining lease term of 7.9 years (weighted based on annualized base rent as of December 31, 2021).</w:t>
      </w:r>
    </w:p>
    <w:p>
      <w:pPr>
        <w:spacing w:after="0" w:line="175" w:lineRule="exact"/>
        <w:rPr>
          <w:rFonts w:ascii="Arial" w:cs="Arial" w:eastAsia="Arial" w:hAnsi="Arial"/>
          <w:sz w:val="18"/>
          <w:szCs w:val="18"/>
          <w:color w:val="auto"/>
        </w:rPr>
      </w:pPr>
    </w:p>
    <w:p>
      <w:pPr>
        <w:ind w:left="720" w:right="79" w:hanging="319"/>
        <w:spacing w:after="0" w:line="347"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Contractual Rent Growth</w:t>
      </w:r>
      <w:r>
        <w:rPr>
          <w:rFonts w:ascii="Arial" w:cs="Arial" w:eastAsia="Arial" w:hAnsi="Arial"/>
          <w:sz w:val="16"/>
          <w:szCs w:val="16"/>
          <w:color w:val="auto"/>
        </w:rPr>
        <w:t>. As of December 31, 2021, 45% of the leases in our portfolio (based on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rent as of December 31, 2021) provide for increases in contractual base rent during the lease term.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 and Formation Transactions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is a Maryland corporation formed on August 19, 2019. We closed the IPO on November 26, 2019 and our common stock is listed on the NYSE under the symbol “PINE.” We sold 7,500,000 shares of our common stock at $19.00 per share in the IPO. CTO purchased 421,053 of the shares of our common stock that we sold in the IPO. We refer to the IPO, the CTO Private Placement (defined below), and the other transactions executed at the time of our listing on the NYSE collectively as the “Formation Transactions.”</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conduct the substantial majority of our operations through, and substantially all of our assets are held by, Alpine Income Property OP, LP (the “Operating Partnership”). Our wholly owned subsidiary, Alpine Income Property GP, LLC (“PINE GP”), is the sole general partner of the Operating Partnership. As of December 31, 2021, we have a total ownership interest in the Operating Partnership of 87.1%, with CTO holding, directly and indirectly, a 9.3% ownership interest in the Operating Partnership. The remaining 3.6%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 (see Note 4, “Property Portfolio” to the consolidated and combined financial statements included in Item 8, “Financial Statements and Supplementary Data” in this Annual Report on Form 10-K.).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pacing w:after="0" w:line="17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externally managed by Alpine Income Property Manager, LLC (our “Manager”), a wholly owned subsidiary of CTO. Concurrently with the closing of the IPO, CTO invested $7.5 million in exchange for 394,737 shares of our common stock at the IPO Price (the “CTO Private Placement”). In addition, CTO purchased from us $8.0 million in shares of our common stock, or 421,053 shares, in the IPO. See Note 11, “Equity” to the consolidated and combined financial statements included in Item 8, “Financial Statements and Supplementary Data” in this Annual Report on Form 10-K for the Company’s disclosure related to CTO’s purchase of PINE common stock subsequent to the IPO.</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Markets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 </w:t>
      </w:r>
      <w:r>
        <w:rPr>
          <w:rFonts w:ascii="Arial" w:cs="Arial" w:eastAsia="Arial" w:hAnsi="Arial"/>
          <w:sz w:val="18"/>
          <w:szCs w:val="18"/>
          <w:color w:val="auto"/>
        </w:rPr>
        <w:t>On December 1, 2020, the Company filed a shelf registration statement on Form S-3,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and potential issuance of its common stock, preferred stock, warrants, rights, and units with a maximum aggregate offering price of up to $350.0 million. The Securities and Exchange Commission (the “SEC”) declared the Form S-3 effective on December 11, 2020.</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December 14, 2020, the Company implemented a $100.0 million at-the-market (“ATM”) offering program (the “2020 ATM Program”) pursuant to which the Company may sell, from time to time, shares of the Company’s common stock.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Debt</w:t>
      </w:r>
      <w:r>
        <w:rPr>
          <w:rFonts w:ascii="Arial" w:cs="Arial" w:eastAsia="Arial" w:hAnsi="Arial"/>
          <w:sz w:val="16"/>
          <w:szCs w:val="16"/>
          <w:color w:val="auto"/>
        </w:rPr>
        <w:t>. On November 26, 2019, the Company and the Operating Partnership entered into a $100.0 million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revolving credit facility (the “Credit Facility”) with affiliates of BMO Capital Markets Corp. and Raymond James Bank, N.A., as initial lenders. On October 16, 2020, the Company executed the second amendment to the Credit Facility (the “Second Amendment”), for the addition of two lenders, Huntington National Bank and Truist Bank. As a result of the Second Amendment, the Credit Facility now has a total borrowing capacity of $150.0 million with the ability to increase that capacity up to $200.0 million during the term, utilizing an accordion feature, subject to lender approval. These funds are available to us for general corporate purposes, including the funding of potential future acquisitions.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May 21, 2021, the Operating Partnership, the Company and certain subsidiaries of the Company entered into a credit agreement for a term loan (the “2026 Term Loan”) in an aggregate principal amount of $60.0 million with a maturity of five years. Truist Securities, Inc. is acting as sole lead arranger and sole book runner, with Truist Bank, N.A. as administrative agent. Truist Bank, N.A., Bank of Montreal, Raymond James Bank, N.A. and Stifel Bank are lenders under the 2026 Term Loan. In addition, the Operating Partnership may request up to three incremental term loan commitments in an aggregate amount not to exceed $100.0 million.</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June 30, 2021, in connection with the acquisition of six net lease properties from CTO (the “CMBS Portfolio”), the Company assumed an existing $30.0 million secured mortgage, which bears interest at a fixed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September 30, 2021, the Operating Partnership, the Company and certain subsidiaries of the Company entered into a credit agreement for a term loan (the “2027 Term Loan”) in an aggregate principal amount of $80.0 million (the “Term Commitment”) maturing in January 2027. KeyBanc Capital Markets Inc., Regions Capital Markets, and U.S. Bank National Association acted as joint lead arrangers, with KeyBanc Capital Markets Inc. as sole book runner, and KeyBank National Association as administrative agent. KeyBank National Association, Regions Bank, U.S. Bank National Association, Bank of Montreal, Raymond James Bank, and The Huntington National Bank are lenders under the 2027 Term Loan. In addition, the Operating Partnership may request up to three incremental term loan commitments in an aggregate amount, together with the Term Commitment, not to exceed $200.0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believe the net lease property market has expanded steadily over the last several years, and investor demand for net leased properties has continued to gain momentum. Unlike a gross lease, which places the financial responsibility for most expenses with the property owner, the net lease structure shifts the majority or entirety of costs for property taxes,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Strategy</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8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that the net leased properties we own and intend to acquire will provide our stockholders with investment diversification and can deliver strong risk-adjusted returns. We expect the majority of our net leased properties will be retail properties. We believe the risk-adjusted returns for other select property types within our portfolio are compelling and offer attractive investment yields, rental rates at or below prevailing market rental rates and an investment basis below replacement cost.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Portfolio</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2021, the Company owned 113 properties in 32 states. The following is a summary of the relevant leases attributable to these properties: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Remaining</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3"/>
              </w:rPr>
              <w:t>Rentable Square</w:t>
            </w:r>
          </w:p>
        </w:tc>
        <w:tc>
          <w:tcPr>
            <w:tcW w:w="88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1"/>
              </w:rPr>
              <w:t>Lease Term</w:t>
            </w:r>
          </w:p>
        </w:tc>
        <w:tc>
          <w:tcPr>
            <w:tcW w:w="9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6"/>
              </w:rPr>
              <w:t>Rent</w:t>
            </w:r>
          </w:p>
        </w:tc>
        <w:tc>
          <w:tcPr>
            <w:tcW w:w="108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6"/>
              </w:rPr>
              <w:t>Annualized Base</w:t>
            </w:r>
          </w:p>
        </w:tc>
      </w:tr>
      <w:tr>
        <w:trPr>
          <w:trHeight w:val="168"/>
        </w:trPr>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1740" w:type="dxa"/>
            <w:vAlign w:val="bottom"/>
            <w:gridSpan w:val="2"/>
          </w:tcPr>
          <w:p>
            <w:pPr>
              <w:ind w:left="600"/>
              <w:spacing w:after="0"/>
              <w:rPr>
                <w:sz w:val="20"/>
                <w:szCs w:val="20"/>
                <w:color w:val="auto"/>
              </w:rPr>
            </w:pPr>
            <w:r>
              <w:rPr>
                <w:rFonts w:ascii="Arial" w:cs="Arial" w:eastAsia="Arial" w:hAnsi="Arial"/>
                <w:sz w:val="13"/>
                <w:szCs w:val="13"/>
                <w:b w:val="1"/>
                <w:bCs w:val="1"/>
                <w:color w:val="auto"/>
              </w:rPr>
              <w:t>Location</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Feet</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Escalations</w:t>
            </w:r>
          </w:p>
        </w:tc>
        <w:tc>
          <w:tcPr>
            <w:tcW w:w="80" w:type="dxa"/>
            <w:vAlign w:val="bottom"/>
          </w:tcPr>
          <w:p>
            <w:pPr>
              <w:spacing w:after="0"/>
              <w:rPr>
                <w:sz w:val="14"/>
                <w:szCs w:val="14"/>
                <w:color w:val="auto"/>
              </w:rPr>
            </w:pPr>
          </w:p>
        </w:tc>
        <w:tc>
          <w:tcPr>
            <w:tcW w:w="1000" w:type="dxa"/>
            <w:vAlign w:val="bottom"/>
          </w:tcPr>
          <w:p>
            <w:pPr>
              <w:jc w:val="right"/>
              <w:ind w:right="13"/>
              <w:spacing w:after="0" w:line="168" w:lineRule="exact"/>
              <w:rPr>
                <w:sz w:val="20"/>
                <w:szCs w:val="20"/>
                <w:color w:val="auto"/>
              </w:rPr>
            </w:pPr>
            <w:r>
              <w:rPr>
                <w:rFonts w:ascii="Arial" w:cs="Arial" w:eastAsia="Arial" w:hAnsi="Arial"/>
                <w:sz w:val="13"/>
                <w:szCs w:val="13"/>
                <w:b w:val="1"/>
                <w:bCs w:val="1"/>
                <w:color w:val="auto"/>
                <w:w w:val="90"/>
              </w:rPr>
              <w:t xml:space="preserve">Rent ($000's) </w:t>
            </w:r>
            <w:r>
              <w:rPr>
                <w:rFonts w:ascii="Arial" w:cs="Arial" w:eastAsia="Arial" w:hAnsi="Arial"/>
                <w:sz w:val="19"/>
                <w:szCs w:val="19"/>
                <w:b w:val="1"/>
                <w:bCs w:val="1"/>
                <w:color w:val="auto"/>
                <w:w w:val="90"/>
                <w:vertAlign w:val="superscript"/>
              </w:rPr>
              <w:t>(1)</w:t>
            </w:r>
          </w:p>
        </w:tc>
      </w:tr>
      <w:tr>
        <w:trPr>
          <w:trHeight w:val="142"/>
        </w:trPr>
        <w:tc>
          <w:tcPr>
            <w:tcW w:w="7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Office</w:t>
            </w:r>
          </w:p>
        </w:tc>
        <w:tc>
          <w:tcPr>
            <w:tcW w:w="6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Wells Fargo</w:t>
            </w:r>
          </w:p>
        </w:tc>
        <w:tc>
          <w:tcPr>
            <w:tcW w:w="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Portland, OR</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212,363</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No</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3,137</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Walmart</w:t>
            </w:r>
          </w:p>
        </w:tc>
        <w:tc>
          <w:tcPr>
            <w:tcW w:w="1740" w:type="dxa"/>
            <w:vAlign w:val="bottom"/>
            <w:gridSpan w:val="2"/>
          </w:tcPr>
          <w:p>
            <w:pPr>
              <w:spacing w:after="0"/>
              <w:rPr>
                <w:sz w:val="20"/>
                <w:szCs w:val="20"/>
                <w:color w:val="auto"/>
              </w:rPr>
            </w:pPr>
            <w:r>
              <w:rPr>
                <w:rFonts w:ascii="Arial" w:cs="Arial" w:eastAsia="Arial" w:hAnsi="Arial"/>
                <w:sz w:val="13"/>
                <w:szCs w:val="13"/>
                <w:color w:val="auto"/>
              </w:rPr>
              <w:t>Howell, MI</w:t>
            </w:r>
          </w:p>
        </w:tc>
        <w:tc>
          <w:tcPr>
            <w:tcW w:w="980" w:type="dxa"/>
            <w:vAlign w:val="bottom"/>
          </w:tcPr>
          <w:p>
            <w:pPr>
              <w:jc w:val="right"/>
              <w:spacing w:after="0"/>
              <w:rPr>
                <w:sz w:val="20"/>
                <w:szCs w:val="20"/>
                <w:color w:val="auto"/>
              </w:rPr>
            </w:pPr>
            <w:r>
              <w:rPr>
                <w:rFonts w:ascii="Arial" w:cs="Arial" w:eastAsia="Arial" w:hAnsi="Arial"/>
                <w:sz w:val="13"/>
                <w:szCs w:val="13"/>
                <w:color w:val="auto"/>
              </w:rPr>
              <w:t>214,172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1,369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 Fitness</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Brandon, FL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Lowe's</w:t>
            </w:r>
          </w:p>
        </w:tc>
        <w:tc>
          <w:tcPr>
            <w:tcW w:w="1740" w:type="dxa"/>
            <w:vAlign w:val="bottom"/>
            <w:gridSpan w:val="2"/>
          </w:tcPr>
          <w:p>
            <w:pPr>
              <w:spacing w:after="0"/>
              <w:rPr>
                <w:sz w:val="20"/>
                <w:szCs w:val="20"/>
                <w:color w:val="auto"/>
              </w:rPr>
            </w:pPr>
            <w:r>
              <w:rPr>
                <w:rFonts w:ascii="Arial" w:cs="Arial" w:eastAsia="Arial" w:hAnsi="Arial"/>
                <w:sz w:val="13"/>
                <w:szCs w:val="13"/>
                <w:color w:val="auto"/>
              </w:rPr>
              <w:t>Katy, TX</w:t>
            </w:r>
          </w:p>
        </w:tc>
        <w:tc>
          <w:tcPr>
            <w:tcW w:w="980" w:type="dxa"/>
            <w:vAlign w:val="bottom"/>
          </w:tcPr>
          <w:p>
            <w:pPr>
              <w:jc w:val="right"/>
              <w:spacing w:after="0"/>
              <w:rPr>
                <w:sz w:val="20"/>
                <w:szCs w:val="20"/>
                <w:color w:val="auto"/>
              </w:rPr>
            </w:pPr>
            <w:r>
              <w:rPr>
                <w:rFonts w:ascii="Arial" w:cs="Arial" w:eastAsia="Arial" w:hAnsi="Arial"/>
                <w:sz w:val="13"/>
                <w:szCs w:val="13"/>
                <w:color w:val="auto"/>
              </w:rPr>
              <w:t>131,644</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917</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Burlington</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 Richland Hills,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70,891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Kohl's</w:t>
            </w:r>
          </w:p>
        </w:tc>
        <w:tc>
          <w:tcPr>
            <w:tcW w:w="1740" w:type="dxa"/>
            <w:vAlign w:val="bottom"/>
            <w:gridSpan w:val="2"/>
          </w:tcPr>
          <w:p>
            <w:pPr>
              <w:spacing w:after="0"/>
              <w:rPr>
                <w:sz w:val="20"/>
                <w:szCs w:val="20"/>
                <w:color w:val="auto"/>
              </w:rPr>
            </w:pPr>
            <w:r>
              <w:rPr>
                <w:rFonts w:ascii="Arial" w:cs="Arial" w:eastAsia="Arial" w:hAnsi="Arial"/>
                <w:sz w:val="13"/>
                <w:szCs w:val="13"/>
                <w:color w:val="auto"/>
              </w:rPr>
              <w:t>Glendale, AZ</w:t>
            </w:r>
          </w:p>
        </w:tc>
        <w:tc>
          <w:tcPr>
            <w:tcW w:w="980" w:type="dxa"/>
            <w:vAlign w:val="bottom"/>
          </w:tcPr>
          <w:p>
            <w:pPr>
              <w:jc w:val="right"/>
              <w:spacing w:after="0"/>
              <w:rPr>
                <w:sz w:val="20"/>
                <w:szCs w:val="20"/>
                <w:color w:val="auto"/>
              </w:rPr>
            </w:pPr>
            <w:r>
              <w:rPr>
                <w:rFonts w:ascii="Arial" w:cs="Arial" w:eastAsia="Arial" w:hAnsi="Arial"/>
                <w:sz w:val="13"/>
                <w:szCs w:val="13"/>
                <w:color w:val="auto"/>
              </w:rPr>
              <w:t>87,875</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844</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Hobby Lobby</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Tulsa, OK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84,180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At Home</w:t>
            </w:r>
          </w:p>
        </w:tc>
        <w:tc>
          <w:tcPr>
            <w:tcW w:w="1740" w:type="dxa"/>
            <w:vAlign w:val="bottom"/>
            <w:gridSpan w:val="2"/>
          </w:tcPr>
          <w:p>
            <w:pPr>
              <w:spacing w:after="0"/>
              <w:rPr>
                <w:sz w:val="20"/>
                <w:szCs w:val="20"/>
                <w:color w:val="auto"/>
              </w:rPr>
            </w:pPr>
            <w:r>
              <w:rPr>
                <w:rFonts w:ascii="Arial" w:cs="Arial" w:eastAsia="Arial" w:hAnsi="Arial"/>
                <w:sz w:val="13"/>
                <w:szCs w:val="13"/>
                <w:color w:val="auto"/>
              </w:rPr>
              <w:t>Canton, OH</w:t>
            </w:r>
          </w:p>
        </w:tc>
        <w:tc>
          <w:tcPr>
            <w:tcW w:w="980" w:type="dxa"/>
            <w:vAlign w:val="bottom"/>
          </w:tcPr>
          <w:p>
            <w:pPr>
              <w:jc w:val="right"/>
              <w:spacing w:after="0"/>
              <w:rPr>
                <w:sz w:val="20"/>
                <w:szCs w:val="20"/>
                <w:color w:val="auto"/>
              </w:rPr>
            </w:pPr>
            <w:r>
              <w:rPr>
                <w:rFonts w:ascii="Arial" w:cs="Arial" w:eastAsia="Arial" w:hAnsi="Arial"/>
                <w:sz w:val="13"/>
                <w:szCs w:val="13"/>
                <w:color w:val="auto"/>
              </w:rPr>
              <w:t>89,902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801</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Harris Teeter</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Charlotte, NC</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45,089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At Home</w:t>
            </w:r>
          </w:p>
        </w:tc>
        <w:tc>
          <w:tcPr>
            <w:tcW w:w="1740" w:type="dxa"/>
            <w:vAlign w:val="bottom"/>
            <w:gridSpan w:val="2"/>
          </w:tcPr>
          <w:p>
            <w:pPr>
              <w:spacing w:after="0"/>
              <w:rPr>
                <w:sz w:val="20"/>
                <w:szCs w:val="20"/>
                <w:color w:val="auto"/>
              </w:rPr>
            </w:pPr>
            <w:r>
              <w:rPr>
                <w:rFonts w:ascii="Arial" w:cs="Arial" w:eastAsia="Arial" w:hAnsi="Arial"/>
                <w:sz w:val="13"/>
                <w:szCs w:val="13"/>
                <w:color w:val="auto"/>
              </w:rPr>
              <w:t>Raleigh, NC</w:t>
            </w:r>
          </w:p>
        </w:tc>
        <w:tc>
          <w:tcPr>
            <w:tcW w:w="980" w:type="dxa"/>
            <w:vAlign w:val="bottom"/>
          </w:tcPr>
          <w:p>
            <w:pPr>
              <w:jc w:val="right"/>
              <w:spacing w:after="0"/>
              <w:rPr>
                <w:sz w:val="20"/>
                <w:szCs w:val="20"/>
                <w:color w:val="auto"/>
              </w:rPr>
            </w:pPr>
            <w:r>
              <w:rPr>
                <w:rFonts w:ascii="Arial" w:cs="Arial" w:eastAsia="Arial" w:hAnsi="Arial"/>
                <w:sz w:val="13"/>
                <w:szCs w:val="13"/>
                <w:color w:val="auto"/>
              </w:rPr>
              <w:t>116,334</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732</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Container Store</w:t>
            </w:r>
          </w:p>
        </w:tc>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Phoenix, AZ</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Remaining</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Contractual</w:t>
            </w:r>
          </w:p>
        </w:tc>
        <w:tc>
          <w:tcPr>
            <w:tcW w:w="1080" w:type="dxa"/>
            <w:vAlign w:val="bottom"/>
          </w:tcPr>
          <w:p>
            <w:pPr>
              <w:spacing w:after="0"/>
              <w:rPr>
                <w:sz w:val="13"/>
                <w:szCs w:val="13"/>
                <w:color w:val="auto"/>
              </w:rPr>
            </w:pPr>
          </w:p>
        </w:tc>
      </w:tr>
      <w:tr>
        <w:trPr>
          <w:trHeight w:val="142"/>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95"/>
              </w:rPr>
              <w:t>Rentable Square</w:t>
            </w:r>
          </w:p>
        </w:tc>
        <w:tc>
          <w:tcPr>
            <w:tcW w:w="86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1"/>
              </w:rPr>
              <w:t>Lease Term</w:t>
            </w:r>
          </w:p>
        </w:tc>
        <w:tc>
          <w:tcPr>
            <w:tcW w:w="9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6"/>
              </w:rPr>
              <w:t>Rent</w:t>
            </w:r>
          </w:p>
        </w:tc>
        <w:tc>
          <w:tcPr>
            <w:tcW w:w="10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6"/>
              </w:rPr>
              <w:t>Annualized Base</w:t>
            </w:r>
          </w:p>
        </w:tc>
      </w:tr>
      <w:tr>
        <w:trPr>
          <w:trHeight w:val="168"/>
        </w:trPr>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gridSpan w:val="2"/>
          </w:tcPr>
          <w:p>
            <w:pPr>
              <w:ind w:left="580"/>
              <w:spacing w:after="0"/>
              <w:rPr>
                <w:sz w:val="20"/>
                <w:szCs w:val="20"/>
                <w:color w:val="auto"/>
              </w:rPr>
            </w:pPr>
            <w:r>
              <w:rPr>
                <w:rFonts w:ascii="Arial" w:cs="Arial" w:eastAsia="Arial" w:hAnsi="Arial"/>
                <w:sz w:val="13"/>
                <w:szCs w:val="13"/>
                <w:b w:val="1"/>
                <w:bCs w:val="1"/>
                <w:color w:val="auto"/>
              </w:rPr>
              <w:t>Location</w:t>
            </w:r>
          </w:p>
        </w:tc>
        <w:tc>
          <w:tcPr>
            <w:tcW w:w="11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Feet</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(Years)</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Escalations</w:t>
            </w:r>
          </w:p>
        </w:tc>
        <w:tc>
          <w:tcPr>
            <w:tcW w:w="1080" w:type="dxa"/>
            <w:vAlign w:val="bottom"/>
          </w:tcPr>
          <w:p>
            <w:pPr>
              <w:jc w:val="right"/>
              <w:ind w:right="13"/>
              <w:spacing w:after="0" w:line="168" w:lineRule="exact"/>
              <w:rPr>
                <w:sz w:val="20"/>
                <w:szCs w:val="20"/>
                <w:color w:val="auto"/>
              </w:rPr>
            </w:pPr>
            <w:r>
              <w:rPr>
                <w:rFonts w:ascii="Arial" w:cs="Arial" w:eastAsia="Arial" w:hAnsi="Arial"/>
                <w:sz w:val="13"/>
                <w:szCs w:val="13"/>
                <w:b w:val="1"/>
                <w:bCs w:val="1"/>
                <w:color w:val="auto"/>
                <w:w w:val="98"/>
              </w:rPr>
              <w:t xml:space="preserve">Rent ($000's) </w:t>
            </w:r>
            <w:r>
              <w:rPr>
                <w:rFonts w:ascii="Arial" w:cs="Arial" w:eastAsia="Arial" w:hAnsi="Arial"/>
                <w:sz w:val="19"/>
                <w:szCs w:val="19"/>
                <w:b w:val="1"/>
                <w:bCs w:val="1"/>
                <w:color w:val="auto"/>
                <w:w w:val="98"/>
                <w:vertAlign w:val="superscript"/>
              </w:rPr>
              <w:t>(1)</w:t>
            </w:r>
          </w:p>
        </w:tc>
      </w:tr>
      <w:tr>
        <w:trPr>
          <w:trHeight w:val="142"/>
        </w:trPr>
        <w:tc>
          <w:tcPr>
            <w:tcW w:w="7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color w:val="auto"/>
              </w:rPr>
              <w:t>Retail</w:t>
            </w:r>
          </w:p>
        </w:tc>
        <w:tc>
          <w:tcPr>
            <w:tcW w:w="60" w:type="dxa"/>
            <w:vAlign w:val="bottom"/>
          </w:tcPr>
          <w:p>
            <w:pPr>
              <w:spacing w:after="0"/>
              <w:rPr>
                <w:sz w:val="12"/>
                <w:szCs w:val="12"/>
                <w:color w:val="auto"/>
              </w:rPr>
            </w:pPr>
          </w:p>
        </w:tc>
        <w:tc>
          <w:tcPr>
            <w:tcW w:w="228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Camping World</w:t>
            </w:r>
          </w:p>
        </w:tc>
        <w:tc>
          <w:tcPr>
            <w:tcW w:w="80" w:type="dxa"/>
            <w:vAlign w:val="bottom"/>
          </w:tcPr>
          <w:p>
            <w:pPr>
              <w:spacing w:after="0"/>
              <w:rPr>
                <w:sz w:val="12"/>
                <w:szCs w:val="12"/>
                <w:color w:val="auto"/>
              </w:rPr>
            </w:pPr>
          </w:p>
        </w:tc>
        <w:tc>
          <w:tcPr>
            <w:tcW w:w="166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Duluth, MN</w:t>
            </w:r>
          </w:p>
        </w:tc>
        <w:tc>
          <w:tcPr>
            <w:tcW w:w="6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66,033</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12.0</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705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Cinemark</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Reno, NV</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Rooms To Go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Friendswood, TX</w:t>
            </w:r>
          </w:p>
        </w:tc>
        <w:tc>
          <w:tcPr>
            <w:tcW w:w="980" w:type="dxa"/>
            <w:vAlign w:val="bottom"/>
          </w:tcPr>
          <w:p>
            <w:pPr>
              <w:jc w:val="right"/>
              <w:spacing w:after="0"/>
              <w:rPr>
                <w:sz w:val="20"/>
                <w:szCs w:val="20"/>
                <w:color w:val="auto"/>
              </w:rPr>
            </w:pPr>
            <w:r>
              <w:rPr>
                <w:rFonts w:ascii="Arial" w:cs="Arial" w:eastAsia="Arial" w:hAnsi="Arial"/>
                <w:sz w:val="13"/>
                <w:szCs w:val="13"/>
                <w:color w:val="auto"/>
              </w:rPr>
              <w:t>51,868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685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Academy Sports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Snellville,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67,247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Academy Sports</w:t>
            </w:r>
          </w:p>
        </w:tc>
        <w:tc>
          <w:tcPr>
            <w:tcW w:w="1720" w:type="dxa"/>
            <w:vAlign w:val="bottom"/>
            <w:gridSpan w:val="2"/>
          </w:tcPr>
          <w:p>
            <w:pPr>
              <w:spacing w:after="0"/>
              <w:rPr>
                <w:sz w:val="20"/>
                <w:szCs w:val="20"/>
                <w:color w:val="auto"/>
              </w:rPr>
            </w:pPr>
            <w:r>
              <w:rPr>
                <w:rFonts w:ascii="Arial" w:cs="Arial" w:eastAsia="Arial" w:hAnsi="Arial"/>
                <w:sz w:val="13"/>
                <w:szCs w:val="13"/>
                <w:color w:val="auto"/>
              </w:rPr>
              <w:t>Columbia, SC</w:t>
            </w:r>
          </w:p>
        </w:tc>
        <w:tc>
          <w:tcPr>
            <w:tcW w:w="980" w:type="dxa"/>
            <w:vAlign w:val="bottom"/>
          </w:tcPr>
          <w:p>
            <w:pPr>
              <w:jc w:val="right"/>
              <w:spacing w:after="0"/>
              <w:rPr>
                <w:sz w:val="20"/>
                <w:szCs w:val="20"/>
                <w:color w:val="auto"/>
              </w:rPr>
            </w:pPr>
            <w:r>
              <w:rPr>
                <w:rFonts w:ascii="Arial" w:cs="Arial" w:eastAsia="Arial" w:hAnsi="Arial"/>
                <w:sz w:val="13"/>
                <w:szCs w:val="13"/>
                <w:color w:val="auto"/>
              </w:rPr>
              <w:t>72,000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655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Home</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Turnersville, 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89,460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Live Nation</w:t>
            </w:r>
          </w:p>
        </w:tc>
        <w:tc>
          <w:tcPr>
            <w:tcW w:w="1720" w:type="dxa"/>
            <w:vAlign w:val="bottom"/>
            <w:gridSpan w:val="2"/>
          </w:tcPr>
          <w:p>
            <w:pPr>
              <w:spacing w:after="0"/>
              <w:rPr>
                <w:sz w:val="20"/>
                <w:szCs w:val="20"/>
                <w:color w:val="auto"/>
              </w:rPr>
            </w:pPr>
            <w:r>
              <w:rPr>
                <w:rFonts w:ascii="Arial" w:cs="Arial" w:eastAsia="Arial" w:hAnsi="Arial"/>
                <w:sz w:val="13"/>
                <w:szCs w:val="13"/>
                <w:color w:val="auto"/>
              </w:rPr>
              <w:t>East Troy, WI</w:t>
            </w:r>
          </w:p>
        </w:tc>
        <w:tc>
          <w:tcPr>
            <w:tcW w:w="1120" w:type="dxa"/>
            <w:vAlign w:val="bottom"/>
            <w:gridSpan w:val="3"/>
          </w:tcPr>
          <w:p>
            <w:pPr>
              <w:ind w:left="80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8"/>
                <w:szCs w:val="8"/>
                <w:color w:val="auto"/>
              </w:rPr>
              <w:t xml:space="preserve"> (2)</w:t>
            </w:r>
          </w:p>
        </w:tc>
        <w:tc>
          <w:tcPr>
            <w:tcW w:w="76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Academy Sports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Florence, SC</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58,410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Lowe's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Webster, TX</w:t>
            </w:r>
          </w:p>
        </w:tc>
        <w:tc>
          <w:tcPr>
            <w:tcW w:w="980" w:type="dxa"/>
            <w:vAlign w:val="bottom"/>
          </w:tcPr>
          <w:p>
            <w:pPr>
              <w:jc w:val="right"/>
              <w:spacing w:after="0"/>
              <w:rPr>
                <w:sz w:val="20"/>
                <w:szCs w:val="20"/>
                <w:color w:val="auto"/>
              </w:rPr>
            </w:pPr>
            <w:r>
              <w:rPr>
                <w:rFonts w:ascii="Arial" w:cs="Arial" w:eastAsia="Arial" w:hAnsi="Arial"/>
                <w:sz w:val="13"/>
                <w:szCs w:val="13"/>
                <w:color w:val="auto"/>
              </w:rPr>
              <w:t>163,300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Sportsman's Warehouse</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Albuquerque, NM</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Hobby Lobby</w:t>
            </w:r>
          </w:p>
        </w:tc>
        <w:tc>
          <w:tcPr>
            <w:tcW w:w="1720" w:type="dxa"/>
            <w:vAlign w:val="bottom"/>
            <w:gridSpan w:val="2"/>
          </w:tcPr>
          <w:p>
            <w:pPr>
              <w:spacing w:after="0"/>
              <w:rPr>
                <w:sz w:val="20"/>
                <w:szCs w:val="20"/>
                <w:color w:val="auto"/>
              </w:rPr>
            </w:pPr>
            <w:r>
              <w:rPr>
                <w:rFonts w:ascii="Arial" w:cs="Arial" w:eastAsia="Arial" w:hAnsi="Arial"/>
                <w:sz w:val="13"/>
                <w:szCs w:val="13"/>
                <w:color w:val="auto"/>
              </w:rPr>
              <w:t>Winston-Salem, NC</w:t>
            </w:r>
          </w:p>
        </w:tc>
        <w:tc>
          <w:tcPr>
            <w:tcW w:w="98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562</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Rite Aid</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Renton, WA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Hobby Lobby</w:t>
            </w:r>
          </w:p>
        </w:tc>
        <w:tc>
          <w:tcPr>
            <w:tcW w:w="1720" w:type="dxa"/>
            <w:vAlign w:val="bottom"/>
            <w:gridSpan w:val="2"/>
          </w:tcPr>
          <w:p>
            <w:pPr>
              <w:spacing w:after="0"/>
              <w:rPr>
                <w:sz w:val="20"/>
                <w:szCs w:val="20"/>
                <w:color w:val="auto"/>
              </w:rPr>
            </w:pPr>
            <w:r>
              <w:rPr>
                <w:rFonts w:ascii="Arial" w:cs="Arial" w:eastAsia="Arial" w:hAnsi="Arial"/>
                <w:sz w:val="13"/>
                <w:szCs w:val="13"/>
                <w:color w:val="auto"/>
              </w:rPr>
              <w:t>Arden, NC</w:t>
            </w:r>
          </w:p>
        </w:tc>
        <w:tc>
          <w:tcPr>
            <w:tcW w:w="98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AMC Theatres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Tyngsborough, MA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Sportsman's Warehouse</w:t>
            </w:r>
          </w:p>
        </w:tc>
        <w:tc>
          <w:tcPr>
            <w:tcW w:w="1720" w:type="dxa"/>
            <w:vAlign w:val="bottom"/>
            <w:gridSpan w:val="2"/>
          </w:tcPr>
          <w:p>
            <w:pPr>
              <w:spacing w:after="0"/>
              <w:rPr>
                <w:sz w:val="20"/>
                <w:szCs w:val="20"/>
                <w:color w:val="auto"/>
              </w:rPr>
            </w:pPr>
            <w:r>
              <w:rPr>
                <w:rFonts w:ascii="Arial" w:cs="Arial" w:eastAsia="Arial" w:hAnsi="Arial"/>
                <w:sz w:val="13"/>
                <w:szCs w:val="13"/>
                <w:color w:val="auto"/>
              </w:rPr>
              <w:t>Morgantown, WV</w:t>
            </w:r>
          </w:p>
        </w:tc>
        <w:tc>
          <w:tcPr>
            <w:tcW w:w="980" w:type="dxa"/>
            <w:vAlign w:val="bottom"/>
          </w:tcPr>
          <w:p>
            <w:pPr>
              <w:jc w:val="right"/>
              <w:spacing w:after="0"/>
              <w:rPr>
                <w:sz w:val="20"/>
                <w:szCs w:val="20"/>
                <w:color w:val="auto"/>
              </w:rPr>
            </w:pPr>
            <w:r>
              <w:rPr>
                <w:rFonts w:ascii="Arial" w:cs="Arial" w:eastAsia="Arial" w:hAnsi="Arial"/>
                <w:sz w:val="13"/>
                <w:szCs w:val="13"/>
                <w:color w:val="auto"/>
              </w:rPr>
              <w:t>30,547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498</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Dick's Sporting Goods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McDonough,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JOANN Fabric</w:t>
            </w:r>
          </w:p>
        </w:tc>
        <w:tc>
          <w:tcPr>
            <w:tcW w:w="1720" w:type="dxa"/>
            <w:vAlign w:val="bottom"/>
            <w:gridSpan w:val="2"/>
          </w:tcPr>
          <w:p>
            <w:pPr>
              <w:spacing w:after="0"/>
              <w:rPr>
                <w:sz w:val="20"/>
                <w:szCs w:val="20"/>
                <w:color w:val="auto"/>
              </w:rPr>
            </w:pPr>
            <w:r>
              <w:rPr>
                <w:rFonts w:ascii="Arial" w:cs="Arial" w:eastAsia="Arial" w:hAnsi="Arial"/>
                <w:sz w:val="13"/>
                <w:szCs w:val="13"/>
                <w:color w:val="auto"/>
              </w:rPr>
              <w:t>Saugus, MA</w:t>
            </w:r>
          </w:p>
        </w:tc>
        <w:tc>
          <w:tcPr>
            <w:tcW w:w="980" w:type="dxa"/>
            <w:vAlign w:val="bottom"/>
          </w:tcPr>
          <w:p>
            <w:pPr>
              <w:jc w:val="right"/>
              <w:spacing w:after="0"/>
              <w:rPr>
                <w:sz w:val="20"/>
                <w:szCs w:val="20"/>
                <w:color w:val="auto"/>
              </w:rPr>
            </w:pPr>
            <w:r>
              <w:rPr>
                <w:rFonts w:ascii="Arial" w:cs="Arial" w:eastAsia="Arial" w:hAnsi="Arial"/>
                <w:sz w:val="13"/>
                <w:szCs w:val="13"/>
                <w:color w:val="auto"/>
              </w:rPr>
              <w:t>22,500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468</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Conn's HomePlus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Hurst,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Old Time Pottery</w:t>
            </w:r>
          </w:p>
        </w:tc>
        <w:tc>
          <w:tcPr>
            <w:tcW w:w="1720" w:type="dxa"/>
            <w:vAlign w:val="bottom"/>
            <w:gridSpan w:val="2"/>
          </w:tcPr>
          <w:p>
            <w:pPr>
              <w:spacing w:after="0"/>
              <w:rPr>
                <w:sz w:val="20"/>
                <w:szCs w:val="20"/>
                <w:color w:val="auto"/>
              </w:rPr>
            </w:pPr>
            <w:r>
              <w:rPr>
                <w:rFonts w:ascii="Arial" w:cs="Arial" w:eastAsia="Arial" w:hAnsi="Arial"/>
                <w:sz w:val="13"/>
                <w:szCs w:val="13"/>
                <w:color w:val="auto"/>
              </w:rPr>
              <w:t>Orange Park, FL</w:t>
            </w:r>
          </w:p>
        </w:tc>
        <w:tc>
          <w:tcPr>
            <w:tcW w:w="980" w:type="dxa"/>
            <w:vAlign w:val="bottom"/>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Best Buy</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Dayton, OH</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7-Eleven</w:t>
            </w:r>
          </w:p>
        </w:tc>
        <w:tc>
          <w:tcPr>
            <w:tcW w:w="1720" w:type="dxa"/>
            <w:vAlign w:val="bottom"/>
            <w:gridSpan w:val="2"/>
          </w:tcPr>
          <w:p>
            <w:pPr>
              <w:spacing w:after="0"/>
              <w:rPr>
                <w:sz w:val="20"/>
                <w:szCs w:val="20"/>
                <w:color w:val="auto"/>
              </w:rPr>
            </w:pPr>
            <w:r>
              <w:rPr>
                <w:rFonts w:ascii="Arial" w:cs="Arial" w:eastAsia="Arial" w:hAnsi="Arial"/>
                <w:sz w:val="13"/>
                <w:szCs w:val="13"/>
                <w:color w:val="auto"/>
              </w:rPr>
              <w:t>Austin, TX</w:t>
            </w:r>
          </w:p>
        </w:tc>
        <w:tc>
          <w:tcPr>
            <w:tcW w:w="980" w:type="dxa"/>
            <w:vAlign w:val="bottom"/>
          </w:tcPr>
          <w:p>
            <w:pPr>
              <w:jc w:val="right"/>
              <w:spacing w:after="0"/>
              <w:rPr>
                <w:sz w:val="20"/>
                <w:szCs w:val="20"/>
                <w:color w:val="auto"/>
              </w:rPr>
            </w:pPr>
            <w:r>
              <w:rPr>
                <w:rFonts w:ascii="Arial" w:cs="Arial" w:eastAsia="Arial" w:hAnsi="Arial"/>
                <w:sz w:val="13"/>
                <w:szCs w:val="13"/>
                <w:color w:val="auto"/>
              </w:rPr>
              <w:t>6,400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377</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Birmingham, AL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Walgreens</w:t>
            </w:r>
          </w:p>
        </w:tc>
        <w:tc>
          <w:tcPr>
            <w:tcW w:w="1720" w:type="dxa"/>
            <w:vAlign w:val="bottom"/>
            <w:gridSpan w:val="2"/>
          </w:tcPr>
          <w:p>
            <w:pPr>
              <w:spacing w:after="0"/>
              <w:rPr>
                <w:sz w:val="20"/>
                <w:szCs w:val="20"/>
                <w:color w:val="auto"/>
              </w:rPr>
            </w:pPr>
            <w:r>
              <w:rPr>
                <w:rFonts w:ascii="Arial" w:cs="Arial" w:eastAsia="Arial" w:hAnsi="Arial"/>
                <w:sz w:val="13"/>
                <w:szCs w:val="13"/>
                <w:color w:val="auto"/>
              </w:rPr>
              <w:t>Alpharetta, GA</w:t>
            </w:r>
          </w:p>
        </w:tc>
        <w:tc>
          <w:tcPr>
            <w:tcW w:w="980" w:type="dxa"/>
            <w:vAlign w:val="bottom"/>
          </w:tcPr>
          <w:p>
            <w:pPr>
              <w:jc w:val="right"/>
              <w:spacing w:after="0"/>
              <w:rPr>
                <w:sz w:val="20"/>
                <w:szCs w:val="20"/>
                <w:color w:val="auto"/>
              </w:rPr>
            </w:pPr>
            <w:r>
              <w:rPr>
                <w:rFonts w:ascii="Arial" w:cs="Arial" w:eastAsia="Arial" w:hAnsi="Arial"/>
                <w:sz w:val="13"/>
                <w:szCs w:val="13"/>
                <w:color w:val="auto"/>
              </w:rPr>
              <w:t>15,120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Best Buy</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McDonough,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Big Lots</w:t>
            </w:r>
          </w:p>
        </w:tc>
        <w:tc>
          <w:tcPr>
            <w:tcW w:w="1720" w:type="dxa"/>
            <w:vAlign w:val="bottom"/>
            <w:gridSpan w:val="2"/>
          </w:tcPr>
          <w:p>
            <w:pPr>
              <w:spacing w:after="0"/>
              <w:rPr>
                <w:sz w:val="20"/>
                <w:szCs w:val="20"/>
                <w:color w:val="auto"/>
              </w:rPr>
            </w:pPr>
            <w:r>
              <w:rPr>
                <w:rFonts w:ascii="Arial" w:cs="Arial" w:eastAsia="Arial" w:hAnsi="Arial"/>
                <w:sz w:val="13"/>
                <w:szCs w:val="13"/>
                <w:color w:val="auto"/>
              </w:rPr>
              <w:t>Germantown, MD</w:t>
            </w:r>
          </w:p>
        </w:tc>
        <w:tc>
          <w:tcPr>
            <w:tcW w:w="980" w:type="dxa"/>
            <w:vAlign w:val="bottom"/>
          </w:tcPr>
          <w:p>
            <w:pPr>
              <w:jc w:val="right"/>
              <w:spacing w:after="0"/>
              <w:rPr>
                <w:sz w:val="20"/>
                <w:szCs w:val="20"/>
                <w:color w:val="auto"/>
              </w:rPr>
            </w:pPr>
            <w:r>
              <w:rPr>
                <w:rFonts w:ascii="Arial" w:cs="Arial" w:eastAsia="Arial" w:hAnsi="Arial"/>
                <w:sz w:val="13"/>
                <w:szCs w:val="13"/>
                <w:color w:val="auto"/>
              </w:rPr>
              <w:t>25,589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334</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 Lots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Phoenix, AZ</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BP</w:t>
            </w:r>
          </w:p>
        </w:tc>
        <w:tc>
          <w:tcPr>
            <w:tcW w:w="1720" w:type="dxa"/>
            <w:vAlign w:val="bottom"/>
            <w:gridSpan w:val="2"/>
          </w:tcPr>
          <w:p>
            <w:pPr>
              <w:spacing w:after="0"/>
              <w:rPr>
                <w:sz w:val="20"/>
                <w:szCs w:val="20"/>
                <w:color w:val="auto"/>
              </w:rPr>
            </w:pPr>
            <w:r>
              <w:rPr>
                <w:rFonts w:ascii="Arial" w:cs="Arial" w:eastAsia="Arial" w:hAnsi="Arial"/>
                <w:sz w:val="13"/>
                <w:szCs w:val="13"/>
                <w:color w:val="auto"/>
              </w:rPr>
              <w:t>Highland Heights, KY</w:t>
            </w:r>
          </w:p>
        </w:tc>
        <w:tc>
          <w:tcPr>
            <w:tcW w:w="980" w:type="dxa"/>
            <w:vAlign w:val="bottom"/>
          </w:tcPr>
          <w:p>
            <w:pPr>
              <w:jc w:val="right"/>
              <w:spacing w:after="0"/>
              <w:rPr>
                <w:sz w:val="20"/>
                <w:szCs w:val="20"/>
                <w:color w:val="auto"/>
              </w:rPr>
            </w:pPr>
            <w:r>
              <w:rPr>
                <w:rFonts w:ascii="Arial" w:cs="Arial" w:eastAsia="Arial" w:hAnsi="Arial"/>
                <w:sz w:val="13"/>
                <w:szCs w:val="13"/>
                <w:color w:val="auto"/>
              </w:rPr>
              <w:t>2,578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329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Clermont, FL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Verizon</w:t>
            </w:r>
          </w:p>
        </w:tc>
        <w:tc>
          <w:tcPr>
            <w:tcW w:w="1720" w:type="dxa"/>
            <w:vAlign w:val="bottom"/>
            <w:gridSpan w:val="2"/>
          </w:tcPr>
          <w:p>
            <w:pPr>
              <w:spacing w:after="0"/>
              <w:rPr>
                <w:sz w:val="20"/>
                <w:szCs w:val="20"/>
                <w:color w:val="auto"/>
              </w:rPr>
            </w:pPr>
            <w:r>
              <w:rPr>
                <w:rFonts w:ascii="Arial" w:cs="Arial" w:eastAsia="Arial" w:hAnsi="Arial"/>
                <w:sz w:val="13"/>
                <w:szCs w:val="13"/>
                <w:color w:val="auto"/>
              </w:rPr>
              <w:t>Turnersville, NJ</w:t>
            </w:r>
          </w:p>
        </w:tc>
        <w:tc>
          <w:tcPr>
            <w:tcW w:w="980" w:type="dxa"/>
            <w:vAlign w:val="bottom"/>
          </w:tcPr>
          <w:p>
            <w:pPr>
              <w:jc w:val="right"/>
              <w:spacing w:after="0"/>
              <w:rPr>
                <w:sz w:val="20"/>
                <w:szCs w:val="20"/>
                <w:color w:val="auto"/>
              </w:rPr>
            </w:pPr>
            <w:r>
              <w:rPr>
                <w:rFonts w:ascii="Arial" w:cs="Arial" w:eastAsia="Arial" w:hAnsi="Arial"/>
                <w:sz w:val="13"/>
                <w:szCs w:val="13"/>
                <w:color w:val="auto"/>
              </w:rPr>
              <w:t>6,027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326</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Depot</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Albuquerque, NM</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30,346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Charles Schwab</w:t>
            </w:r>
          </w:p>
        </w:tc>
        <w:tc>
          <w:tcPr>
            <w:tcW w:w="1720" w:type="dxa"/>
            <w:vAlign w:val="bottom"/>
            <w:gridSpan w:val="2"/>
          </w:tcPr>
          <w:p>
            <w:pPr>
              <w:spacing w:after="0"/>
              <w:rPr>
                <w:sz w:val="20"/>
                <w:szCs w:val="20"/>
                <w:color w:val="auto"/>
              </w:rPr>
            </w:pPr>
            <w:r>
              <w:rPr>
                <w:rFonts w:ascii="Arial" w:cs="Arial" w:eastAsia="Arial" w:hAnsi="Arial"/>
                <w:sz w:val="13"/>
                <w:szCs w:val="13"/>
                <w:color w:val="auto"/>
              </w:rPr>
              <w:t>Webster, TX</w:t>
            </w:r>
          </w:p>
        </w:tc>
        <w:tc>
          <w:tcPr>
            <w:tcW w:w="980" w:type="dxa"/>
            <w:vAlign w:val="bottom"/>
          </w:tcPr>
          <w:p>
            <w:pPr>
              <w:jc w:val="right"/>
              <w:spacing w:after="0"/>
              <w:rPr>
                <w:sz w:val="20"/>
                <w:szCs w:val="20"/>
                <w:color w:val="auto"/>
              </w:rPr>
            </w:pPr>
            <w:r>
              <w:rPr>
                <w:rFonts w:ascii="Arial" w:cs="Arial" w:eastAsia="Arial" w:hAnsi="Arial"/>
                <w:sz w:val="13"/>
                <w:szCs w:val="13"/>
                <w:color w:val="auto"/>
              </w:rPr>
              <w:t>5,556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7-Eleven</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Georgetown,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Walgreens</w:t>
            </w:r>
          </w:p>
        </w:tc>
        <w:tc>
          <w:tcPr>
            <w:tcW w:w="1720" w:type="dxa"/>
            <w:vAlign w:val="bottom"/>
            <w:gridSpan w:val="2"/>
          </w:tcPr>
          <w:p>
            <w:pPr>
              <w:spacing w:after="0"/>
              <w:rPr>
                <w:sz w:val="20"/>
                <w:szCs w:val="20"/>
                <w:color w:val="auto"/>
              </w:rPr>
            </w:pPr>
            <w:r>
              <w:rPr>
                <w:rFonts w:ascii="Arial" w:cs="Arial" w:eastAsia="Arial" w:hAnsi="Arial"/>
                <w:sz w:val="13"/>
                <w:szCs w:val="13"/>
                <w:color w:val="auto"/>
              </w:rPr>
              <w:t>Tacoma, WA</w:t>
            </w:r>
          </w:p>
        </w:tc>
        <w:tc>
          <w:tcPr>
            <w:tcW w:w="980" w:type="dxa"/>
            <w:vAlign w:val="bottom"/>
          </w:tcPr>
          <w:p>
            <w:pPr>
              <w:jc w:val="right"/>
              <w:spacing w:after="0"/>
              <w:rPr>
                <w:sz w:val="20"/>
                <w:szCs w:val="20"/>
                <w:color w:val="auto"/>
              </w:rPr>
            </w:pPr>
            <w:r>
              <w:rPr>
                <w:rFonts w:ascii="Arial" w:cs="Arial" w:eastAsia="Arial" w:hAnsi="Arial"/>
                <w:sz w:val="13"/>
                <w:szCs w:val="13"/>
                <w:color w:val="auto"/>
              </w:rPr>
              <w:t>14,125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259</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Albany,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Walmart</w:t>
            </w:r>
          </w:p>
        </w:tc>
        <w:tc>
          <w:tcPr>
            <w:tcW w:w="1720" w:type="dxa"/>
            <w:vAlign w:val="bottom"/>
            <w:gridSpan w:val="2"/>
          </w:tcPr>
          <w:p>
            <w:pPr>
              <w:spacing w:after="0"/>
              <w:rPr>
                <w:sz w:val="20"/>
                <w:szCs w:val="20"/>
                <w:color w:val="auto"/>
              </w:rPr>
            </w:pPr>
            <w:r>
              <w:rPr>
                <w:rFonts w:ascii="Arial" w:cs="Arial" w:eastAsia="Arial" w:hAnsi="Arial"/>
                <w:sz w:val="13"/>
                <w:szCs w:val="13"/>
                <w:color w:val="auto"/>
              </w:rPr>
              <w:t>Hempstead, TX</w:t>
            </w:r>
          </w:p>
        </w:tc>
        <w:tc>
          <w:tcPr>
            <w:tcW w:w="980" w:type="dxa"/>
            <w:vAlign w:val="bottom"/>
          </w:tcPr>
          <w:p>
            <w:pPr>
              <w:jc w:val="right"/>
              <w:spacing w:after="0"/>
              <w:rPr>
                <w:sz w:val="20"/>
                <w:szCs w:val="20"/>
                <w:color w:val="auto"/>
              </w:rPr>
            </w:pPr>
            <w:r>
              <w:rPr>
                <w:rFonts w:ascii="Arial" w:cs="Arial" w:eastAsia="Arial" w:hAnsi="Arial"/>
                <w:sz w:val="13"/>
                <w:szCs w:val="13"/>
                <w:color w:val="auto"/>
              </w:rPr>
              <w:t>52,190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Buffalo Wild Wings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Hattiesburg, MS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Ashley HomeStore</w:t>
            </w:r>
          </w:p>
        </w:tc>
        <w:tc>
          <w:tcPr>
            <w:tcW w:w="1720" w:type="dxa"/>
            <w:vAlign w:val="bottom"/>
            <w:gridSpan w:val="2"/>
          </w:tcPr>
          <w:p>
            <w:pPr>
              <w:spacing w:after="0"/>
              <w:rPr>
                <w:sz w:val="20"/>
                <w:szCs w:val="20"/>
                <w:color w:val="auto"/>
              </w:rPr>
            </w:pPr>
            <w:r>
              <w:rPr>
                <w:rFonts w:ascii="Arial" w:cs="Arial" w:eastAsia="Arial" w:hAnsi="Arial"/>
                <w:sz w:val="13"/>
                <w:szCs w:val="13"/>
                <w:color w:val="auto"/>
              </w:rPr>
              <w:t>Dayton, OH</w:t>
            </w:r>
          </w:p>
        </w:tc>
        <w:tc>
          <w:tcPr>
            <w:tcW w:w="980" w:type="dxa"/>
            <w:vAlign w:val="bottom"/>
          </w:tcPr>
          <w:p>
            <w:pPr>
              <w:jc w:val="right"/>
              <w:spacing w:after="0"/>
              <w:rPr>
                <w:sz w:val="20"/>
                <w:szCs w:val="20"/>
                <w:color w:val="auto"/>
              </w:rPr>
            </w:pPr>
            <w:r>
              <w:rPr>
                <w:rFonts w:ascii="Arial" w:cs="Arial" w:eastAsia="Arial" w:hAnsi="Arial"/>
                <w:sz w:val="13"/>
                <w:szCs w:val="13"/>
                <w:color w:val="auto"/>
              </w:rPr>
              <w:t>33,161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248</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Hobby Lobby</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Aberdeen, SD</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7-Eleven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Olathe, KS</w:t>
            </w:r>
          </w:p>
        </w:tc>
        <w:tc>
          <w:tcPr>
            <w:tcW w:w="980" w:type="dxa"/>
            <w:vAlign w:val="bottom"/>
          </w:tcPr>
          <w:p>
            <w:pPr>
              <w:jc w:val="right"/>
              <w:spacing w:after="0"/>
              <w:rPr>
                <w:sz w:val="20"/>
                <w:szCs w:val="20"/>
                <w:color w:val="auto"/>
              </w:rPr>
            </w:pPr>
            <w:r>
              <w:rPr>
                <w:rFonts w:ascii="Arial" w:cs="Arial" w:eastAsia="Arial" w:hAnsi="Arial"/>
                <w:sz w:val="13"/>
                <w:szCs w:val="13"/>
                <w:color w:val="auto"/>
              </w:rPr>
              <w:t>4,165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Max</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Gadsen, AL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Circle K</w:t>
            </w:r>
          </w:p>
        </w:tc>
        <w:tc>
          <w:tcPr>
            <w:tcW w:w="1720" w:type="dxa"/>
            <w:vAlign w:val="bottom"/>
            <w:gridSpan w:val="2"/>
          </w:tcPr>
          <w:p>
            <w:pPr>
              <w:spacing w:after="0"/>
              <w:rPr>
                <w:sz w:val="20"/>
                <w:szCs w:val="20"/>
                <w:color w:val="auto"/>
              </w:rPr>
            </w:pPr>
            <w:r>
              <w:rPr>
                <w:rFonts w:ascii="Arial" w:cs="Arial" w:eastAsia="Arial" w:hAnsi="Arial"/>
                <w:sz w:val="13"/>
                <w:szCs w:val="13"/>
                <w:color w:val="auto"/>
              </w:rPr>
              <w:t>Indianapolis, IN</w:t>
            </w:r>
          </w:p>
        </w:tc>
        <w:tc>
          <w:tcPr>
            <w:tcW w:w="980" w:type="dxa"/>
            <w:vAlign w:val="bottom"/>
          </w:tcPr>
          <w:p>
            <w:pPr>
              <w:jc w:val="right"/>
              <w:spacing w:after="0"/>
              <w:rPr>
                <w:sz w:val="20"/>
                <w:szCs w:val="20"/>
                <w:color w:val="auto"/>
              </w:rPr>
            </w:pPr>
            <w:r>
              <w:rPr>
                <w:rFonts w:ascii="Arial" w:cs="Arial" w:eastAsia="Arial" w:hAnsi="Arial"/>
                <w:sz w:val="13"/>
                <w:szCs w:val="13"/>
                <w:color w:val="auto"/>
              </w:rPr>
              <w:t>4,283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Scrubbles Car Wash </w:t>
            </w:r>
            <w:r>
              <w:rPr>
                <w:rFonts w:ascii="Arial" w:cs="Arial" w:eastAsia="Arial" w:hAnsi="Arial"/>
                <w:sz w:val="17"/>
                <w:szCs w:val="17"/>
                <w:color w:val="auto"/>
                <w:vertAlign w:val="superscript"/>
              </w:rPr>
              <w:t>(3)</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Jacksonville, FL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Cheddar's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Jacksonville, FL</w:t>
            </w:r>
          </w:p>
        </w:tc>
        <w:tc>
          <w:tcPr>
            <w:tcW w:w="980" w:type="dxa"/>
            <w:vAlign w:val="bottom"/>
          </w:tcPr>
          <w:p>
            <w:pPr>
              <w:jc w:val="right"/>
              <w:spacing w:after="0"/>
              <w:rPr>
                <w:sz w:val="20"/>
                <w:szCs w:val="20"/>
                <w:color w:val="auto"/>
              </w:rPr>
            </w:pPr>
            <w:r>
              <w:rPr>
                <w:rFonts w:ascii="Arial" w:cs="Arial" w:eastAsia="Arial" w:hAnsi="Arial"/>
                <w:sz w:val="13"/>
                <w:szCs w:val="13"/>
                <w:color w:val="auto"/>
              </w:rPr>
              <w:t>8,146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Olive Garden </w:t>
            </w:r>
            <w:r>
              <w:rPr>
                <w:rFonts w:ascii="Arial" w:cs="Arial" w:eastAsia="Arial" w:hAnsi="Arial"/>
                <w:sz w:val="17"/>
                <w:szCs w:val="17"/>
                <w:color w:val="auto"/>
                <w:vertAlign w:val="superscript"/>
              </w:rPr>
              <w:t>(3)</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Friendswood,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Crazy Alan's Swamp Shack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Friendswood, TX</w:t>
            </w:r>
          </w:p>
        </w:tc>
        <w:tc>
          <w:tcPr>
            <w:tcW w:w="980" w:type="dxa"/>
            <w:vAlign w:val="bottom"/>
          </w:tcPr>
          <w:p>
            <w:pPr>
              <w:jc w:val="right"/>
              <w:spacing w:after="0"/>
              <w:rPr>
                <w:sz w:val="20"/>
                <w:szCs w:val="20"/>
                <w:color w:val="auto"/>
              </w:rPr>
            </w:pPr>
            <w:r>
              <w:rPr>
                <w:rFonts w:ascii="Arial" w:cs="Arial" w:eastAsia="Arial" w:hAnsi="Arial"/>
                <w:sz w:val="13"/>
                <w:szCs w:val="13"/>
                <w:color w:val="auto"/>
              </w:rPr>
              <w:t>9,356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Mattress Firm</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Richmond, IN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LongHorn Steakhouse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Webster, TX</w:t>
            </w:r>
          </w:p>
        </w:tc>
        <w:tc>
          <w:tcPr>
            <w:tcW w:w="980" w:type="dxa"/>
            <w:vAlign w:val="bottom"/>
          </w:tcPr>
          <w:p>
            <w:pPr>
              <w:jc w:val="right"/>
              <w:spacing w:after="0"/>
              <w:rPr>
                <w:sz w:val="20"/>
                <w:szCs w:val="20"/>
                <w:color w:val="auto"/>
              </w:rPr>
            </w:pPr>
            <w:r>
              <w:rPr>
                <w:rFonts w:ascii="Arial" w:cs="Arial" w:eastAsia="Arial" w:hAnsi="Arial"/>
                <w:sz w:val="13"/>
                <w:szCs w:val="13"/>
                <w:color w:val="auto"/>
              </w:rPr>
              <w:t>7,000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Visionworks </w:t>
            </w:r>
            <w:r>
              <w:rPr>
                <w:rFonts w:ascii="Arial" w:cs="Arial" w:eastAsia="Arial" w:hAnsi="Arial"/>
                <w:sz w:val="17"/>
                <w:szCs w:val="17"/>
                <w:color w:val="auto"/>
                <w:vertAlign w:val="superscript"/>
              </w:rPr>
              <w:t>(3)</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Friendswood,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The Burger Joint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Friendswood, TX</w:t>
            </w:r>
          </w:p>
        </w:tc>
        <w:tc>
          <w:tcPr>
            <w:tcW w:w="980" w:type="dxa"/>
            <w:vAlign w:val="bottom"/>
          </w:tcPr>
          <w:p>
            <w:pPr>
              <w:jc w:val="right"/>
              <w:spacing w:after="0"/>
              <w:rPr>
                <w:sz w:val="20"/>
                <w:szCs w:val="20"/>
                <w:color w:val="auto"/>
              </w:rPr>
            </w:pPr>
            <w:r>
              <w:rPr>
                <w:rFonts w:ascii="Arial" w:cs="Arial" w:eastAsia="Arial" w:hAnsi="Arial"/>
                <w:sz w:val="13"/>
                <w:szCs w:val="13"/>
                <w:color w:val="auto"/>
              </w:rPr>
              <w:t>4,054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Lynn, MA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Orscheln Farm and Home</w:t>
            </w:r>
          </w:p>
        </w:tc>
        <w:tc>
          <w:tcPr>
            <w:tcW w:w="1720" w:type="dxa"/>
            <w:vAlign w:val="bottom"/>
            <w:gridSpan w:val="2"/>
          </w:tcPr>
          <w:p>
            <w:pPr>
              <w:spacing w:after="0"/>
              <w:rPr>
                <w:sz w:val="20"/>
                <w:szCs w:val="20"/>
                <w:color w:val="auto"/>
              </w:rPr>
            </w:pPr>
            <w:r>
              <w:rPr>
                <w:rFonts w:ascii="Arial" w:cs="Arial" w:eastAsia="Arial" w:hAnsi="Arial"/>
                <w:sz w:val="13"/>
                <w:szCs w:val="13"/>
                <w:color w:val="auto"/>
              </w:rPr>
              <w:t>Durant, OK</w:t>
            </w:r>
          </w:p>
        </w:tc>
        <w:tc>
          <w:tcPr>
            <w:tcW w:w="980" w:type="dxa"/>
            <w:vAlign w:val="bottom"/>
          </w:tcPr>
          <w:p>
            <w:pPr>
              <w:jc w:val="right"/>
              <w:spacing w:after="0"/>
              <w:rPr>
                <w:sz w:val="20"/>
                <w:szCs w:val="20"/>
                <w:color w:val="auto"/>
              </w:rPr>
            </w:pPr>
            <w:r>
              <w:rPr>
                <w:rFonts w:ascii="Arial" w:cs="Arial" w:eastAsia="Arial" w:hAnsi="Arial"/>
                <w:sz w:val="13"/>
                <w:szCs w:val="13"/>
                <w:color w:val="auto"/>
              </w:rPr>
              <w:t>37,965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156</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Ethan Allen </w:t>
            </w:r>
            <w:r>
              <w:rPr>
                <w:rFonts w:ascii="Arial" w:cs="Arial" w:eastAsia="Arial" w:hAnsi="Arial"/>
                <w:sz w:val="17"/>
                <w:szCs w:val="17"/>
                <w:color w:val="auto"/>
                <w:vertAlign w:val="superscript"/>
              </w:rPr>
              <w:t>(3)</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Friendswood,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Advance Auto Parts</w:t>
            </w:r>
          </w:p>
        </w:tc>
        <w:tc>
          <w:tcPr>
            <w:tcW w:w="1720" w:type="dxa"/>
            <w:vAlign w:val="bottom"/>
            <w:gridSpan w:val="2"/>
          </w:tcPr>
          <w:p>
            <w:pPr>
              <w:spacing w:after="0"/>
              <w:rPr>
                <w:sz w:val="20"/>
                <w:szCs w:val="20"/>
                <w:color w:val="auto"/>
              </w:rPr>
            </w:pPr>
            <w:r>
              <w:rPr>
                <w:rFonts w:ascii="Arial" w:cs="Arial" w:eastAsia="Arial" w:hAnsi="Arial"/>
                <w:sz w:val="13"/>
                <w:szCs w:val="13"/>
                <w:color w:val="auto"/>
              </w:rPr>
              <w:t>St. Paul, MN</w:t>
            </w:r>
          </w:p>
        </w:tc>
        <w:tc>
          <w:tcPr>
            <w:tcW w:w="980" w:type="dxa"/>
            <w:vAlign w:val="bottom"/>
          </w:tcPr>
          <w:p>
            <w:pPr>
              <w:jc w:val="right"/>
              <w:spacing w:after="0"/>
              <w:rPr>
                <w:sz w:val="20"/>
                <w:szCs w:val="20"/>
                <w:color w:val="auto"/>
              </w:rPr>
            </w:pPr>
            <w:r>
              <w:rPr>
                <w:rFonts w:ascii="Arial" w:cs="Arial" w:eastAsia="Arial" w:hAnsi="Arial"/>
                <w:sz w:val="13"/>
                <w:szCs w:val="13"/>
                <w:color w:val="auto"/>
              </w:rPr>
              <w:t>7,201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Tractor Supply</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Washington Court House, OH</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39,984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Advanced Auto Parts</w:t>
            </w:r>
          </w:p>
        </w:tc>
        <w:tc>
          <w:tcPr>
            <w:tcW w:w="1720" w:type="dxa"/>
            <w:vAlign w:val="bottom"/>
            <w:gridSpan w:val="2"/>
          </w:tcPr>
          <w:p>
            <w:pPr>
              <w:spacing w:after="0"/>
              <w:rPr>
                <w:sz w:val="20"/>
                <w:szCs w:val="20"/>
                <w:color w:val="auto"/>
              </w:rPr>
            </w:pPr>
            <w:r>
              <w:rPr>
                <w:rFonts w:ascii="Arial" w:cs="Arial" w:eastAsia="Arial" w:hAnsi="Arial"/>
                <w:sz w:val="13"/>
                <w:szCs w:val="13"/>
                <w:color w:val="auto"/>
              </w:rPr>
              <w:t>Severn, MD</w:t>
            </w:r>
          </w:p>
        </w:tc>
        <w:tc>
          <w:tcPr>
            <w:tcW w:w="980" w:type="dxa"/>
            <w:vAlign w:val="bottom"/>
          </w:tcPr>
          <w:p>
            <w:pPr>
              <w:jc w:val="right"/>
              <w:spacing w:after="0"/>
              <w:rPr>
                <w:sz w:val="20"/>
                <w:szCs w:val="20"/>
                <w:color w:val="auto"/>
              </w:rPr>
            </w:pPr>
            <w:r>
              <w:rPr>
                <w:rFonts w:ascii="Arial" w:cs="Arial" w:eastAsia="Arial" w:hAnsi="Arial"/>
                <w:sz w:val="13"/>
                <w:szCs w:val="13"/>
                <w:color w:val="auto"/>
              </w:rPr>
              <w:t>6,876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 Lots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Durant, OK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O'Reilly Auto Parts</w:t>
            </w:r>
          </w:p>
        </w:tc>
        <w:tc>
          <w:tcPr>
            <w:tcW w:w="1720" w:type="dxa"/>
            <w:vAlign w:val="bottom"/>
            <w:gridSpan w:val="2"/>
          </w:tcPr>
          <w:p>
            <w:pPr>
              <w:spacing w:after="0"/>
              <w:rPr>
                <w:sz w:val="20"/>
                <w:szCs w:val="20"/>
                <w:color w:val="auto"/>
              </w:rPr>
            </w:pPr>
            <w:r>
              <w:rPr>
                <w:rFonts w:ascii="Arial" w:cs="Arial" w:eastAsia="Arial" w:hAnsi="Arial"/>
                <w:sz w:val="13"/>
                <w:szCs w:val="13"/>
                <w:color w:val="auto"/>
              </w:rPr>
              <w:t>Angels Camp, CA</w:t>
            </w:r>
          </w:p>
        </w:tc>
        <w:tc>
          <w:tcPr>
            <w:tcW w:w="980" w:type="dxa"/>
            <w:vAlign w:val="bottom"/>
          </w:tcPr>
          <w:p>
            <w:pPr>
              <w:jc w:val="right"/>
              <w:spacing w:after="0"/>
              <w:rPr>
                <w:sz w:val="20"/>
                <w:szCs w:val="20"/>
                <w:color w:val="auto"/>
              </w:rPr>
            </w:pPr>
            <w:r>
              <w:rPr>
                <w:rFonts w:ascii="Arial" w:cs="Arial" w:eastAsia="Arial" w:hAnsi="Arial"/>
                <w:sz w:val="13"/>
                <w:szCs w:val="13"/>
                <w:color w:val="auto"/>
              </w:rPr>
              <w:t>7,066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Kermit,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Burger King</w:t>
            </w:r>
          </w:p>
        </w:tc>
        <w:tc>
          <w:tcPr>
            <w:tcW w:w="1720" w:type="dxa"/>
            <w:vAlign w:val="bottom"/>
            <w:gridSpan w:val="2"/>
          </w:tcPr>
          <w:p>
            <w:pPr>
              <w:spacing w:after="0"/>
              <w:rPr>
                <w:sz w:val="20"/>
                <w:szCs w:val="20"/>
                <w:color w:val="auto"/>
              </w:rPr>
            </w:pPr>
            <w:r>
              <w:rPr>
                <w:rFonts w:ascii="Arial" w:cs="Arial" w:eastAsia="Arial" w:hAnsi="Arial"/>
                <w:sz w:val="13"/>
                <w:szCs w:val="13"/>
                <w:color w:val="auto"/>
              </w:rPr>
              <w:t>Plymouth, NC</w:t>
            </w:r>
          </w:p>
        </w:tc>
        <w:tc>
          <w:tcPr>
            <w:tcW w:w="980" w:type="dxa"/>
            <w:vAlign w:val="bottom"/>
          </w:tcPr>
          <w:p>
            <w:pPr>
              <w:jc w:val="right"/>
              <w:spacing w:after="0"/>
              <w:rPr>
                <w:sz w:val="20"/>
                <w:szCs w:val="20"/>
                <w:color w:val="auto"/>
              </w:rPr>
            </w:pPr>
            <w:r>
              <w:rPr>
                <w:rFonts w:ascii="Arial" w:cs="Arial" w:eastAsia="Arial" w:hAnsi="Arial"/>
                <w:sz w:val="13"/>
                <w:szCs w:val="13"/>
                <w:color w:val="auto"/>
              </w:rPr>
              <w:t>3,142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Harbor Freight</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Midland, MI</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Orscheln Farm and Home</w:t>
            </w:r>
          </w:p>
        </w:tc>
        <w:tc>
          <w:tcPr>
            <w:tcW w:w="1720" w:type="dxa"/>
            <w:vAlign w:val="bottom"/>
            <w:gridSpan w:val="2"/>
          </w:tcPr>
          <w:p>
            <w:pPr>
              <w:spacing w:after="0"/>
              <w:rPr>
                <w:sz w:val="20"/>
                <w:szCs w:val="20"/>
                <w:color w:val="auto"/>
              </w:rPr>
            </w:pPr>
            <w:r>
              <w:rPr>
                <w:rFonts w:ascii="Arial" w:cs="Arial" w:eastAsia="Arial" w:hAnsi="Arial"/>
                <w:sz w:val="13"/>
                <w:szCs w:val="13"/>
                <w:color w:val="auto"/>
              </w:rPr>
              <w:t>California, MO</w:t>
            </w:r>
          </w:p>
        </w:tc>
        <w:tc>
          <w:tcPr>
            <w:tcW w:w="980" w:type="dxa"/>
            <w:vAlign w:val="bottom"/>
          </w:tcPr>
          <w:p>
            <w:pPr>
              <w:jc w:val="right"/>
              <w:spacing w:after="0"/>
              <w:rPr>
                <w:sz w:val="20"/>
                <w:szCs w:val="20"/>
                <w:color w:val="auto"/>
              </w:rPr>
            </w:pPr>
            <w:r>
              <w:rPr>
                <w:rFonts w:ascii="Arial" w:cs="Arial" w:eastAsia="Arial" w:hAnsi="Arial"/>
                <w:sz w:val="13"/>
                <w:szCs w:val="13"/>
                <w:color w:val="auto"/>
              </w:rPr>
              <w:t>23,042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Orscheln Farm and Home</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Owensville, MO</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38,452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Chazy, NY</w:t>
            </w:r>
          </w:p>
        </w:tc>
        <w:tc>
          <w:tcPr>
            <w:tcW w:w="980" w:type="dxa"/>
            <w:vAlign w:val="bottom"/>
          </w:tcPr>
          <w:p>
            <w:pPr>
              <w:jc w:val="right"/>
              <w:spacing w:after="0"/>
              <w:rPr>
                <w:sz w:val="20"/>
                <w:szCs w:val="20"/>
                <w:color w:val="auto"/>
              </w:rPr>
            </w:pPr>
            <w:r>
              <w:rPr>
                <w:rFonts w:ascii="Arial" w:cs="Arial" w:eastAsia="Arial" w:hAnsi="Arial"/>
                <w:sz w:val="13"/>
                <w:szCs w:val="13"/>
                <w:color w:val="auto"/>
              </w:rPr>
              <w:t>9,277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119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Odessa,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tcPr>
          <w:p>
            <w:pPr>
              <w:spacing w:after="0"/>
              <w:rPr>
                <w:sz w:val="20"/>
                <w:szCs w:val="20"/>
                <w:color w:val="auto"/>
              </w:rPr>
            </w:pPr>
            <w:r>
              <w:rPr>
                <w:rFonts w:ascii="Arial" w:cs="Arial" w:eastAsia="Arial" w:hAnsi="Arial"/>
                <w:sz w:val="13"/>
                <w:szCs w:val="13"/>
                <w:color w:val="auto"/>
              </w:rPr>
              <w:t>McKenny, VA</w:t>
            </w:r>
          </w:p>
        </w:tc>
        <w:tc>
          <w:tcPr>
            <w:tcW w:w="980" w:type="dxa"/>
            <w:vAlign w:val="bottom"/>
          </w:tcPr>
          <w:p>
            <w:pPr>
              <w:jc w:val="right"/>
              <w:spacing w:after="0"/>
              <w:rPr>
                <w:sz w:val="20"/>
                <w:szCs w:val="20"/>
                <w:color w:val="auto"/>
              </w:rPr>
            </w:pPr>
            <w:r>
              <w:rPr>
                <w:rFonts w:ascii="Arial" w:cs="Arial" w:eastAsia="Arial" w:hAnsi="Arial"/>
                <w:sz w:val="13"/>
                <w:szCs w:val="13"/>
                <w:color w:val="auto"/>
              </w:rPr>
              <w:t>10,531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Willis,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Winthrop, NY</w:t>
            </w:r>
          </w:p>
        </w:tc>
        <w:tc>
          <w:tcPr>
            <w:tcW w:w="980" w:type="dxa"/>
            <w:vAlign w:val="bottom"/>
          </w:tcPr>
          <w:p>
            <w:pPr>
              <w:jc w:val="right"/>
              <w:spacing w:after="0"/>
              <w:rPr>
                <w:sz w:val="20"/>
                <w:szCs w:val="20"/>
                <w:color w:val="auto"/>
              </w:rPr>
            </w:pPr>
            <w:r>
              <w:rPr>
                <w:rFonts w:ascii="Arial" w:cs="Arial" w:eastAsia="Arial" w:hAnsi="Arial"/>
                <w:sz w:val="13"/>
                <w:szCs w:val="13"/>
                <w:color w:val="auto"/>
              </w:rPr>
              <w:t>9,167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Burlington, NC</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72"/>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2"/>
          </w:tcPr>
          <w:p>
            <w:pPr>
              <w:spacing w:after="0"/>
              <w:rPr>
                <w:sz w:val="20"/>
                <w:szCs w:val="20"/>
                <w:color w:val="auto"/>
              </w:rPr>
            </w:pPr>
            <w:r>
              <w:rPr>
                <w:rFonts w:ascii="Arial" w:cs="Arial" w:eastAsia="Arial" w:hAnsi="Arial"/>
                <w:sz w:val="13"/>
                <w:szCs w:val="13"/>
                <w:color w:val="auto"/>
              </w:rPr>
              <w:t>Advance Auto Parts</w:t>
            </w:r>
          </w:p>
        </w:tc>
        <w:tc>
          <w:tcPr>
            <w:tcW w:w="1720" w:type="dxa"/>
            <w:vAlign w:val="bottom"/>
            <w:gridSpan w:val="2"/>
          </w:tcPr>
          <w:p>
            <w:pPr>
              <w:spacing w:after="0"/>
              <w:rPr>
                <w:sz w:val="20"/>
                <w:szCs w:val="20"/>
                <w:color w:val="auto"/>
              </w:rPr>
            </w:pPr>
            <w:r>
              <w:rPr>
                <w:rFonts w:ascii="Arial" w:cs="Arial" w:eastAsia="Arial" w:hAnsi="Arial"/>
                <w:sz w:val="13"/>
                <w:szCs w:val="13"/>
                <w:color w:val="auto"/>
              </w:rPr>
              <w:t>Ware, MA</w:t>
            </w:r>
          </w:p>
        </w:tc>
        <w:tc>
          <w:tcPr>
            <w:tcW w:w="980" w:type="dxa"/>
            <w:vAlign w:val="bottom"/>
          </w:tcPr>
          <w:p>
            <w:pPr>
              <w:jc w:val="right"/>
              <w:spacing w:after="0"/>
              <w:rPr>
                <w:sz w:val="20"/>
                <w:szCs w:val="20"/>
                <w:color w:val="auto"/>
              </w:rPr>
            </w:pPr>
            <w:r>
              <w:rPr>
                <w:rFonts w:ascii="Arial" w:cs="Arial" w:eastAsia="Arial" w:hAnsi="Arial"/>
                <w:sz w:val="13"/>
                <w:szCs w:val="13"/>
                <w:color w:val="auto"/>
              </w:rPr>
              <w:t>6,889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1080" w:type="dxa"/>
            <w:vAlign w:val="bottom"/>
          </w:tcPr>
          <w:p>
            <w:pPr>
              <w:jc w:val="right"/>
              <w:spacing w:after="0"/>
              <w:rPr>
                <w:sz w:val="20"/>
                <w:szCs w:val="20"/>
                <w:color w:val="auto"/>
              </w:rPr>
            </w:pPr>
            <w:r>
              <w:rPr>
                <w:rFonts w:ascii="Arial" w:cs="Arial" w:eastAsia="Arial" w:hAnsi="Arial"/>
                <w:sz w:val="13"/>
                <w:szCs w:val="13"/>
                <w:color w:val="auto"/>
              </w:rPr>
              <w:t>112</w:t>
            </w:r>
          </w:p>
        </w:tc>
      </w:tr>
    </w:tbl>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Remaining</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2"/>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5"/>
              </w:rPr>
              <w:t>Rentable Square</w:t>
            </w:r>
          </w:p>
        </w:tc>
        <w:tc>
          <w:tcPr>
            <w:tcW w:w="92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4"/>
              </w:rPr>
              <w:t>Lease Term</w:t>
            </w:r>
          </w:p>
        </w:tc>
        <w:tc>
          <w:tcPr>
            <w:tcW w:w="9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6"/>
              </w:rPr>
              <w:t>Rent</w:t>
            </w:r>
          </w:p>
        </w:tc>
        <w:tc>
          <w:tcPr>
            <w:tcW w:w="108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6"/>
              </w:rPr>
              <w:t>Annualized Base</w:t>
            </w:r>
          </w:p>
        </w:tc>
      </w:tr>
      <w:tr>
        <w:trPr>
          <w:trHeight w:val="168"/>
        </w:trPr>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gridSpan w:val="2"/>
          </w:tcPr>
          <w:p>
            <w:pPr>
              <w:ind w:left="580"/>
              <w:spacing w:after="0"/>
              <w:rPr>
                <w:sz w:val="20"/>
                <w:szCs w:val="20"/>
                <w:color w:val="auto"/>
              </w:rPr>
            </w:pPr>
            <w:r>
              <w:rPr>
                <w:rFonts w:ascii="Arial" w:cs="Arial" w:eastAsia="Arial" w:hAnsi="Arial"/>
                <w:sz w:val="13"/>
                <w:szCs w:val="13"/>
                <w:b w:val="1"/>
                <w:bCs w:val="1"/>
                <w:color w:val="auto"/>
              </w:rPr>
              <w:t>Location</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Feet</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(Years)</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Escalations</w:t>
            </w:r>
          </w:p>
        </w:tc>
        <w:tc>
          <w:tcPr>
            <w:tcW w:w="80" w:type="dxa"/>
            <w:vAlign w:val="bottom"/>
          </w:tcPr>
          <w:p>
            <w:pPr>
              <w:spacing w:after="0"/>
              <w:rPr>
                <w:sz w:val="14"/>
                <w:szCs w:val="14"/>
                <w:color w:val="auto"/>
              </w:rPr>
            </w:pPr>
          </w:p>
        </w:tc>
        <w:tc>
          <w:tcPr>
            <w:tcW w:w="1000" w:type="dxa"/>
            <w:vAlign w:val="bottom"/>
          </w:tcPr>
          <w:p>
            <w:pPr>
              <w:jc w:val="right"/>
              <w:ind w:right="13"/>
              <w:spacing w:after="0" w:line="168" w:lineRule="exact"/>
              <w:rPr>
                <w:sz w:val="20"/>
                <w:szCs w:val="20"/>
                <w:color w:val="auto"/>
              </w:rPr>
            </w:pPr>
            <w:r>
              <w:rPr>
                <w:rFonts w:ascii="Arial" w:cs="Arial" w:eastAsia="Arial" w:hAnsi="Arial"/>
                <w:sz w:val="13"/>
                <w:szCs w:val="13"/>
                <w:b w:val="1"/>
                <w:bCs w:val="1"/>
                <w:color w:val="auto"/>
                <w:w w:val="90"/>
              </w:rPr>
              <w:t xml:space="preserve">Rent ($000's) </w:t>
            </w:r>
            <w:r>
              <w:rPr>
                <w:rFonts w:ascii="Arial" w:cs="Arial" w:eastAsia="Arial" w:hAnsi="Arial"/>
                <w:sz w:val="19"/>
                <w:szCs w:val="19"/>
                <w:b w:val="1"/>
                <w:bCs w:val="1"/>
                <w:color w:val="auto"/>
                <w:w w:val="90"/>
                <w:vertAlign w:val="superscript"/>
              </w:rPr>
              <w:t>(1)</w:t>
            </w:r>
          </w:p>
        </w:tc>
      </w:tr>
      <w:tr>
        <w:trPr>
          <w:trHeight w:val="142"/>
        </w:trPr>
        <w:tc>
          <w:tcPr>
            <w:tcW w:w="7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Retail</w:t>
            </w:r>
          </w:p>
        </w:tc>
        <w:tc>
          <w:tcPr>
            <w:tcW w:w="6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Dollar General</w:t>
            </w:r>
          </w:p>
        </w:tc>
        <w:tc>
          <w:tcPr>
            <w:tcW w:w="8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Cut and Shoot, TX</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9,096</w:t>
            </w: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13.8</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No</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112</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Milford, ME</w:t>
            </w:r>
          </w:p>
        </w:tc>
        <w:tc>
          <w:tcPr>
            <w:tcW w:w="980" w:type="dxa"/>
            <w:vAlign w:val="bottom"/>
          </w:tcPr>
          <w:p>
            <w:pPr>
              <w:jc w:val="right"/>
              <w:spacing w:after="0"/>
              <w:rPr>
                <w:sz w:val="20"/>
                <w:szCs w:val="20"/>
                <w:color w:val="auto"/>
              </w:rPr>
            </w:pPr>
            <w:r>
              <w:rPr>
                <w:rFonts w:ascii="Arial" w:cs="Arial" w:eastAsia="Arial" w:hAnsi="Arial"/>
                <w:sz w:val="13"/>
                <w:szCs w:val="13"/>
                <w:color w:val="auto"/>
              </w:rPr>
              <w:t>9,128</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Tree</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Demopolis, AL</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Pet Supplies Plus</w:t>
            </w:r>
          </w:p>
        </w:tc>
        <w:tc>
          <w:tcPr>
            <w:tcW w:w="1720" w:type="dxa"/>
            <w:vAlign w:val="bottom"/>
            <w:gridSpan w:val="2"/>
          </w:tcPr>
          <w:p>
            <w:pPr>
              <w:spacing w:after="0"/>
              <w:rPr>
                <w:sz w:val="20"/>
                <w:szCs w:val="20"/>
                <w:color w:val="auto"/>
              </w:rPr>
            </w:pPr>
            <w:r>
              <w:rPr>
                <w:rFonts w:ascii="Arial" w:cs="Arial" w:eastAsia="Arial" w:hAnsi="Arial"/>
                <w:sz w:val="13"/>
                <w:szCs w:val="13"/>
                <w:color w:val="auto"/>
              </w:rPr>
              <w:t>Canton, OH</w:t>
            </w:r>
          </w:p>
        </w:tc>
        <w:tc>
          <w:tcPr>
            <w:tcW w:w="980" w:type="dxa"/>
            <w:vAlign w:val="bottom"/>
          </w:tcPr>
          <w:p>
            <w:pPr>
              <w:jc w:val="right"/>
              <w:spacing w:after="0"/>
              <w:rPr>
                <w:sz w:val="20"/>
                <w:szCs w:val="20"/>
                <w:color w:val="auto"/>
              </w:rPr>
            </w:pPr>
            <w:r>
              <w:rPr>
                <w:rFonts w:ascii="Arial" w:cs="Arial" w:eastAsia="Arial" w:hAnsi="Arial"/>
                <w:sz w:val="13"/>
                <w:szCs w:val="13"/>
                <w:color w:val="auto"/>
              </w:rPr>
              <w:t>8,400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Van Buren, MO</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Salem, NY</w:t>
            </w:r>
          </w:p>
        </w:tc>
        <w:tc>
          <w:tcPr>
            <w:tcW w:w="980" w:type="dxa"/>
            <w:vAlign w:val="bottom"/>
          </w:tcPr>
          <w:p>
            <w:pPr>
              <w:jc w:val="right"/>
              <w:spacing w:after="0"/>
              <w:rPr>
                <w:sz w:val="20"/>
                <w:szCs w:val="20"/>
                <w:color w:val="auto"/>
              </w:rPr>
            </w:pPr>
            <w:r>
              <w:rPr>
                <w:rFonts w:ascii="Arial" w:cs="Arial" w:eastAsia="Arial" w:hAnsi="Arial"/>
                <w:sz w:val="13"/>
                <w:szCs w:val="13"/>
                <w:color w:val="auto"/>
              </w:rPr>
              <w:t>9,199</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Tree</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Stillwell, OK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tcPr>
          <w:p>
            <w:pPr>
              <w:spacing w:after="0"/>
              <w:rPr>
                <w:sz w:val="20"/>
                <w:szCs w:val="20"/>
                <w:color w:val="auto"/>
              </w:rPr>
            </w:pPr>
            <w:r>
              <w:rPr>
                <w:rFonts w:ascii="Arial" w:cs="Arial" w:eastAsia="Arial" w:hAnsi="Arial"/>
                <w:sz w:val="13"/>
                <w:szCs w:val="13"/>
                <w:color w:val="auto"/>
              </w:rPr>
              <w:t>Tipton, MO</w:t>
            </w:r>
          </w:p>
        </w:tc>
        <w:tc>
          <w:tcPr>
            <w:tcW w:w="980" w:type="dxa"/>
            <w:vAlign w:val="bottom"/>
          </w:tcPr>
          <w:p>
            <w:pPr>
              <w:jc w:val="right"/>
              <w:spacing w:after="0"/>
              <w:rPr>
                <w:sz w:val="20"/>
                <w:szCs w:val="20"/>
                <w:color w:val="auto"/>
              </w:rPr>
            </w:pPr>
            <w:r>
              <w:rPr>
                <w:rFonts w:ascii="Arial" w:cs="Arial" w:eastAsia="Arial" w:hAnsi="Arial"/>
                <w:sz w:val="13"/>
                <w:szCs w:val="13"/>
                <w:color w:val="auto"/>
              </w:rPr>
              <w:t>10,500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Bingham, ME</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Harrisville, NY</w:t>
            </w:r>
          </w:p>
        </w:tc>
        <w:tc>
          <w:tcPr>
            <w:tcW w:w="980" w:type="dxa"/>
            <w:vAlign w:val="bottom"/>
          </w:tcPr>
          <w:p>
            <w:pPr>
              <w:jc w:val="right"/>
              <w:spacing w:after="0"/>
              <w:rPr>
                <w:sz w:val="20"/>
                <w:szCs w:val="20"/>
                <w:color w:val="auto"/>
              </w:rPr>
            </w:pPr>
            <w:r>
              <w:rPr>
                <w:rFonts w:ascii="Arial" w:cs="Arial" w:eastAsia="Arial" w:hAnsi="Arial"/>
                <w:sz w:val="13"/>
                <w:szCs w:val="13"/>
                <w:color w:val="auto"/>
              </w:rPr>
              <w:t>9,309</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Heuvelton, NY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Firestone</w:t>
            </w:r>
          </w:p>
        </w:tc>
        <w:tc>
          <w:tcPr>
            <w:tcW w:w="1720" w:type="dxa"/>
            <w:vAlign w:val="bottom"/>
            <w:gridSpan w:val="2"/>
          </w:tcPr>
          <w:p>
            <w:pPr>
              <w:spacing w:after="0"/>
              <w:rPr>
                <w:sz w:val="20"/>
                <w:szCs w:val="20"/>
                <w:color w:val="auto"/>
              </w:rPr>
            </w:pPr>
            <w:r>
              <w:rPr>
                <w:rFonts w:ascii="Arial" w:cs="Arial" w:eastAsia="Arial" w:hAnsi="Arial"/>
                <w:sz w:val="13"/>
                <w:szCs w:val="13"/>
                <w:color w:val="auto"/>
              </w:rPr>
              <w:t>Pittsburgh, PA</w:t>
            </w:r>
          </w:p>
        </w:tc>
        <w:tc>
          <w:tcPr>
            <w:tcW w:w="980" w:type="dxa"/>
            <w:vAlign w:val="bottom"/>
          </w:tcPr>
          <w:p>
            <w:pPr>
              <w:jc w:val="right"/>
              <w:spacing w:after="0"/>
              <w:rPr>
                <w:sz w:val="20"/>
                <w:szCs w:val="20"/>
                <w:color w:val="auto"/>
              </w:rPr>
            </w:pPr>
            <w:r>
              <w:rPr>
                <w:rFonts w:ascii="Arial" w:cs="Arial" w:eastAsia="Arial" w:hAnsi="Arial"/>
                <w:sz w:val="13"/>
                <w:szCs w:val="13"/>
                <w:color w:val="auto"/>
              </w:rPr>
              <w:t>10,629</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Barker, NY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Boston Market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Turnersville, NJ</w:t>
            </w:r>
          </w:p>
        </w:tc>
        <w:tc>
          <w:tcPr>
            <w:tcW w:w="980" w:type="dxa"/>
            <w:vAlign w:val="bottom"/>
          </w:tcPr>
          <w:p>
            <w:pPr>
              <w:jc w:val="right"/>
              <w:spacing w:after="0"/>
              <w:rPr>
                <w:sz w:val="20"/>
                <w:szCs w:val="20"/>
                <w:color w:val="auto"/>
              </w:rPr>
            </w:pPr>
            <w:r>
              <w:rPr>
                <w:rFonts w:ascii="Arial" w:cs="Arial" w:eastAsia="Arial" w:hAnsi="Arial"/>
                <w:sz w:val="13"/>
                <w:szCs w:val="13"/>
                <w:color w:val="auto"/>
              </w:rPr>
              <w:t>2,627</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Limestone, ME</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Freddy's Frozen Custard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Orange Park, FL</w:t>
            </w:r>
          </w:p>
        </w:tc>
        <w:tc>
          <w:tcPr>
            <w:tcW w:w="980" w:type="dxa"/>
            <w:vAlign w:val="bottom"/>
          </w:tcPr>
          <w:p>
            <w:pPr>
              <w:jc w:val="right"/>
              <w:spacing w:after="0"/>
              <w:rPr>
                <w:sz w:val="20"/>
                <w:szCs w:val="20"/>
                <w:color w:val="auto"/>
              </w:rPr>
            </w:pPr>
            <w:r>
              <w:rPr>
                <w:rFonts w:ascii="Arial" w:cs="Arial" w:eastAsia="Arial" w:hAnsi="Arial"/>
                <w:sz w:val="13"/>
                <w:szCs w:val="13"/>
                <w:color w:val="auto"/>
              </w:rPr>
              <w:t>3,200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Hammond, NY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Valero</w:t>
            </w:r>
          </w:p>
        </w:tc>
        <w:tc>
          <w:tcPr>
            <w:tcW w:w="1720" w:type="dxa"/>
            <w:vAlign w:val="bottom"/>
            <w:gridSpan w:val="2"/>
          </w:tcPr>
          <w:p>
            <w:pPr>
              <w:spacing w:after="0"/>
              <w:rPr>
                <w:sz w:val="20"/>
                <w:szCs w:val="20"/>
                <w:color w:val="auto"/>
              </w:rPr>
            </w:pPr>
            <w:r>
              <w:rPr>
                <w:rFonts w:ascii="Arial" w:cs="Arial" w:eastAsia="Arial" w:hAnsi="Arial"/>
                <w:sz w:val="13"/>
                <w:szCs w:val="13"/>
                <w:color w:val="auto"/>
              </w:rPr>
              <w:t>Massillon, OH</w:t>
            </w:r>
          </w:p>
        </w:tc>
        <w:tc>
          <w:tcPr>
            <w:tcW w:w="980" w:type="dxa"/>
            <w:vAlign w:val="bottom"/>
          </w:tcPr>
          <w:p>
            <w:pPr>
              <w:jc w:val="right"/>
              <w:spacing w:after="0"/>
              <w:rPr>
                <w:sz w:val="20"/>
                <w:szCs w:val="20"/>
                <w:color w:val="auto"/>
              </w:rPr>
            </w:pPr>
            <w:r>
              <w:rPr>
                <w:rFonts w:ascii="Arial" w:cs="Arial" w:eastAsia="Arial" w:hAnsi="Arial"/>
                <w:sz w:val="13"/>
                <w:szCs w:val="13"/>
                <w:color w:val="auto"/>
              </w:rPr>
              <w:t>1,363</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Somerville,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tcPr>
          <w:p>
            <w:pPr>
              <w:spacing w:after="0"/>
              <w:rPr>
                <w:sz w:val="20"/>
                <w:szCs w:val="20"/>
                <w:color w:val="auto"/>
              </w:rPr>
            </w:pPr>
            <w:r>
              <w:rPr>
                <w:rFonts w:ascii="Arial" w:cs="Arial" w:eastAsia="Arial" w:hAnsi="Arial"/>
                <w:sz w:val="13"/>
                <w:szCs w:val="13"/>
                <w:color w:val="auto"/>
              </w:rPr>
              <w:t>Dearing, GA</w:t>
            </w:r>
          </w:p>
        </w:tc>
        <w:tc>
          <w:tcPr>
            <w:tcW w:w="980" w:type="dxa"/>
            <w:vAlign w:val="bottom"/>
          </w:tcPr>
          <w:p>
            <w:pPr>
              <w:jc w:val="right"/>
              <w:spacing w:after="0"/>
              <w:rPr>
                <w:sz w:val="20"/>
                <w:szCs w:val="20"/>
                <w:color w:val="auto"/>
              </w:rPr>
            </w:pPr>
            <w:r>
              <w:rPr>
                <w:rFonts w:ascii="Arial" w:cs="Arial" w:eastAsia="Arial" w:hAnsi="Arial"/>
                <w:sz w:val="13"/>
                <w:szCs w:val="13"/>
                <w:color w:val="auto"/>
              </w:rPr>
              <w:t>9,288</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Valero</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Parma, OH</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Seguin, TX</w:t>
            </w:r>
          </w:p>
        </w:tc>
        <w:tc>
          <w:tcPr>
            <w:tcW w:w="980" w:type="dxa"/>
            <w:vAlign w:val="bottom"/>
          </w:tcPr>
          <w:p>
            <w:pPr>
              <w:jc w:val="right"/>
              <w:spacing w:after="0"/>
              <w:rPr>
                <w:sz w:val="20"/>
                <w:szCs w:val="20"/>
                <w:color w:val="auto"/>
              </w:rPr>
            </w:pPr>
            <w:r>
              <w:rPr>
                <w:rFonts w:ascii="Arial" w:cs="Arial" w:eastAsia="Arial" w:hAnsi="Arial"/>
                <w:sz w:val="13"/>
                <w:szCs w:val="13"/>
                <w:color w:val="auto"/>
              </w:rPr>
              <w:t>9,155</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Grease Monkey</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Stockbridge,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Tree</w:t>
            </w:r>
          </w:p>
        </w:tc>
        <w:tc>
          <w:tcPr>
            <w:tcW w:w="1720" w:type="dxa"/>
            <w:vAlign w:val="bottom"/>
            <w:gridSpan w:val="2"/>
          </w:tcPr>
          <w:p>
            <w:pPr>
              <w:spacing w:after="0"/>
              <w:rPr>
                <w:sz w:val="20"/>
                <w:szCs w:val="20"/>
                <w:color w:val="auto"/>
              </w:rPr>
            </w:pPr>
            <w:r>
              <w:rPr>
                <w:rFonts w:ascii="Arial" w:cs="Arial" w:eastAsia="Arial" w:hAnsi="Arial"/>
                <w:sz w:val="13"/>
                <w:szCs w:val="13"/>
                <w:color w:val="auto"/>
              </w:rPr>
              <w:t>Albuquerque, NM</w:t>
            </w:r>
          </w:p>
        </w:tc>
        <w:tc>
          <w:tcPr>
            <w:tcW w:w="980" w:type="dxa"/>
            <w:vAlign w:val="bottom"/>
          </w:tcPr>
          <w:p>
            <w:pPr>
              <w:jc w:val="right"/>
              <w:spacing w:after="0"/>
              <w:rPr>
                <w:sz w:val="20"/>
                <w:szCs w:val="20"/>
                <w:color w:val="auto"/>
              </w:rPr>
            </w:pPr>
            <w:r>
              <w:rPr>
                <w:rFonts w:ascii="Arial" w:cs="Arial" w:eastAsia="Arial" w:hAnsi="Arial"/>
                <w:sz w:val="13"/>
                <w:szCs w:val="13"/>
                <w:color w:val="auto"/>
              </w:rPr>
              <w:t>10,023</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Schlotzsky's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Sweetwater, TX</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Valero </w:t>
            </w:r>
            <w:r>
              <w:rPr>
                <w:rFonts w:ascii="Arial" w:cs="Arial" w:eastAsia="Arial" w:hAnsi="Arial"/>
                <w:sz w:val="17"/>
                <w:szCs w:val="17"/>
                <w:color w:val="auto"/>
                <w:vertAlign w:val="superscript"/>
              </w:rPr>
              <w:t>(5)</w:t>
            </w:r>
          </w:p>
        </w:tc>
        <w:tc>
          <w:tcPr>
            <w:tcW w:w="1720" w:type="dxa"/>
            <w:vAlign w:val="bottom"/>
            <w:gridSpan w:val="2"/>
          </w:tcPr>
          <w:p>
            <w:pPr>
              <w:spacing w:after="0"/>
              <w:rPr>
                <w:sz w:val="20"/>
                <w:szCs w:val="20"/>
                <w:color w:val="auto"/>
              </w:rPr>
            </w:pPr>
            <w:r>
              <w:rPr>
                <w:rFonts w:ascii="Arial" w:cs="Arial" w:eastAsia="Arial" w:hAnsi="Arial"/>
                <w:sz w:val="13"/>
                <w:szCs w:val="13"/>
                <w:color w:val="auto"/>
              </w:rPr>
              <w:t>Jackson, MS</w:t>
            </w:r>
          </w:p>
        </w:tc>
        <w:tc>
          <w:tcPr>
            <w:tcW w:w="980" w:type="dxa"/>
            <w:vAlign w:val="bottom"/>
          </w:tcPr>
          <w:p>
            <w:pPr>
              <w:jc w:val="right"/>
              <w:spacing w:after="0"/>
              <w:rPr>
                <w:sz w:val="20"/>
                <w:szCs w:val="20"/>
                <w:color w:val="auto"/>
              </w:rPr>
            </w:pPr>
            <w:r>
              <w:rPr>
                <w:rFonts w:ascii="Arial" w:cs="Arial" w:eastAsia="Arial" w:hAnsi="Arial"/>
                <w:sz w:val="13"/>
                <w:szCs w:val="13"/>
                <w:color w:val="auto"/>
              </w:rPr>
              <w:t>1,920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Family Dollar</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Lake Village, AR</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tcPr>
          <w:p>
            <w:pPr>
              <w:spacing w:after="0"/>
              <w:rPr>
                <w:sz w:val="20"/>
                <w:szCs w:val="20"/>
                <w:color w:val="auto"/>
              </w:rPr>
            </w:pPr>
            <w:r>
              <w:rPr>
                <w:rFonts w:ascii="Arial" w:cs="Arial" w:eastAsia="Arial" w:hAnsi="Arial"/>
                <w:sz w:val="13"/>
                <w:szCs w:val="13"/>
                <w:color w:val="auto"/>
              </w:rPr>
              <w:t>Del Rio, TX</w:t>
            </w:r>
          </w:p>
        </w:tc>
        <w:tc>
          <w:tcPr>
            <w:tcW w:w="980" w:type="dxa"/>
            <w:vAlign w:val="bottom"/>
          </w:tcPr>
          <w:p>
            <w:pPr>
              <w:jc w:val="right"/>
              <w:spacing w:after="0"/>
              <w:rPr>
                <w:sz w:val="20"/>
                <w:szCs w:val="20"/>
                <w:color w:val="auto"/>
              </w:rPr>
            </w:pPr>
            <w:r>
              <w:rPr>
                <w:rFonts w:ascii="Arial" w:cs="Arial" w:eastAsia="Arial" w:hAnsi="Arial"/>
                <w:sz w:val="13"/>
                <w:szCs w:val="13"/>
                <w:color w:val="auto"/>
              </w:rPr>
              <w:t>9,219</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Newtonsville, OH</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Hardee's</w:t>
            </w:r>
          </w:p>
        </w:tc>
        <w:tc>
          <w:tcPr>
            <w:tcW w:w="1720" w:type="dxa"/>
            <w:vAlign w:val="bottom"/>
            <w:gridSpan w:val="2"/>
          </w:tcPr>
          <w:p>
            <w:pPr>
              <w:spacing w:after="0"/>
              <w:rPr>
                <w:sz w:val="20"/>
                <w:szCs w:val="20"/>
                <w:color w:val="auto"/>
              </w:rPr>
            </w:pPr>
            <w:r>
              <w:rPr>
                <w:rFonts w:ascii="Arial" w:cs="Arial" w:eastAsia="Arial" w:hAnsi="Arial"/>
                <w:sz w:val="13"/>
                <w:szCs w:val="13"/>
                <w:color w:val="auto"/>
              </w:rPr>
              <w:t>Boaz, AL</w:t>
            </w:r>
          </w:p>
        </w:tc>
        <w:tc>
          <w:tcPr>
            <w:tcW w:w="980" w:type="dxa"/>
            <w:vAlign w:val="bottom"/>
          </w:tcPr>
          <w:p>
            <w:pPr>
              <w:jc w:val="right"/>
              <w:spacing w:after="0"/>
              <w:rPr>
                <w:sz w:val="20"/>
                <w:szCs w:val="20"/>
                <w:color w:val="auto"/>
              </w:rPr>
            </w:pPr>
            <w:r>
              <w:rPr>
                <w:rFonts w:ascii="Arial" w:cs="Arial" w:eastAsia="Arial" w:hAnsi="Arial"/>
                <w:sz w:val="13"/>
                <w:szCs w:val="13"/>
                <w:color w:val="auto"/>
              </w:rPr>
              <w:t>3,542</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Advance Auto Parts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Athens, GA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Valero </w:t>
            </w:r>
            <w:r>
              <w:rPr>
                <w:rFonts w:ascii="Arial" w:cs="Arial" w:eastAsia="Arial" w:hAnsi="Arial"/>
                <w:sz w:val="17"/>
                <w:szCs w:val="17"/>
                <w:color w:val="auto"/>
                <w:vertAlign w:val="superscript"/>
              </w:rPr>
              <w:t>(5)</w:t>
            </w:r>
          </w:p>
        </w:tc>
        <w:tc>
          <w:tcPr>
            <w:tcW w:w="1720" w:type="dxa"/>
            <w:vAlign w:val="bottom"/>
            <w:gridSpan w:val="2"/>
          </w:tcPr>
          <w:p>
            <w:pPr>
              <w:spacing w:after="0"/>
              <w:rPr>
                <w:sz w:val="20"/>
                <w:szCs w:val="20"/>
                <w:color w:val="auto"/>
              </w:rPr>
            </w:pPr>
            <w:r>
              <w:rPr>
                <w:rFonts w:ascii="Arial" w:cs="Arial" w:eastAsia="Arial" w:hAnsi="Arial"/>
                <w:sz w:val="13"/>
                <w:szCs w:val="13"/>
                <w:color w:val="auto"/>
              </w:rPr>
              <w:t>Leland, MS</w:t>
            </w:r>
          </w:p>
        </w:tc>
        <w:tc>
          <w:tcPr>
            <w:tcW w:w="980" w:type="dxa"/>
            <w:vAlign w:val="bottom"/>
          </w:tcPr>
          <w:p>
            <w:pPr>
              <w:jc w:val="right"/>
              <w:spacing w:after="0"/>
              <w:rPr>
                <w:sz w:val="20"/>
                <w:szCs w:val="20"/>
                <w:color w:val="auto"/>
              </w:rPr>
            </w:pPr>
            <w:r>
              <w:rPr>
                <w:rFonts w:ascii="Arial" w:cs="Arial" w:eastAsia="Arial" w:hAnsi="Arial"/>
                <w:sz w:val="13"/>
                <w:szCs w:val="13"/>
                <w:color w:val="auto"/>
              </w:rPr>
              <w:t>3,343</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49"/>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O'Reilly Auto Parts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Duluth, MN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Salon Lofts</w:t>
            </w:r>
          </w:p>
        </w:tc>
        <w:tc>
          <w:tcPr>
            <w:tcW w:w="1720" w:type="dxa"/>
            <w:vAlign w:val="bottom"/>
            <w:gridSpan w:val="2"/>
          </w:tcPr>
          <w:p>
            <w:pPr>
              <w:spacing w:after="0"/>
              <w:rPr>
                <w:sz w:val="20"/>
                <w:szCs w:val="20"/>
                <w:color w:val="auto"/>
              </w:rPr>
            </w:pPr>
            <w:r>
              <w:rPr>
                <w:rFonts w:ascii="Arial" w:cs="Arial" w:eastAsia="Arial" w:hAnsi="Arial"/>
                <w:sz w:val="13"/>
                <w:szCs w:val="13"/>
                <w:color w:val="auto"/>
              </w:rPr>
              <w:t>Canton, OH</w:t>
            </w:r>
          </w:p>
        </w:tc>
        <w:tc>
          <w:tcPr>
            <w:tcW w:w="980" w:type="dxa"/>
            <w:vAlign w:val="bottom"/>
          </w:tcPr>
          <w:p>
            <w:pPr>
              <w:jc w:val="right"/>
              <w:spacing w:after="0"/>
              <w:rPr>
                <w:sz w:val="20"/>
                <w:szCs w:val="20"/>
                <w:color w:val="auto"/>
              </w:rPr>
            </w:pPr>
            <w:r>
              <w:rPr>
                <w:rFonts w:ascii="Arial" w:cs="Arial" w:eastAsia="Arial" w:hAnsi="Arial"/>
                <w:sz w:val="13"/>
                <w:szCs w:val="13"/>
                <w:color w:val="auto"/>
              </w:rPr>
              <w:t>4,000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Valero</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Cadiz, OH</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Yes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49"/>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rPr>
                <w:sz w:val="20"/>
                <w:szCs w:val="20"/>
                <w:color w:val="auto"/>
              </w:rPr>
            </w:pPr>
            <w:r>
              <w:rPr>
                <w:rFonts w:ascii="Arial" w:cs="Arial" w:eastAsia="Arial" w:hAnsi="Arial"/>
                <w:sz w:val="13"/>
                <w:szCs w:val="13"/>
                <w:color w:val="auto"/>
              </w:rPr>
              <w:t>Advance Auto Parts</w:t>
            </w:r>
          </w:p>
        </w:tc>
        <w:tc>
          <w:tcPr>
            <w:tcW w:w="1720" w:type="dxa"/>
            <w:vAlign w:val="bottom"/>
            <w:gridSpan w:val="2"/>
          </w:tcPr>
          <w:p>
            <w:pPr>
              <w:spacing w:after="0"/>
              <w:rPr>
                <w:sz w:val="20"/>
                <w:szCs w:val="20"/>
                <w:color w:val="auto"/>
              </w:rPr>
            </w:pPr>
            <w:r>
              <w:rPr>
                <w:rFonts w:ascii="Arial" w:cs="Arial" w:eastAsia="Arial" w:hAnsi="Arial"/>
                <w:sz w:val="13"/>
                <w:szCs w:val="13"/>
                <w:color w:val="auto"/>
              </w:rPr>
              <w:t>Ludington, MI</w:t>
            </w:r>
          </w:p>
        </w:tc>
        <w:tc>
          <w:tcPr>
            <w:tcW w:w="980" w:type="dxa"/>
            <w:vAlign w:val="bottom"/>
          </w:tcPr>
          <w:p>
            <w:pPr>
              <w:jc w:val="right"/>
              <w:spacing w:after="0"/>
              <w:rPr>
                <w:sz w:val="20"/>
                <w:szCs w:val="20"/>
                <w:color w:val="auto"/>
              </w:rPr>
            </w:pPr>
            <w:r>
              <w:rPr>
                <w:rFonts w:ascii="Arial" w:cs="Arial" w:eastAsia="Arial" w:hAnsi="Arial"/>
                <w:sz w:val="13"/>
                <w:szCs w:val="13"/>
                <w:color w:val="auto"/>
              </w:rPr>
              <w:t>6,604</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48"/>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Advance Auto Parts</w:t>
            </w:r>
          </w:p>
        </w:tc>
        <w:tc>
          <w:tcPr>
            <w:tcW w:w="1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Baltimore, MI</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48"/>
        </w:trPr>
        <w:tc>
          <w:tcPr>
            <w:tcW w:w="80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3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Long John Silver's </w:t>
            </w:r>
            <w:r>
              <w:rPr>
                <w:rFonts w:ascii="Arial" w:cs="Arial" w:eastAsia="Arial" w:hAnsi="Arial"/>
                <w:sz w:val="17"/>
                <w:szCs w:val="17"/>
                <w:color w:val="auto"/>
                <w:vertAlign w:val="superscript"/>
              </w:rPr>
              <w:t>(3)</w:t>
            </w:r>
          </w:p>
        </w:tc>
        <w:tc>
          <w:tcPr>
            <w:tcW w:w="172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98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8"/>
                <w:szCs w:val="8"/>
                <w:color w:val="auto"/>
              </w:rPr>
              <w:t xml:space="preserve"> (4)</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3,256,401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36,908</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
        </w:trPr>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Annualized straight-line base rental income in place as of December 31, 2021.</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We are the lessor in a ground lease with the tenant. Rentable square feet represents improvements on the property that revert to us at the expiration of the lease.</w:t>
      </w:r>
    </w:p>
    <w:p>
      <w:pPr>
        <w:ind w:left="380"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Current lease agreement is month-to-month (“MTM”).</w:t>
      </w: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Subject to a master lease agreement.</w:t>
      </w:r>
    </w:p>
    <w:p>
      <w:pPr>
        <w:spacing w:after="0" w:line="19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Certain of the tenants in the portfolio of 113 properties accounted for more than 10% of total revenues during periods presented. For the year ended December 31, 2021, Wells Fargo represented 12% of total revenues. Wells Fargo and Hilton Grand Vacations represented 19% and 12% of total revenues, respectively, for the year ended December 31, 2020 and 26% and 17% of total revenues, respectively, for the period from November 26, 2019 to December 31, 2019 and the Predecessor period from January 1, 2019 to November 25, 2019. There were no tenants who represented more than 10% of the square footage of our properties as of December 31,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w:t>
      </w:r>
    </w:p>
    <w:p>
      <w:pPr>
        <w:spacing w:after="0" w:line="2" w:lineRule="exact"/>
        <w:rPr>
          <w:sz w:val="20"/>
          <w:szCs w:val="20"/>
          <w:color w:val="auto"/>
        </w:rPr>
      </w:pPr>
    </w:p>
    <w:p>
      <w:pPr>
        <w:ind w:left="60" w:right="59" w:hanging="10"/>
        <w:spacing w:after="0" w:line="260"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 ended December 31, 2021 or 2020.</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do not generally expect to enter into joint ventures with CTO, but if we do so, the terms and conditions of our joint venture investment will be subject to the approval of a majority of disinterested directors of the Board.</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real estate business, generally, is highly competitive. We intend to focus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from investors, including traded and non-traded public REITs, private equity investors and institutional investment funds, some of which have greater financial resources than we do, a greater ability to borrow funds to acquire properties and the ability to accept more risk. This competition may increase the demand for the types of properties in which we typically invest and, therefore, reduce the number of suitable investment opportunities available to us and increase the prices paid for such acquisition properties. This competition will increase if investments in real estate become more attractive relative to other forms of investment.</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are eligible to receive certain specified reduced disclosure and other requirements that are otherwise generally applicable to public companies that are not “emerging growth companies,” including, but not limited to, exclusion from the requirement to comply with the auditor attestation requirements of Section 404 of the Sarbanes-Oxley Act. We have irrevocably opted-out of the extended transition period afforded to emerging growth companies in Section 7(a)(2)(B) of the Securities Act for complying with new or revised financial accounting standards. As a result, we will comply with new or revised accounting standards on the same time frames as other public companies that are not emerging growth companies.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will remain an “emerging growth company” until the earliest to occur of (i) the last day of the fiscal year during which our total annual gross revenue equals or exceeds $1.07 billion (subject to adjustment for inflation), (ii) December 31, 2024 (the last day of the fiscal year following the fifth anniversary of the IPO),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properties are subject to various laws, ordinances and regulations, including those relating to fire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Americans With Disabilities Act. </w:t>
      </w:r>
      <w:r>
        <w:rPr>
          <w:rFonts w:ascii="Arial" w:cs="Arial" w:eastAsia="Arial" w:hAnsi="Arial"/>
          <w:sz w:val="17"/>
          <w:szCs w:val="17"/>
          <w:color w:val="auto"/>
        </w:rPr>
        <w:t>Under Title III of the Americans with Disabilities Act (“ADA”), and</w:t>
      </w:r>
      <w:r>
        <w:rPr>
          <w:rFonts w:ascii="Arial" w:cs="Arial" w:eastAsia="Arial" w:hAnsi="Arial"/>
          <w:sz w:val="17"/>
          <w:szCs w:val="17"/>
          <w:i w:val="1"/>
          <w:iCs w:val="1"/>
          <w:color w:val="auto"/>
        </w:rPr>
        <w:t xml:space="preserve"> </w:t>
      </w:r>
      <w:r>
        <w:rPr>
          <w:rFonts w:ascii="Arial" w:cs="Arial" w:eastAsia="Arial" w:hAnsi="Arial"/>
          <w:sz w:val="17"/>
          <w:szCs w:val="17"/>
          <w:color w:val="auto"/>
        </w:rPr>
        <w:t>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may also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8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obtain Phase I environmental assessments on all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no employees and is externally managed and advised by our Manager pursuant to the Management Agreement. Our Manager is a wholly owned subsidiary of CTO. All of our executive officers serve as executive officers of CTO, and one of our executive officers and directors, John P. Albright, serves as an executive officer and director of CTO.</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 xml:space="preserve">The Company maintains a website at </w:t>
      </w:r>
      <w:r>
        <w:rPr>
          <w:rFonts w:ascii="Arial" w:cs="Arial" w:eastAsia="Arial" w:hAnsi="Arial"/>
          <w:sz w:val="16"/>
          <w:szCs w:val="16"/>
          <w:i w:val="1"/>
          <w:iCs w:val="1"/>
          <w:color w:val="auto"/>
        </w:rPr>
        <w:t>www.alpinereit.com</w:t>
      </w:r>
      <w:r>
        <w:rPr>
          <w:rFonts w:ascii="Arial" w:cs="Arial" w:eastAsia="Arial" w:hAnsi="Arial"/>
          <w:sz w:val="16"/>
          <w:szCs w:val="16"/>
          <w:color w:val="auto"/>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them to, the SEC. The public may read and obtain a copy of any materials the Company files electronically with the SEC at www.sec.gov.</w:t>
      </w:r>
    </w:p>
    <w:p>
      <w:pPr>
        <w:spacing w:after="0" w:line="184"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summarized below in this Item 1A, “Risk Factors” included in this Annual Report on Form 10-K. These risks include, but are not limited to, the following:</w:t>
      </w:r>
    </w:p>
    <w:p>
      <w:pPr>
        <w:spacing w:after="0" w:line="184" w:lineRule="exact"/>
        <w:rPr>
          <w:sz w:val="20"/>
          <w:szCs w:val="20"/>
          <w:color w:val="auto"/>
        </w:rPr>
      </w:pPr>
    </w:p>
    <w:p>
      <w:pPr>
        <w:ind w:left="720" w:right="79" w:hanging="319"/>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jc w:val="both"/>
        <w:ind w:left="720" w:right="79" w:hanging="319"/>
        <w:spacing w:after="0" w:line="28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Properties occupied by a single tenant pursuant to a single lease subject us to significant risk of tenant default.</w:t>
      </w:r>
    </w:p>
    <w:p>
      <w:pPr>
        <w:spacing w:after="0" w:line="3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portfolio has geographic market concentrations that make us susceptible to adverse developments in those geographic markets.</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risks related to tenant concentration, and an adverse development with respect to a large tenant could materially and adversely affect us.</w:t>
      </w: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decrease in demand for retail space may materially and adversely affect us.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renew leases, lease vacant space or re-lease space as leases expire on favorable terms or at all.</w:t>
      </w:r>
    </w:p>
    <w:p>
      <w:pPr>
        <w:jc w:val="both"/>
        <w:ind w:left="720" w:right="79" w:hanging="319"/>
        <w:spacing w:after="0" w:line="26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vacancy of one or more of our properties could result in us having to incur significant capital expenditures to re-tenant the space.</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identify suitable property acquisitions or developments, which may impede our growth, and our future acquisitions and developments may not yield the returns we expect.</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for tenants, which may adversely impact the occupancy levels of our portfolio or prevent increases of the rental rates of our properties.</w:t>
      </w: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costs of compliance with or liabilities related to environmental laws may materially and adversely affect us.</w:t>
      </w:r>
    </w:p>
    <w:p>
      <w:pPr>
        <w:spacing w:after="0" w:line="3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properties may contain or develop harmful mold, which could lead to liability for adverse health effects and costs of remediation.</w:t>
      </w:r>
    </w:p>
    <w:p>
      <w:pPr>
        <w:jc w:val="both"/>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1"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no employees and are entirely dependent upon our Manager for all the services we require, and we cannot assure you that our Manager will allocate the resources necessary to meet our business objectives.</w:t>
      </w:r>
    </w:p>
    <w:p>
      <w:pPr>
        <w:ind w:left="720" w:right="79" w:hanging="319"/>
        <w:spacing w:after="0" w:line="26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CTO may be unable to obtain or retain the executive officers and other personnel that it provides to us through our Manager.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2"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incentive fee payable to our Manager pursuant to the Management Agreement may cause our Manager to select investments in more risky assets to increase its incentive compensation.</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conflicts of interest in our relationships with our Manager, which could result in outcomes that are not in our best interests.</w:t>
      </w: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Management Agreement with our Manager and the ROFO Agreement with CTO were not negotiated on an arm’s-length basis and may not be as favorable to us as if they had been negotiated with unaffiliated third parties.</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remain qualified as a REIT would cause us to be taxed as a regular corporation, which would substantially reduce funds available for distributions to our stockholders.</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remain qualified as a REIT, we may face other tax liabilities that could reduce our cash flows and negatively impact our results of operations and financial condition.</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make required distributions would subject us to U.S. federal corporate income tax.</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our liabilities effectively and may cause us to incur tax liabilities.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prohibited transactions tax may limit our ability to dispose of our properties.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Board to revoke our REIT qualification without stockholder approval may cause adverse consequences to our stockholders.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payable by REITs do not qualify for the reduced tax rates available for some dividends.</w:t>
      </w:r>
    </w:p>
    <w:p>
      <w:pPr>
        <w:spacing w:after="0" w:line="9" w:lineRule="exact"/>
        <w:rPr>
          <w:rFonts w:ascii="Arial" w:cs="Arial" w:eastAsia="Arial" w:hAnsi="Arial"/>
          <w:sz w:val="18"/>
          <w:szCs w:val="18"/>
          <w:color w:val="auto"/>
        </w:rPr>
      </w:pPr>
    </w:p>
    <w:p>
      <w:pPr>
        <w:jc w:val="both"/>
        <w:ind w:left="720" w:right="79" w:hanging="319"/>
        <w:spacing w:after="0" w:line="30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novel coronavirus pandemic (the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ownership of commercial real estate that could affect the performance and value of our properties.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Factors beyond our control can affect the performance and value of our properties. Our core business is the ownership of commercial net leased properties. Accordingly, our performance is subject to risks incident to the ownership of commercial real estate, including:</w:t>
      </w:r>
    </w:p>
    <w:p>
      <w:pPr>
        <w:spacing w:after="0" w:line="184"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collect rents from tenants due to financial hardship, including bankruptcy;</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real estate conditions in the markets where our properties are located, including the availability and demand for the properties we own;</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trends and preferences that affect the demand for products and services offered by our tenants;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national, regional and local economic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lease or sell properties upon expiration or termination of existing leases;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risks, including the presence of hazardous or toxic substances on our properties;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subjectivity of real estate valuations and changes in such valuations over time;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illiquidity of real estate investments, which may limit our ability to modify our portfolio promptly 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response to changes in economic or other conditions;</w:t>
      </w:r>
    </w:p>
    <w:p>
      <w:pPr>
        <w:spacing w:after="0" w:line="9" w:lineRule="exact"/>
        <w:rPr>
          <w:sz w:val="20"/>
          <w:szCs w:val="20"/>
          <w:color w:val="auto"/>
        </w:rPr>
      </w:pPr>
    </w:p>
    <w:p>
      <w:pPr>
        <w:ind w:left="700" w:right="619" w:hanging="299"/>
        <w:spacing w:after="0" w:line="250" w:lineRule="auto"/>
        <w:tabs>
          <w:tab w:leader="none" w:pos="7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zoning or other local regulatory restrictions, or other factors pertaining to the local government institutions which inhibit interest in the markets in which our properties are located;</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the availability of financing;</w:t>
      </w:r>
    </w:p>
    <w:p>
      <w:pPr>
        <w:spacing w:after="0" w:line="9" w:lineRule="exact"/>
        <w:rPr>
          <w:rFonts w:ascii="Arial" w:cs="Arial" w:eastAsia="Arial" w:hAnsi="Arial"/>
          <w:sz w:val="18"/>
          <w:szCs w:val="18"/>
          <w:color w:val="auto"/>
        </w:rPr>
      </w:pPr>
    </w:p>
    <w:p>
      <w:pPr>
        <w:ind w:left="700" w:right="679" w:hanging="299"/>
        <w:spacing w:after="0" w:line="255" w:lineRule="auto"/>
        <w:tabs>
          <w:tab w:leader="none" w:pos="7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other real estate companies similar to ours and competition for tenants, including competition based on rental rates, age and location of properties and the quality of maintenance, insurance and management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of God, including natural disasters and global pandemics, such as the COVID-19 Pandemic, which impact the United States, which may result in uninsured losses;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of war or terrorism, including consequences of terrorist attacks;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and marketability of our properties to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tenants or cause decreases in market rental rates;</w:t>
      </w:r>
    </w:p>
    <w:p>
      <w:pPr>
        <w:spacing w:after="0" w:line="9"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or re-lease our properties;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cost of our operations, particularly maintenance, insurance or real estate taxes</w:t>
      </w:r>
    </w:p>
    <w:p>
      <w:pPr>
        <w:spacing w:after="0" w:line="9" w:lineRule="exact"/>
        <w:rPr>
          <w:sz w:val="20"/>
          <w:szCs w:val="20"/>
          <w:color w:val="auto"/>
        </w:rPr>
      </w:pPr>
    </w:p>
    <w:p>
      <w:pPr>
        <w:ind w:left="700" w:right="59"/>
        <w:spacing w:after="0" w:line="250" w:lineRule="auto"/>
        <w:rPr>
          <w:sz w:val="20"/>
          <w:szCs w:val="20"/>
          <w:color w:val="auto"/>
        </w:rPr>
      </w:pPr>
      <w:r>
        <w:rPr>
          <w:rFonts w:ascii="Arial" w:cs="Arial" w:eastAsia="Arial" w:hAnsi="Arial"/>
          <w:sz w:val="18"/>
          <w:szCs w:val="18"/>
          <w:color w:val="auto"/>
        </w:rPr>
        <w:t>which may occur even when circumstances such as market factors and competition cause a reduction in our revenues;</w:t>
      </w:r>
    </w:p>
    <w:p>
      <w:pPr>
        <w:spacing w:after="0" w:line="1"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w:t>
      </w:r>
    </w:p>
    <w:p>
      <w:pPr>
        <w:spacing w:after="0" w:line="9" w:lineRule="exact"/>
        <w:rPr>
          <w:sz w:val="20"/>
          <w:szCs w:val="20"/>
          <w:color w:val="auto"/>
        </w:rPr>
      </w:pPr>
    </w:p>
    <w:p>
      <w:pPr>
        <w:ind w:left="700" w:right="59"/>
        <w:spacing w:after="0" w:line="265" w:lineRule="auto"/>
        <w:rPr>
          <w:sz w:val="20"/>
          <w:szCs w:val="20"/>
          <w:color w:val="auto"/>
        </w:rPr>
      </w:pPr>
      <w:r>
        <w:rPr>
          <w:rFonts w:ascii="Arial" w:cs="Arial" w:eastAsia="Arial" w:hAnsi="Arial"/>
          <w:sz w:val="17"/>
          <w:szCs w:val="17"/>
          <w:color w:val="auto"/>
        </w:rPr>
        <w:t>costs of compliance with laws and regulations, fiscal policies and ordinances including in response to global pandemics whereby our tenants’ businesses are forced to close or remain open on a limited basis only; and</w:t>
      </w: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commodities prices.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occurrence of any of the risks described above may cause the performance and value of our properties to decline, which could materially and adversely affect us.</w:t>
      </w:r>
    </w:p>
    <w:p>
      <w:pPr>
        <w:spacing w:after="0" w:line="170"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tenants successfully operating their businesses, and their failure to do so could materially and adversely affect us.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Most of our properties are occupied by a single tenant. Therefore, the success of our investments in these properties is materially dependent upon the performance of each property’s respective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spacing w:after="0" w:line="16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adversely affected if a tenant representing a significant portion of our operating results or a number of our tenants were unable to meet their obligations to us.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b w:val="1"/>
          <w:bCs w:val="1"/>
          <w:i w:val="1"/>
          <w:iCs w:val="1"/>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spacing w:after="0" w:line="14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Additionally, we believe that many of the businesses operated by our tenants are benefiting from current favorable macroeconomic trends that support consumer spending, such as strong and growing employment levels, a relatively low interest rate environment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Properties occupied by a single tenant pursuant to a single lease subject us to significant risk of tenant default.</w:t>
      </w:r>
    </w:p>
    <w:p>
      <w:pPr>
        <w:spacing w:after="0" w:line="24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Most of our properties are occupied by a single tenant. Therefore, the financial failure of, or default in payment by, a tenant under its lease is likely to cause a significant or complete reduction in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experience a decline in the fair value of our real estate assets which could result in impairments and would impact our financial condition and results of operations.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portfolio has geographic market concentrations that make us susceptible to adverse developments in those geographic markets.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addition to general, regional, national, and global economic conditions, our operating performance is impacted by the economic conditions of the specific geographic markets in which we have concentrations of properties. Our portfolio includes substantial holdings in Texas as of December 31, 2021 (based on annualized base rent). Our geographic</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spacing w:after="0" w:line="19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tenant concentration, and an adverse development with respect to a large tenant could materially and adversely affect us.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December 31, 2021, on an annualized basis, Wells Fargo, our largest tenant, contributed 12% of our total revenue. Our financial performance depends significantly on the financial condition of this tenant. In the future, we may have additional tenant and property concentrations. In the event that one of these tenants, or another tenant that occupies a significant number of our properties or whose lease payments represent a significant portion of our rental revenue, were to experience financial difficulty or file for bankruptcy, it could have a material adverse effect on us.</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December 31, 2021, 55%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tenants may also be more likely to experience financial weakness or file for bankruptcy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it could have a material adverse effect on us.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decrease in demand for retail space may materially and adversely affect us.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of December 31, 2021, leases representing 92% of the annualized straight-line base rent of our initial portfolio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We may be unable to renew leases, lease vacant space or re-lease space as leases expire on favorable terms or at all.</w:t>
      </w:r>
    </w:p>
    <w:p>
      <w:pPr>
        <w:spacing w:after="0" w:line="26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results of operations depend on our ability to lease our properties, including renewing expiring leases, leasing vacant space and re-leasing space in properties where leases are expiring, and leasing space related to new project development.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our leases may be unenforceable.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of our tenants could result in the termination of such tenant’s lease and material losses to us.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occurrence of a tenant bankruptcy or insolvency would likely diminish the income we receive from that tenant’s lease or leases or force us to re-tenant a property as a result of a default of the in-place tenant or a rejection of a tenant lease by a bankruptcy court. If a tenant files for bankruptcy or becomes insolvent, federal law may prohibit us from evicting such tenant based solely upon such bankruptcy or insolvency. In addition, a bankrupt or insolvent tenant may be authorized 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acquire the properties that we evaluate in our pipeline.</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will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 we continue to acquire properties, we may decrease or fail to increase the diversity of our portfolio.</w:t>
      </w:r>
    </w:p>
    <w:p>
      <w:pPr>
        <w:spacing w:after="0" w:line="23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While we will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b w:val="1"/>
          <w:bCs w:val="1"/>
          <w:i w:val="1"/>
          <w:iCs w:val="1"/>
          <w:color w:val="auto"/>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or purchase of, properties with limited warranties increases the risk that we may lose some or all of our invested capital in the property, lose rental income from that property or may be subject to unknown liabilities with respect to such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b w:val="1"/>
          <w:bCs w:val="1"/>
          <w:i w:val="1"/>
          <w:iCs w:val="1"/>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spacing w:after="0" w:line="1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Certain properties in our portfolio are leased to tenants operating retail, service-oriented or experience-based businesses. General merchandise, financial services, hospitality, home furnishings and entertainment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The ability of consumers to use their discretionary income may be impacted by issues including a global pandemic that impacts the United States.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vacancy of one or more of our properties could result in us having to incur significant capital expenditures to re-tenant the space.</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loss of a tenant, either through lease expiration or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spacing w:after="0" w:line="18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We may be unable to identify and complete suitable property acquisitions or developments, which may impede our growth, and our future acquisitions and developments may not yield the returns we expect.</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ability to expand through acquisitions and developments requires us to identify and complete acquisitions and new property developments that are consistent with our investment and growth strategy and our investment criteria and to successfully integrate newly acquired properties into our portfolio. Our Manager continually evaluates investment opportunities for us, but our ability to acquire or develop new properties on favorable terms and successfully operate them may be constrained by the following significant risks:</w:t>
      </w:r>
    </w:p>
    <w:p>
      <w:pPr>
        <w:spacing w:after="0" w:line="188" w:lineRule="exact"/>
        <w:rPr>
          <w:sz w:val="20"/>
          <w:szCs w:val="20"/>
          <w:color w:val="auto"/>
        </w:rPr>
      </w:pPr>
    </w:p>
    <w:p>
      <w:pPr>
        <w:jc w:val="both"/>
        <w:ind w:left="720" w:right="79" w:hanging="319"/>
        <w:spacing w:after="0" w:line="255"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competition from commercial developers and other real estate investors with significant capital, including REITs and institutional investment funds, which may be able to accept more risk than we can prudently manage, including risks associated with paying higher acquisition prices;</w:t>
      </w:r>
    </w:p>
    <w:p>
      <w:pPr>
        <w:spacing w:after="0" w:line="2"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competition from other potential acquirers which may significantly increase the purchase price for a property we acquire, which could reduce our growth prospects;</w:t>
      </w:r>
    </w:p>
    <w:p>
      <w:pPr>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incur significant costs and divert management attention in connection with evaluating and negotiating potential acquisitions and developments, including ones that we are unable to complete;</w:t>
      </w:r>
    </w:p>
    <w:p>
      <w:pPr>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acquire properties that are not accretive to our results of operations upon acquisition, and we may be unsuccessful in managing and leasing such properties in accordance with our expectations;</w:t>
      </w:r>
    </w:p>
    <w:p>
      <w:pPr>
        <w:ind w:left="720" w:right="79" w:hanging="319"/>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cash flow from an acquired or developed property may be insufficient to meet our required principal and interest payments with respect to debt used to finance the acquisition or development of such property;</w:t>
      </w:r>
    </w:p>
    <w:p>
      <w:pPr>
        <w:jc w:val="both"/>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fail to obtain financing for an acquisition or new property development on favorable terms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spend more than budgeted amounts to make necessary improvements or renovations to acquired properties;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market conditions may result in higher than expected vacancy rates and lower than expected rental rates; and</w:t>
      </w:r>
    </w:p>
    <w:p>
      <w:pPr>
        <w:spacing w:after="0" w:line="32" w:lineRule="exact"/>
        <w:rPr>
          <w:rFonts w:ascii="Arial" w:cs="Arial" w:eastAsia="Arial" w:hAnsi="Arial"/>
          <w:sz w:val="16"/>
          <w:szCs w:val="16"/>
          <w:color w:val="auto"/>
        </w:rPr>
      </w:pPr>
    </w:p>
    <w:p>
      <w:pPr>
        <w:jc w:val="both"/>
        <w:ind w:left="720" w:right="79" w:hanging="319"/>
        <w:spacing w:after="0" w:line="252"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any of these risks are realized, we may be materially and adversely affected.</w:t>
      </w:r>
    </w:p>
    <w:p>
      <w:pPr>
        <w:spacing w:after="0" w:line="225"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We may be unable to complete acquisitions of properties owned by CTO that are covered by the ROFO Agreement, and any completed acquisitions of such properties may not yield the returns we expect.</w:t>
      </w:r>
    </w:p>
    <w:p>
      <w:pPr>
        <w:spacing w:after="0" w:line="14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the ROFO Agreement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ROFO Agreement in the future. Further, even if we are able to acquire properties covered by the ROFO Agreement, there is no guarantee that such properties will be able to maintain their historical performance, or that we will be able to realize the same returns from those properties as CTO.</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tenants, which may adversely impact the occupancy levels of our portfolio or prevent increases of the rental rates of our properties.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compete with numerous developers, owners and operators of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Inflation may materially and adversely affect us and our tenants.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Increased inflation could have an adverse impact on interest rates, which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 Increased costs may have an adverse impact on our tenants if increases in their operating expenses exceed increases they might achieve in revenues, which may adversely affect the tenants’ ability to pay rent owed to us.</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redevelopment or renovation of our properties may cause us to experience unexpected costs and have other risks that could materially and adversely affect us.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Credit Facility or 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spacing w:after="0" w:line="14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Our real estate investments are generally illiquid, which could significantly affect our ability to respond to market changes or adverse changes relating to our tenants or in the performance of our properties.</w:t>
      </w:r>
    </w:p>
    <w:p>
      <w:pPr>
        <w:spacing w:after="0" w:line="14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real estate investments made, and expected to be made, by us are relatively difficult for us to sell quickly. As a result, our ability to make rapid adjustments in the size and content of our portfolio in response to economic or other conditions will be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our portfolio, we may realize significantly less than the value at which we have previously recorded our assets.</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the Internal Revenue Code of 1986, as amended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be able to dispose of properties we target for sale to recycle our capital.</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consequently, materially and adversely affect us.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development of new projects and/or properties may cause us to experience unexpected costs and have other risks that could materially and adversely affect us.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 on the revolving credit facility or any other credit facilities that we may have in place in the future, which would limit our ability to use those sources of capital for the acquisition of properties and other operating needs. The risks associated with new project development activities, including but not necessarily limited to those noted above, could materially and adversely affect us.</w:t>
      </w:r>
    </w:p>
    <w:p>
      <w:pPr>
        <w:spacing w:after="0" w:line="186"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The success of our activities related to new project development in which we will retain an ownership interest is partly dependent on the availability of suitable undeveloped land at acceptable prices.</w:t>
      </w:r>
    </w:p>
    <w:p>
      <w:pPr>
        <w:spacing w:after="0" w:line="146" w:lineRule="exact"/>
        <w:rPr>
          <w:sz w:val="20"/>
          <w:szCs w:val="20"/>
          <w:color w:val="auto"/>
        </w:rPr>
      </w:pPr>
    </w:p>
    <w:p>
      <w:pPr>
        <w:jc w:val="both"/>
        <w:ind w:left="60" w:right="59" w:firstLine="415"/>
        <w:spacing w:after="0" w:line="257" w:lineRule="auto"/>
        <w:rPr>
          <w:sz w:val="20"/>
          <w:szCs w:val="20"/>
          <w:color w:val="auto"/>
        </w:rPr>
      </w:pPr>
      <w:r>
        <w:rPr>
          <w:rFonts w:ascii="Arial" w:cs="Arial" w:eastAsia="Arial" w:hAnsi="Arial"/>
          <w:sz w:val="18"/>
          <w:szCs w:val="18"/>
          <w:color w:val="auto"/>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number of development projects we may be able to undertake could be reduced. Thus, the lack of availability of suitable land opportunities could have a material adverse effect on our results of operations and growth prospects.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Certain Events, Environmental Matters and Climate Change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Natural disasters, terrorist attacks, other acts of violence or war or other unexpected events could materially and adversely affect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lenders or other institutions with which we have a relationship. The U.S. may be engaged in armed conflict, which could also have an impact on the tenants,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Insurance on our properties may not adequately cover all losses and uninsured losses could materially and adversely affect us.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 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 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spacing w:after="0" w:line="18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zoning and building code requirements. The loss of our capital investment in or anticipated future returns from our properties due to material uninsured losses could materially and adversely affect us.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costs of compliance with or liabilities related to environmental laws may materially and adversely affect us.</w:t>
      </w:r>
    </w:p>
    <w:p>
      <w:pPr>
        <w:spacing w:after="0" w:line="24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p>
      <w:pPr>
        <w:spacing w:after="0" w:line="192"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knowledge of the contamination;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contamination;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cause of the contamination; or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party responsible for the contamination of the property.</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may be environmental liabilities associated with our properties of which we are unaware. We obtain Phase I environmental assessments on all properties acquired.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 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spacing w:after="0" w:line="19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properties may contain or develop harmful mold, which could lead to liability for adverse health effects and costs of remediation.</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operations and financial condition may be adversely affected by climate change, including possible changes in weather patterns, weather-related events, government policy, laws, regulations and economic conditions.</w:t>
      </w:r>
    </w:p>
    <w:p>
      <w:pPr>
        <w:spacing w:after="0" w:line="10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Other Aspects of our Operation and as a Public Company</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adversely impact our results of operations and cash flows.</w:t>
      </w:r>
    </w:p>
    <w:p>
      <w:pPr>
        <w:spacing w:after="0" w:line="18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business is highly dependent on communications and information systems and networks. Any failure or interruption of these systems or networks could cause delays or other problems in our operations and communications. Through our relationship with CTO and our Manager, we rely heavily on CTO’s financial, accounting and other data processing systems. In addition, much of the information technology infrastructure on which we rely is or may be managed by third parties and, as such, we also face the risk of operational failure, termination or capacity constraints by any of these third parties. It is difficult to determine what, if any, negative impact may directly result from any specific interruption or 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can be no assurance that our senior management team will be able to successfully operate two publicly traded companies. Any failure by our senior management team to successfully operate our company or CTO could materially and adversely affect us.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If there are deficiencies in our disclosure controls and procedures or internal control over financial reporting, we may be unable to accurately present our financial statements, which could materially and adversely affect us.</w:t>
      </w:r>
    </w:p>
    <w:p>
      <w:pPr>
        <w:spacing w:after="0" w:line="12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a publicly traded company, we are required to report our financial statements on a consolidated basis. Effective internal controls are necessary for us to accurately report our financial results. Section 404 of the Sarbanes-Oxley Act will require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through December 31, 2024 (the last day of the fiscal year following the fifth anniversary of the IPO).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unanticipated expenditures that materially and adversely affect us.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developments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spacing w:after="0" w:line="17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We have in the past and may in the future choose to acquire properties or portfolios of properties through tax deferred contribution transactions, which could result in stockholder dilution and limit our ability to sell such assets.</w:t>
      </w:r>
    </w:p>
    <w:p>
      <w:pPr>
        <w:spacing w:after="0" w:line="12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have in the past acquired, and may in the future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CTO and Our Manager and the Management Agreement</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b w:val="1"/>
          <w:bCs w:val="1"/>
          <w:i w:val="1"/>
          <w:iCs w:val="1"/>
          <w:color w:val="auto"/>
        </w:rPr>
        <w:t>We have no employees and are entirely dependent upon our Manager for all the services we require, and we cannot assure you that our Manager will allocate the resources necessary to meet our business objectives.</w:t>
      </w:r>
    </w:p>
    <w:p>
      <w:pPr>
        <w:spacing w:after="0" w:line="12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Because we are “externally managed,” we do not employ our own personnel, but instead depend upon CTO, our Manager and their affiliates for virtually all of the services we require. Our Manager selects and manages the acquisition of properties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CTO may be unable to obtain or retain the executive officers and other personnel that it provides to us through our Manager.</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Matthew M. Partridge, Senior Vice President, Chief Financial Officer and Treasurer of our company and CTO; Steven R. Greathouse, Senior Vice President and Chief Investment Officer of our company and CTO; and Daniel E. Smith, Senior Vice President, General Counsel and Corporate Secretary of our company and CTO. In addition to these executive officers, we also rely on other personnel of CTO that are provided to us through our Manager. We cannot guarantee that all, or any particular one of these 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spacing w:after="0" w:line="17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pay substantial fees and expenses to our Manager. These payments increase the risk that you will not earn a profit on your investment.</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18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incentive fee payable to our Manager pursuant to the Management Agreement may cause our Manager to select investments in more risky assets to increase its incentive compensation.</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common stock and our ability to make distributions to our stockholders.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There are conflicts of interest in our relationships with our Manager, which could result in outcomes that are not in our best interests.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spacing w:after="0" w:line="17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addition to our initial portfolio, we have in the past acquired and may in the future acquire or sell properties that would potentially fit the investment criteria for CTO or its affiliates. Similarly, CTO or its affiliates may acquire or sell properties that would potentially fit our investment criteria. Although such acquisitions or dispositions could present conflicts of interest, we nonetheless may pursue and consummate such transactions. Additionally, we may engage in transactions directly with CTO, our Manager or their affiliates. If we acquire a property from CTO or one of its affiliates or sell a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 equity securities at dilutive prices, the market price of our common stock may be adversely affected, and you could lose some or all of your investment in our common stock.</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ability to achieve our objectives depends on, among other things, our Manager’s ability to identify, acquire and lease properties that meet our investment criteria. Accomplishing our objectives is largely a function of our Manager’s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structuring of our investment process, our access to financing on acceptable terms and general market conditions. Our stockholders will not have input into our investment decisions. All of these factors increase the uncertainty, and thus the risk, of investing in our common stock.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with and pursuant to the Management Agreement, except those resulting from acts constituting gross negligence, willful misconduct, bad faith or reckless disregard of our Manager’s duties under the Management Agreement.</w:t>
      </w:r>
    </w:p>
    <w:p>
      <w:pPr>
        <w:spacing w:after="0" w:line="16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8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 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ROFO Agreement with CTO, as discussed further herein. As a result of termination of the ROFO Agreement, we would face increased competition from CTO and its affiliates, as well as others, for the acquisition of properties that meet our investment criteria, and our right to acquire certain properties from CTO and its affiliates would be terminated. As a result, the termination of the Management Agreement could materially and adversely affect us.</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our Manager ceases to be our manager pursuant to the Management Agreement, counterparties to our agreements may cease doing business with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The Management Agreement with our Manager and the ROFO Agreement with CTO were not negotiated on an arm’s-length basis and may not be as favorable to us as if they had been negotiated with unaffiliated third parties.</w:t>
      </w:r>
    </w:p>
    <w:p>
      <w:pPr>
        <w:spacing w:after="0" w:line="12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Management Agreement with our Manager and the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ROFO Agreement because of our desire to maintain our ongoing relationships with our Manager and CTO.</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Financing Activities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growth depends on external sources of capital, including debt financings, that are outside of our control and may not be available to us on commercially reasonable terms or at all.</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order to maintain our qualification as a REIT under the Code, we are required,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p>
      <w:pPr>
        <w:spacing w:after="0" w:line="178"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debt levels;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and expected future earnings;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cash flow and cash distributions;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per share of our common stock.</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spacing w:after="0" w:line="18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organizational documents have no limitation on the amount of additional indebtedness that we may incur in the future. As a result, we may become highly leveraged in the future, which could materially and adversely affect us.</w:t>
      </w:r>
    </w:p>
    <w:p>
      <w:pPr>
        <w:spacing w:after="0" w:line="10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have entered into certain debt agreements and, in the future, we may incur additional indebtedness to finance future acquisitions and development,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substantial level of indebtedness in the future could have adverse consequences for our business and otherwise materially and adversely affect us because it could, among other things:</w:t>
      </w:r>
    </w:p>
    <w:p>
      <w:pPr>
        <w:spacing w:after="0" w:line="170" w:lineRule="exact"/>
        <w:rPr>
          <w:sz w:val="20"/>
          <w:szCs w:val="20"/>
          <w:color w:val="auto"/>
        </w:rPr>
      </w:pPr>
    </w:p>
    <w:p>
      <w:pPr>
        <w:jc w:val="both"/>
        <w:ind w:left="720" w:right="79" w:hanging="319"/>
        <w:spacing w:after="0" w:line="269"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p>
      <w:pPr>
        <w:spacing w:after="0" w:line="1" w:lineRule="exact"/>
        <w:rPr>
          <w:rFonts w:ascii="Arial" w:cs="Arial" w:eastAsia="Arial" w:hAnsi="Arial"/>
          <w:sz w:val="17"/>
          <w:szCs w:val="17"/>
          <w:color w:val="auto"/>
        </w:rPr>
      </w:pPr>
    </w:p>
    <w:p>
      <w:pPr>
        <w:ind w:left="720" w:right="79" w:hanging="319"/>
        <w:spacing w:after="0" w:line="26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and limit our flexibility in planning for, or reacting to, changes in our business and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indebtedness on favorable terms or at all to expand our business or ease liquidity constraints; and</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competitors that have less indebtedness.</w:t>
      </w:r>
    </w:p>
    <w:p>
      <w:pPr>
        <w:spacing w:after="0" w:line="211"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The agreements governing our indebtedness are likely to place restrictions on us and our subsidiaries, reducing our operational flexibility and creating risks associated with default and noncompliance.</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agreements governing the Credit Facility and any other indebtedness that we may incur in the future contain or may contain covenants that place restrictions on us and our subsidiaries. These covenants may restrict, among other activities, our and our subsidiaries’ ability to:</w:t>
      </w:r>
    </w:p>
    <w:p>
      <w:pPr>
        <w:spacing w:after="0" w:line="184"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or our subsidiaries’ assets;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transfer, pledge or encumber our stock or the ownership interests of our subsidiaries;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expenditures, including capital expenditures;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repurchase our capital stock;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1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Mortgage debt obligations expose us to the possibility of foreclosure, which could result in the loss of our investment in any property subject to mortgage debt.</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 assume or incur new mortgage indebtedness on our properties. Any default under any mortgage debt obligation we incur may increase the risk of our default on our other indebtedness, including indebtedness under our anticipated revolving credit facility, which could materially and adversely affect us.</w:t>
      </w:r>
    </w:p>
    <w:p>
      <w:pPr>
        <w:spacing w:after="0" w:line="18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An increase in interest rates would increase our interest costs on our variable rate debt and could adversely impact our ability to refinance existing debt or sell assets.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Current and future borrowings under our revolving credit facility will bear interest at variable rates. An increase in interest rates would increase our interest payments and reduce our cash flow available for other corporate purposes. In addition, rising interest rates could limit our ability to refinance debt when it matures and increase interest costs on any debt that is refinanced. Further, an increase in interest rates could increase the cost of financing, thereby decreasing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amount third parties are willing to pay for our properties, which would limit our ability to dispose of properties when necessary or desired.</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addition, we may enter into hedging arrangements in the future. Our hedging arrangements may include interest rate swaps, caps, floors and other interest rate hedging contracts. Our hedging arrangements could reduce, but may not eliminate, the impact of rising interest rates, and they could expose us to the risk that other parties to our hedging arrangements will not perform or that the agreements relating to our hedges may not be enforceable.</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Changes in the method pursuant to which LIBOR is determined and planned discontinuation of LIBOR may affect our financial results.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In July 2017, the chief executive of the United Kingdom Financial Conduct Authority, or the FCA, which regulates LIBOR, announced that the FCA intends to stop compelling banks to submit rates for the calculation of LIBOR after 2021. It is not possible to predict the effect of these changes, other reforms or the establishment of alternative reference rates in the United Kingdom or elsewhere. On March 5, 2021, ICE Benchmark Administration (“IBA”), the administrator of LIBOR, announced plans to cease publication of USD LIBOR on December 31, 2021 for only the one week and two month USD LIBOR tenors, and on June 30, 2023 for all other USD LIBOR tenors. While this announcement extends the transition period to June 2023, the United States Federal Reserve issued a statement advising banks to stop new USD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If that were to occur, the level of interest payments we incur may change. In addition, although certain of our LIBOR based obligations provide for alternative methods of calculating the interest rate payable on certain of our obligations if LIBOR is not reported, which include requesting certain rates from major reference banks in London or New York, or alternatively using LIBOR for the immediately preceding interest period or using the initial interest rate, as applicable,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 Although regulators and IBA have made clear that the recent announcements should not be read to say that LIBOR has ceased or will cease, we cannot make assurances that LIBOR will survive in its current form, or at all.</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the United States, efforts to identify a set of alternative U.S. dollar reference interest rates include proposals by the Alternative Reference Rates Committee of the Federal Reserve Board (the “ARRC”) and the Federal Reserve Bank of New York. On July 29, 2021, the ARRC formally recommended the Secured Overnight Financing Rate, or SOFR, as its preferred alternative replacement rate for LIBOR, and on December 3, 2021, the ARRC announced statutory fallback recommendations for one week and two month USD LIBOR tenors. The Federal Reserve Bank of New York began publishing SOFR rates in 2018. The market transition away from LIBOR and towards SOFR is expected to be gradual and complicated. There are significant differences between LIBOR and SOFR, such as LIBOR being an unsecured lending rate versus SOFR which is a secured lending rate, and SOFR being an overnight rate versus LIBOR which reflects term rates at different maturities. These and other differences create the potential for basis risk between the two rates. The impact of any basis risk between LIBOR and SOFR may negatively affect our operating results. Any of these alternative methods may result in interest rates that are higher than if LIBOR were available in its current form, which could have a material adverse effect on our results. Although SOFR is the ARRC’s recommended replacement rate, whether or not SOFR attains market traction as a LIBOR replacement tool remains in question.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direct operations, and we will rely on funds received from the Operating Partnership to pay our obligations and make distributions to our stockholders.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are a holding company and will conduct substantially all of our operations through the Operating Partnership. We will not have, apart from an interest in the Operating Partnership, any independent operations. As a result, we will rely on distributions from the Operating Partnership to make any distributions we declare on shares of our common stock. We will also rely on distributions from the Operating Partnership to meet any of our obligations, including any tax liability on taxable income allocated to us from the Operating Partnership. In addition, because we are a holding company, your claims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we owned 87.1% of the OP Units issued by the Operating Partnership. However, in connection with our future acquisition activities or otherwise, we may issue additional OP Units to third parties. Such issuances would reduce our ownership in the Operating Partnership.</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Maryland law could inhibit changes in control of our company.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Certain provisions in the partnership agreement of the Operating Partnership may delay, defer or prevent unsolicited acquisitions of us.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187"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rights of qualifying parties;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restrictions on OP Units;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of the limited partners to consent to transfers of the general partnership interest and mergers or other transactions involving us under specified circumstances.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partnership agreement of the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charter contains stock ownership limits, which may delay, defer or prevent a change of control.</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order for us to maintain our qualification as a REIT for each taxable year,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Board may change our strategies, policies or procedures without stockholder consent, which may subject us to different and more significant risks in the future.</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of directors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 Board may change our policies with respect to conflicts of interest, provided that such changes are consistent with applicable legal requirements.</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have assumed unknown liabilities in connection with the Formation Transactions, which, if significant, could materially and adversely affect us.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17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Conflicts of interest exist or could arise in the future between the interests of our stockholders and the interests of holders of Operating Partnership units, which may impede business decisions that could benefit our stockholders.</w:t>
      </w:r>
    </w:p>
    <w:p>
      <w:pPr>
        <w:spacing w:after="0" w:line="10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our wholly owned subsidiary, Alpine Income Property GP, LLC,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with the duties of our directors and executive officers 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p>
      <w:pPr>
        <w:spacing w:after="0" w:line="188" w:lineRule="exact"/>
        <w:rPr>
          <w:sz w:val="20"/>
          <w:szCs w:val="20"/>
          <w:color w:val="auto"/>
        </w:rPr>
      </w:pPr>
    </w:p>
    <w:p>
      <w:pPr>
        <w:ind w:left="720" w:right="79" w:hanging="319"/>
        <w:spacing w:after="0" w:line="25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 or omission of the indemnitee was material to the matter giving rise to the proceeding and either was committed in bad faith or was the result of active and deliberate dishonesty;</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indemnitee actually received an improper personal benefit in money, property or services; or</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any criminal proceeding, the indemnitee had reasonable cause to believe that the act or omission was unlawful.</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Operating Partnership has in the past and may in the future issue additional OP Units without the consent of our stockholders, which could have a dilutive effect on our stockholders.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Operating Partnership has in the past and may in the future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 of (i) the last day of the fiscal year during which our total annual gross revenue equals or exceeds $1.07 billion (subject to adjustment for inflation), (ii) December 31, 2024 (the last day of the fiscal year following the fifth anniversary of the IPO); (iii) the date on which we have, during the previous three-year period, issued more than $1 billion in non-convertible debt securities and (iv) the date on which we are deemed to be a “large accelerated filer” under the Exchange Act.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 attestation report by our auditor would require additional procedures by them that could detect problems with our internal control over financial reporting that are not detected by management. If our system of internal control over financial reporting is not determined to be appropriately designed or operating effectively, it could require us to restate financial statements, cause us to fail to meet reporting obligations and cause investors to lose confidence in our reported financial information, all of which could lead to a significant decline in the market price of our common stock. The JOBS Act also provides that an “emerging growth company” can take advantage of the extended transition period provided in the Securities Act of 1933, as amended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3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intend to rely on certain of these exemptions and benefits under the JOBS Act. If some investors find our common stock less attractive as a result, there may be a less active, liquid and/or orderly trading market for our common stock and the market price and trading volume of our common stock may be more volatile and decline significantly.</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will incur new costs as a result of becoming a public company, and such costs may increase when we cease to be an “emerging growth company.”</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a public company, we will incur significant legal, accounting, insurance and other expenses, including costs associated with public company reporting requirements.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although we are currently unable to estimate theses costs with any degree of certainty. We could be an emerging growth company for up to five years, although circumstances could cause us to lose that status earlier, which could result in our incurring additional costs applicable to public companies that are not emerging growth companies.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Qualification and Operation as a REIT</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believe that our organization and method of operation have enabled us to meet the requirements for qualification and taxation as a REIT and we intend to continue to be organized and operate in such a manner. However, we cannot assure you that we will qualify and remain qualified as a REIT. Moreover, our qualification and taxation as a REIT depend upon our ability to meet on a continuing basis, through actual annual operating results, certain qualification tests set forth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 the U.S. federal tax laws. Accordingly, no assurance can be given that our actual results of operations for any particular taxable year will satisfy such requirements.</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If we fail to qualify as a REIT in any taxable year, we will face serious tax consequences that will substantially reduce the funds available for distributions to our stockholders because:</w:t>
      </w:r>
    </w:p>
    <w:p>
      <w:pPr>
        <w:spacing w:after="0" w:line="170" w:lineRule="exact"/>
        <w:rPr>
          <w:sz w:val="20"/>
          <w:szCs w:val="20"/>
          <w:color w:val="auto"/>
        </w:rPr>
      </w:pPr>
    </w:p>
    <w:p>
      <w:pPr>
        <w:ind w:left="720" w:right="79" w:hanging="319"/>
        <w:spacing w:after="0" w:line="25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would not be allowed a deduction for dividends paid to stockholders in computing our taxable income and would be subject to U.S. federal income tax at regular corporate rates;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subject to increased state and local taxes;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we are entitled to relief under certain U.S. federal income tax laws, we could not re-elect REIT status until the fifth calendar year after the year in which we failed to qualify as a REIT.</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new partnership audit procedures, the Operating Partnership and any other partnership that we may form or acquire may be liable at the entity level for tax imposed under those procedures. Further, any taxable REIT subsidiaries (“TRS”) that we may form in the 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Failure to make required distributions would subject us to U.S. federal corporate income tax.</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 or liquidate otherwise attractive investments.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relative lack of experience of our Manager in operating under the constraints imposed on us as a REIT may hinder the achievement of our investment objectives.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qualifying for and maintaining REIT status. Our Manager has relatively limited experience operating under these constraints, which may hinder our ability to take advantage of attractive investment opportunities and to achieve our investment objectives. As a result, we cannot assure you that our Manager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spacing w:after="0" w:line="17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our liabilities effectively and may cause us to incur tax liabilities.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ability to provide certain services to our tenants may be limited by the REIT rules or may have to be provided through a TRS.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prohibited transactions tax may limit our ability to dispose of our properties.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which would be subject to U.S. federal corporate income tax.</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We may pay taxable dividends in our common stock and cash, in which case stockholders may sell shares of our common stock to pay tax on such dividends, placing downward pressure on the market price of our common stock.</w:t>
      </w:r>
    </w:p>
    <w:p>
      <w:pPr>
        <w:spacing w:after="0" w:line="10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may satisfy the 90% distribution test with taxable distributions of our common stock. The Internal Revenue Service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On November 30, 2021, the IRS issued Revenue Procedure 2021-53, which temporarily reduces (through June 30, 2022) the minimum amount of the total distribution that must be available in cash to 10%.</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If we made a taxable dividend payable in cash and common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common stock that it receives as a dividend in order to pay this tax, the sales proceeds may be less than the amount included in income with respect to the dividend, depending on the market price of our common stock at the time of the sale. Furthermore, with respect to certain non-U.S. stockholders, we may be required to withhold U.S. federal income tax with respect to such dividends, including in respect of all or a portion of such dividend that is payable in common stock. If we made a taxable dividend payable in cash and our common stock and a significant number of our stockholders determine to sell shares of our common stock in order to pay taxes owed on dividends, it may put downward pressure on the trading price of our common stock. We do not currently intend to pay taxable dividends using both our common stock and cash, although we may choose to do so in the future.</w:t>
      </w:r>
    </w:p>
    <w:p>
      <w:pPr>
        <w:spacing w:after="0" w:line="1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ability of the Board to revoke our REIT qualification without stockholder approval may cause adverse consequences to our stockholders.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Any ownership of a TRS we may form in the future will be subject to limitations and our transactions with a TRS will cause us to be subject to a 100% penalty tax on certain income or deductions if those transactions are not conducted on arm’s-length terms.</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Overall, no more than 20%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value of our respective investments in any TRS that we may form for the purpose of ensuring compliance with TRS ownership limitations and will structure our transactions with any TRS on terms that we believe are arm’s length to avoid incurring the 100% excise tax described above. There can be no assurance, however, that we will be able to comply with the 20% limitation or to avoid application of the 100% excise tax.</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You may be restricted from acquiring or transferring certain amounts of our common stock.</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stock ownership restrictions of the Code for REITs and the 9.8% share ownership limit in our charter may inhibit market activity in our capital stock and restrict our business combination opportunities.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order for us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To help ensure that we meet these tests, our charter restricts the acquisition and ownership of shares of our capital stock.</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be subject to adverse legislative or regulatory tax changes, in each instance with potentially retroactive effect, that could reduce the market price of our common stock.</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and preferred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the Operating Partnership failed to qualify as a partnership for U.S. federal income tax purposes, we would cease to qualify as a REIT and suffer other adverse consequences.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market value of our common stock is subject to various factors that may cause significant fluctuations or volatility.</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with other publicly traded securities, the market price of our common stock depends on various factors, which may change from time to time and/or may be unrelated to our financial condition, results of operations or cash flows. These factors may cause significant fluctuations or volatility in the market price of our common stock. These factors include, but are likely not limited to, the following:</w:t>
      </w:r>
    </w:p>
    <w:p>
      <w:pPr>
        <w:spacing w:after="0" w:line="187" w:lineRule="exact"/>
        <w:rPr>
          <w:sz w:val="20"/>
          <w:szCs w:val="20"/>
          <w:color w:val="auto"/>
        </w:rPr>
      </w:pPr>
    </w:p>
    <w:p>
      <w:pPr>
        <w:ind w:left="720" w:right="79" w:hanging="319"/>
        <w:spacing w:after="0" w:line="25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condition and operating performance and the financial condition or performance of other similar companies;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differences in our quarterly or annual operating results than expected;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revenues, Funds From Operations (“FFO”), Adjusted Funds From Operations (“AFFO”), or earnings estimates or recommendations by securities analysts;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generally;</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market interest rates, which may lead investors to demand a higher distribution yield for shares of our common stock, and could result in increased interest expense on our debt;</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and our tenants’ businesses or prospects, including as a result of the impact of a global pandemic, including the COVID-19 Pandemic;</w:t>
      </w: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state of the credit and capital markets, and our ability and the ability of our tenants to obtain financing on favorable terms;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conflicts of interest with CTO and its affiliates, including our Manager;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termination of our Manager or additions and departures of key personnel of our Manager;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in our markets;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or growth strategies;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or our industry;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speculation in the press or investment community;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of investor interest in our securities;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general reputation of REITs and the attractiveness of our equity securities in comparison to other equity securities, including securities issued by other real estate-based companies;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confidence in the stock and bond markets, generally;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issuances by us (including the issuances of OP Units), or common stock resales by our stockholders, or the perception that such issuances or resales may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volume of average daily trading and the amount of our common stock available to be traded;</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our qualification as a REIT;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the rules of the NYSE or maintain the listing of our common stock on the NYSE;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acts, natural or man-made disasters, including global pandemics impacting the United States, or threatened or actual armed conflicts; and</w:t>
      </w:r>
    </w:p>
    <w:p>
      <w:pPr>
        <w:ind w:left="720" w:right="79" w:hanging="319"/>
        <w:spacing w:after="0" w:line="26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and local, regional and national economic conditions, including factors unrelated to our operating performance and prospects.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be able to make or maintain cash distributions, and certain agreements relating to our indebtedness may, under certain circumstances, limit or eliminate our ability to make distributions to our common stockholders.</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common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spacing w:after="0" w:line="16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common stock.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our common stock could be adversely affected by our level of cash distributions.</w:t>
      </w:r>
    </w:p>
    <w:p>
      <w:pPr>
        <w:spacing w:after="0" w:line="23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Increases in market interest rates may result in a decline in the market price of our common stock.</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One of the factors that will influence the market price of our common stock will be the distribution yield on the common stock (as a percentage of the market price of our common stock) relative to market interest rates. An increase in market interest rates, which are currently at low levels relative to historical rates, may lead prospective purchasers of shares of our common stock to expect a higher distribution yield and higher interest rates would likely increase our borrowing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costs and potentially decrease our cash available for distribution. Thus, higher market interest rates could cause the market price of our common stock to decline.</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Future issuances of debt securities, which would rank senior to shares of our common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spacing w:after="0" w:line="18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or the perception that they might occur, could reduce the price of our common stock and may dilute the voting power of our then-existing common stockholders and such common stockholders’ ownership interest in us.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could occur, could adversely affect the market price of our common stock and may make it more difficult for our then-existing common stockholders to sell their shares of common stock at a time and price that such common stockholders deem appropriate.</w:t>
      </w:r>
    </w:p>
    <w:p>
      <w:pPr>
        <w:spacing w:after="0" w:line="14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shares of our common stock that we sold in the IPO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agreement that we entered into with CTO, the shares of our common stock purchased by CTO in the CTO Private Placement may be eligible for future sale without restriction. Sales of a substantial number of such shares, or the perception that such sales may occur, could cause the market price of our common stock to fall or make it more difficult for our then-existing common stockholders to sell their common stock at a time and price that such common stockholders deem appropriate.</w:t>
      </w:r>
    </w:p>
    <w:p>
      <w:pPr>
        <w:spacing w:after="0" w:line="16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addition, our charter provides that we may issue up to 500,000,000 shares of common stock and 100,000,000 shares of preferred stock, $0.01 par value per share. Moreover, under Maryland law and as is provided in our charter, a majority of our entire board of directors will have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Since late December 2019, the COVID-19 Pandemic has spread globally, including every state in the United States. The COVID-19 Pandemic has had, and other future pandemics could have, repercussions across regional and global economies and financial markets. The outbreak of COVID-19 Pandemic and its variants have significantly adversely impacted global economic activity and produced significant volatility in the global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Certain states and cities, including where we own properties, have also reacted by instituting quarantines, restrictions on travel, “shelter at home” rules, and importantly, restrictions on the types of business that may continue to operate or requiring others to shut down completely. Additional states and cities may implement similar restrictions. As a result, the COVID-19 Pandemic is negatively impacting most every industry directly or indirectly. A number of our tenants have announced temporary closures of their stores and requested deferral, or in some instances, rent abatement while the pandemic remains. Many experts predict that the COVID-19 Pandemic will trigger, or even has already triggered, a period of global economic slowdown or possibly a global recession. The COVID-19 Pandemic, or a future pandemic, could have material and adverse effects on our ability to successfully operate our business and as a result our financial condition, results of operations and cash flows due to, among other factors:</w:t>
      </w:r>
    </w:p>
    <w:p>
      <w:pPr>
        <w:spacing w:after="0" w:line="181" w:lineRule="exact"/>
        <w:rPr>
          <w:sz w:val="20"/>
          <w:szCs w:val="20"/>
          <w:color w:val="auto"/>
        </w:rPr>
      </w:pPr>
    </w:p>
    <w:p>
      <w:pPr>
        <w:ind w:left="720" w:right="79" w:hanging="319"/>
        <w:spacing w:after="0" w:line="25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properties resulting from government or tenant action;</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reduced economic activity severely impacts our tenants' businesses, financial condition and liquidity and may cause one or more of our tenants to be unable to meet their obligations to us in full, or at all, or to otherwise seek modifications of such obligations;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reduced economic activity could result in a recession, which could negatively impact consumer discretionary spending;</w:t>
      </w: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on a timely basis;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could adversely affect our ability or desire to grow our portfolio of properties;</w:t>
      </w: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deterioration in our or our tenants’ ability to operate in affected areas or delays in the supply of products or services to us or our tenants from vendors that are needed for our or our tenants' efficient operations could adversely affect our operations and those of our tenants; and</w:t>
      </w:r>
    </w:p>
    <w:p>
      <w:pPr>
        <w:spacing w:after="0" w:line="1" w:lineRule="exact"/>
        <w:rPr>
          <w:rFonts w:ascii="Arial" w:cs="Arial" w:eastAsia="Arial" w:hAnsi="Arial"/>
          <w:sz w:val="18"/>
          <w:szCs w:val="18"/>
          <w:color w:val="auto"/>
        </w:rPr>
      </w:pPr>
    </w:p>
    <w:p>
      <w:pPr>
        <w:ind w:left="720" w:right="79" w:hanging="319"/>
        <w:spacing w:after="0" w:line="323"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potential negative impact on the health of our Manager’s personnel, particularly if a significant number of them are impacted, could result in a deterioration in our ability to ensure business continuity during a disruption.</w:t>
      </w:r>
    </w:p>
    <w:p>
      <w:pPr>
        <w:spacing w:after="0" w:line="13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extent to which the COVID-19 Pandemic impacts our operations, and those of our tenants, will depend on future developments, which are highly uncertain and cannot be predicted with any degree of certainty, including the scope, severity and duration of the COVID-19 Pandemic, and the impact of actions taken by governmental and health organizations to contain the COVID-19 Pandemic or mitigate its impact, and the direct and indirect economic effects of the COVID-19 Pandemic and containment measures, among others. Additional closures by our tenants of their businesses and early terminations by our tenants of their leases could reduce our cash flows, which could impact our ability to continue paying dividends to our stockholders at expected levels, or at all. The rapid onset of the COVID-19 Pandemic and the continued uncertainty of its duration and long-term impact precludes any prediction of the magnitude of the adverse impact on the U.S. economy, our tenant’s businesses and ours. Consequently, the COVID-19 Pandemic presents material uncertainty and risk with respect to our business operations, our Manager’s business, and therefore, our financial condition, results of operations, and cash flows. Further, many risk factors set forth in this Annual Report on Form 10-K for the year ended December 31, 2021, should be interpreted as heightened risks as a result of the impact of the COVID-19 Pandemic.</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Cybersecurity risks and cyber incidents could adversely affect our business and disrupt operations.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become subject to litigation, which could materially and adversely affect us.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may become subject to litigation, our operations, other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disclosure controls and procedures, we may not be able to meet applicable reporting requirements, which could materially and adversely affect us.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common stock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 of our common stock.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accounting standards may materially and adversely affect us.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business faces public scrutiny related to environmental, social and governance (“ESG”) activities. We risk damage to our reputation if we or affiliates of our Manager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Certain statements contained in this Annual Report on Form 10-K (other than statements of historical fact) are forward-looking statements.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w:t>
      </w:r>
    </w:p>
    <w:p>
      <w:pPr>
        <w:spacing w:after="0" w:line="19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There can be no assurance that future developments will be in accordance with management’s expectations or that the effect of future developments on the Company will be those anticipated by management.</w:t>
      </w:r>
    </w:p>
    <w:p>
      <w:pPr>
        <w:spacing w:after="0" w:line="14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wish to caution readers that the assumptions, which form the basis for forward-looking statements with respect to or that may impact earnings for the year ended December 31, 2021, and thereafter, include many factors that are beyond the Company’s ability to control or estimate precisely.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properties; the impact of competitive real estate activity; the loss of any major property tenants; the ultimate geographic spread, severity and duration of pandemics such as the recent outbreak of COVID-19 and its variants,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7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risks described in this Annual Report on Form 10-K are not the only risks facing the Company. Additional risks and uncertainties not currently known to the Company or that the Company currently deems to be immaterial also may materially adversely affect the Company.</w:t>
      </w:r>
    </w:p>
    <w:p>
      <w:pPr>
        <w:spacing w:after="0" w:line="18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principal offices are located at 1140 N. Williamson Blvd., Suite 140, Daytona Beach, Florida 32114. Our telephone number is (386) 274-2202.</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2021, the Company owns 113 net leased retail and office buildings located in 32 states (refer to Item 1.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80"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REPURCHASES OF EQUITY SECURITIES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common stock trades on the NYSE under the symbol “PINE”.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As of February 3, 2022, there were 79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were no unregistered sales of equity securities during the year ended December 31, 2021, which were not previously reported.</w:t>
      </w:r>
    </w:p>
    <w:p>
      <w:pPr>
        <w:spacing w:after="0" w:line="166"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and Combined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and combined financial statements and related notes included elsewhere 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Alpine Income Property Trust, Inc. is a Maryland corporation that conducts its operations so as to qualify as a REIT for U.S. federal income tax purposes. Substantially all of the operations are conducted through our Operating Partnership.</w:t>
      </w:r>
    </w:p>
    <w:p>
      <w:pPr>
        <w:spacing w:after="0" w:line="12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8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operating results for the year ended December 31, 2021 were in-line with our expectations and primarily driven by our investment activity of acquiring net lease properties at valuations and yields generally consistent with our target investment parameters.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year ended December 31, 2021, the Company acquired 68 properties for total acquisition volume of $260.3 million. During the year ended December 31, 2021, the Company disposed of three properties for an aggregate sales price of $28.3 million, generating combined gains on sale of $9.7 million.</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we owned 113 properties with an aggregate gross leasable area of 3.3 million square feet, located in 32 states, with a weighted average remaining lease term of 7.9 years. Our portfolio was 100% leased as of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Historical Financial Information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summarizes our selected historical financial information for each of the last three fiscal years (in thousands, except per share and dividend data). The selected financial information has been derived from our audited consolidated and combined financial statements.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from</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November 26,</w:t>
            </w:r>
          </w:p>
        </w:tc>
        <w:tc>
          <w:tcPr>
            <w:tcW w:w="1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2019 to</w:t>
            </w: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2019 to</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November 25,</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7"/>
              </w:rPr>
              <w:t>The Company</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2"/>
        </w:trPr>
        <w:tc>
          <w:tcPr>
            <w:tcW w:w="4140" w:type="dxa"/>
            <w:vAlign w:val="bottom"/>
          </w:tcPr>
          <w:p>
            <w:pPr>
              <w:ind w:left="120"/>
              <w:spacing w:after="0" w:line="201" w:lineRule="exact"/>
              <w:rPr>
                <w:sz w:val="20"/>
                <w:szCs w:val="20"/>
                <w:color w:val="auto"/>
              </w:rPr>
            </w:pPr>
            <w:r>
              <w:rPr>
                <w:rFonts w:ascii="Arial" w:cs="Arial" w:eastAsia="Arial" w:hAnsi="Arial"/>
                <w:sz w:val="18"/>
                <w:szCs w:val="18"/>
                <w:color w:val="auto"/>
              </w:rPr>
              <w:t>Less: Net (Income) Loss Attributable to</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w:t>
            </w: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4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0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(Loss) Per Share Attributable to Alpine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Property Trust, Inc.</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 (in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As of December 31,</w:t>
            </w:r>
          </w:p>
        </w:tc>
      </w:tr>
      <w:tr>
        <w:trPr>
          <w:trHeight w:val="209"/>
        </w:trPr>
        <w:tc>
          <w:tcPr>
            <w:tcW w:w="5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at Cost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Real Estate—Net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428,989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219,339</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58,821</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36,881</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6,369</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262,240</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Rent and Deferred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Intangible Lease Liabilities—Net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106,809</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277,612</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113,147</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reported results are presented in accordance with accounting principles generally accepted in the United States of America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20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2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above- and below-market lease related intangibles,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 except share data):</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from</w:t>
            </w: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November 26,</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from January</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2019 to</w:t>
            </w: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1, 2019 to</w:t>
            </w:r>
          </w:p>
        </w:tc>
      </w:tr>
      <w:tr>
        <w:trPr>
          <w:trHeight w:val="216"/>
        </w:trPr>
        <w:tc>
          <w:tcPr>
            <w:tcW w:w="37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3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85"/>
              </w:rPr>
              <w:t>Predecessor</w:t>
            </w:r>
          </w:p>
        </w:tc>
        <w:tc>
          <w:tcPr>
            <w:tcW w:w="20" w:type="dxa"/>
            <w:vAlign w:val="bottom"/>
          </w:tcPr>
          <w:p>
            <w:pPr>
              <w:spacing w:after="0"/>
              <w:rPr>
                <w:sz w:val="17"/>
                <w:szCs w:val="17"/>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0" w:type="dxa"/>
            <w:vAlign w:val="bottom"/>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4,859</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Straight-Line Rent Adjustment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COVID-19 Rent Repayments (Deferrals),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02"/>
        </w:trPr>
        <w:tc>
          <w:tcPr>
            <w:tcW w:w="3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Deferred Financing Costs to</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378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Deferred Expenses to Lease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0"/>
                <w:szCs w:val="20"/>
                <w:color w:val="auto"/>
              </w:rPr>
            </w:pPr>
          </w:p>
        </w:tc>
      </w:tr>
      <w:tr>
        <w:trPr>
          <w:trHeight w:val="202"/>
        </w:trPr>
        <w:tc>
          <w:tcPr>
            <w:tcW w:w="3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Intangible Assets and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to Lease Income</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0"/>
                <w:szCs w:val="20"/>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Other Non-Cash (Income) Expense</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Capital Expenditures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Non-Recurring Acquisition Cost Charge</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Funds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2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 Average Number of Common Shares: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9,781,066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7,588,349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7,902,737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November 26,</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from January</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2019 to</w:t>
            </w: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1, 2019 to</w:t>
            </w:r>
          </w:p>
        </w:tc>
      </w:tr>
      <w:tr>
        <w:trPr>
          <w:trHeight w:val="216"/>
        </w:trPr>
        <w:tc>
          <w:tcPr>
            <w:tcW w:w="37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November 25,</w:t>
            </w:r>
          </w:p>
        </w:tc>
      </w:tr>
      <w:tr>
        <w:trPr>
          <w:trHeight w:val="234"/>
        </w:trPr>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r>
      <w:tr>
        <w:trPr>
          <w:trHeight w:val="196"/>
        </w:trPr>
        <w:tc>
          <w:tcPr>
            <w:tcW w:w="3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85"/>
              </w:rPr>
              <w:t>Predecessor</w:t>
            </w: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AFFO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17,904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8,632</w:t>
            </w: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year ended December 31, 2021, as compared to the year ended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Variance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10,880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3271.1%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12,554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10,316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(830.4%)</w:t>
            </w:r>
          </w:p>
        </w:tc>
        <w:tc>
          <w:tcPr>
            <w:tcW w:w="0" w:type="dxa"/>
            <w:vAlign w:val="bottom"/>
          </w:tcPr>
          <w:p>
            <w:pPr>
              <w:spacing w:after="0"/>
              <w:rPr>
                <w:sz w:val="1"/>
                <w:szCs w:val="1"/>
                <w:color w:val="auto"/>
              </w:rPr>
            </w:pPr>
          </w:p>
        </w:tc>
      </w:tr>
      <w:tr>
        <w:trPr>
          <w:trHeight w:val="182"/>
        </w:trPr>
        <w:tc>
          <w:tcPr>
            <w:tcW w:w="4580" w:type="dxa"/>
            <w:vAlign w:val="bottom"/>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 Trust,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22"/>
        </w:trPr>
        <w:tc>
          <w:tcPr>
            <w:tcW w:w="4580" w:type="dxa"/>
            <w:vAlign w:val="bottom"/>
          </w:tcPr>
          <w:p>
            <w:pPr>
              <w:ind w:left="20"/>
              <w:spacing w:after="0"/>
              <w:rPr>
                <w:sz w:val="20"/>
                <w:szCs w:val="20"/>
                <w:color w:val="auto"/>
              </w:rPr>
            </w:pPr>
            <w:r>
              <w:rPr>
                <w:rFonts w:ascii="Arial" w:cs="Arial" w:eastAsia="Arial" w:hAnsi="Arial"/>
                <w:sz w:val="18"/>
                <w:szCs w:val="18"/>
                <w:color w:val="auto"/>
              </w:rPr>
              <w:t>Inc.</w:t>
            </w:r>
          </w:p>
        </w:tc>
        <w:tc>
          <w:tcPr>
            <w:tcW w:w="1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 from our property operations during the years ended December 31, 2021 and 2020 totaled $30.1 million and $19.2 million, respectively. The increase in revenues is reflective of the Company’s volume of acquisitions. The direct costs of revenues for our property operations totaled $3.7 million and $2.3 million during the years ended December 31, 2021 and 2020, respectively. The increase in the direct cost of revenues is also attributable to the Company’s expanded property portfolio.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represents the Company’s general and administrative expenses for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 as compared to the year ended December 31,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34"/>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Variance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5"/>
              </w:rPr>
              <w:t>Variance</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09"/>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General and administrative expenses totaled $5.0 million and $4.7 million during the years ended December 31, 2021 and 2020, respectively. The $0.4 million increase is primarily attributable to growth in the Company’s equity base, which led to increased management fee expenses totaling $0.6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Depreciation and amortization expense totaled $15.9 million and $9.9 million during the years ended December 31, 2021 and 2020, respectively. The $6.0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Interest expense totaled $3.7 million and $1.5 million during the years ended December 31, 2021 and 2020, respectively. The $2.2 million increase in interest expense is attributable to the higher average outstanding debt balance during the year ended December 31, 2021 as compared to the same period in 2020. The overall increase in the Company’s long-term debt was primarily utilized to fund the acquisition of properties during 2021 and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Net income (loss) totaled $11.5 million and $1.1 million during the years ended December 31, 2021 and 2020, respectively. The increase in net income is attributable to the factors described above in addition to the $9.7 million gain on disposition of assets during the year ended December 31, 2021, an increase of $9.4 million from the comparable prior year period.</w:t>
      </w:r>
    </w:p>
    <w:p>
      <w:pPr>
        <w:spacing w:after="0" w:line="183" w:lineRule="exact"/>
        <w:rPr>
          <w:sz w:val="20"/>
          <w:szCs w:val="20"/>
          <w:color w:val="auto"/>
        </w:rPr>
      </w:pPr>
    </w:p>
    <w:p>
      <w:pPr>
        <w:jc w:val="both"/>
        <w:ind w:left="60" w:right="59"/>
        <w:spacing w:after="0" w:line="312" w:lineRule="auto"/>
        <w:rPr>
          <w:sz w:val="20"/>
          <w:szCs w:val="20"/>
          <w:color w:val="auto"/>
        </w:rPr>
      </w:pPr>
      <w:r>
        <w:rPr>
          <w:rFonts w:ascii="Arial" w:cs="Arial" w:eastAsia="Arial" w:hAnsi="Arial"/>
          <w:sz w:val="17"/>
          <w:szCs w:val="17"/>
          <w:b w:val="1"/>
          <w:bCs w:val="1"/>
          <w:color w:val="auto"/>
        </w:rPr>
        <w:t>COMPARISON OF THE YEAR ENDED DECEMBER 31, 2020, THE PERIOD FROM NOVEMBER 26, 2019 TO DECEMBER 31, 2019, AND THE PREDECESSOR PERIOD FROM JANUARY 1, 2019 TO NOVEMBER 25, 2019</w:t>
      </w:r>
    </w:p>
    <w:p>
      <w:pPr>
        <w:spacing w:after="0" w:line="144"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The following presents the Company’s results of operations for the year ended December 31, 2020, as compared to the period from November 26, 2019 to December 31, 2019 and the Predecessor period from January 1, 2019 to November 25,</w:t>
      </w:r>
    </w:p>
    <w:p>
      <w:pPr>
        <w:ind w:left="60"/>
        <w:spacing w:after="0"/>
        <w:rPr>
          <w:sz w:val="20"/>
          <w:szCs w:val="20"/>
          <w:color w:val="auto"/>
        </w:rPr>
      </w:pPr>
      <w:r>
        <w:rPr>
          <w:rFonts w:ascii="Arial" w:cs="Arial" w:eastAsia="Arial" w:hAnsi="Arial"/>
          <w:sz w:val="18"/>
          <w:szCs w:val="18"/>
          <w:color w:val="auto"/>
        </w:rPr>
        <w:t>2019 (in thousands)</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from November</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 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26, 2019 to</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2019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November 25,</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The Company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Income (Loss) From Operations</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 Property</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8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Trust, Inc.</w:t>
            </w: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290" w:lineRule="auto"/>
        <w:tabs>
          <w:tab w:leader="none" w:pos="380" w:val="left"/>
        </w:tabs>
        <w:numPr>
          <w:ilvl w:val="0"/>
          <w:numId w:val="28"/>
        </w:numPr>
        <w:rPr>
          <w:rFonts w:ascii="Arial" w:cs="Arial" w:eastAsia="Arial" w:hAnsi="Arial"/>
          <w:sz w:val="10"/>
          <w:szCs w:val="10"/>
          <w:color w:val="auto"/>
        </w:rPr>
      </w:pPr>
      <w:r>
        <w:rPr>
          <w:rFonts w:ascii="Arial" w:cs="Arial" w:eastAsia="Arial" w:hAnsi="Arial"/>
          <w:sz w:val="13"/>
          <w:szCs w:val="13"/>
          <w:color w:val="auto"/>
        </w:rPr>
        <w:t>Results of operations prior to November 26, 2019 represent the Predecessor activity of CTO. Subsequent to November 26, 2019, upon the acquisition of the initial portfolio from CTO, the results of operations are presented on a new basis of accounting pursuant to ASC 805-10.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Revenue from our property operations totaled $19.3 million during the year ended December 31, 2020, $1.4 million during the period from November 26, 2019 to December 31, 2019 and $11.8 million during the Predecessor period from January 1, 2019 to November 25, 2019. The increase in revenues is reflective of the Company’s volume of acquisitions. The direct costs of revenues for our property operations totaled $2.3 million during the year ended December 31, 2020, $0.4 million during the period from November 26, 2019 to December 31, 2019, and $1.7 million during the Predecessor period from January 1, 2019 to November 25, 2019. The increase in the direct cost of revenues is also attributable to the Company’s expanded property portfolio.</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represents the Company’s general and administrative expenses for the year ended December 31, 2020 as compared to the period from November 26, 2019 to December 31, 2019 and the Predecessor period from January 1, 2019 to November 25, 2019 (in thousands):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Year</w:t>
            </w: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from November</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2019 to</w:t>
            </w:r>
          </w:p>
        </w:tc>
      </w:tr>
      <w:tr>
        <w:trPr>
          <w:trHeight w:val="216"/>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2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10"/>
              <w:spacing w:after="0" w:line="196" w:lineRule="exact"/>
              <w:rPr>
                <w:sz w:val="20"/>
                <w:szCs w:val="20"/>
                <w:color w:val="auto"/>
              </w:rPr>
            </w:pPr>
            <w:r>
              <w:rPr>
                <w:rFonts w:ascii="Arial" w:cs="Arial" w:eastAsia="Arial" w:hAnsi="Arial"/>
                <w:sz w:val="18"/>
                <w:szCs w:val="18"/>
                <w:b w:val="1"/>
                <w:bCs w:val="1"/>
                <w:color w:val="auto"/>
              </w:rPr>
              <w:t>The Company</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5"/>
              </w:rPr>
              <w:t>Predecessor</w:t>
            </w:r>
          </w:p>
        </w:tc>
        <w:tc>
          <w:tcPr>
            <w:tcW w:w="20" w:type="dxa"/>
            <w:vAlign w:val="bottom"/>
          </w:tcPr>
          <w:p>
            <w:pPr>
              <w:spacing w:after="0"/>
              <w:rPr>
                <w:sz w:val="17"/>
                <w:szCs w:val="17"/>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Director Stock Compensation Expense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Allocation of Predecessor General and Administrative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49"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1"/>
          <w:szCs w:val="11"/>
          <w:color w:val="auto"/>
        </w:rPr>
      </w:pPr>
      <w:r>
        <w:rPr>
          <w:rFonts w:ascii="Arial" w:cs="Arial" w:eastAsia="Arial" w:hAnsi="Arial"/>
          <w:sz w:val="14"/>
          <w:szCs w:val="14"/>
          <w:color w:val="auto"/>
        </w:rPr>
        <w:t>For the Predecessor period presented, stock compensation expense represents an allocation from CTO.</w:t>
      </w:r>
    </w:p>
    <w:p>
      <w:pPr>
        <w:spacing w:after="0" w:line="20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General and administrative expenses totaled $4.7 million during the year ended December 31, 2020, $0.3 million during the period from November 26, 2019 to December 31, 2019, and $1.7 million during the Predecessor period from January 1, 2019 to November 25, 2019. Changes in general and administrative expenses are primarily due to the changes in the nature of such expenses, as the Predecessor period from January 1, 2019 to November 25, 2019 represents an allocation of the Predecessor parent company expenses versus actual general and administrative expenses incurred by the Company. The Predecessor general and administrative expenses were not indicative of the amount of general and administrative expenses the Company has incurred on an annual basis subsequent to the IPO. During the year ended December 31, 2020, general and administrative expenses were primarily impacted by the recognition of $2.6 million of management fee expenses, of which costs totaled $0.3 million and zero, respectively, for the period from November 26, 2019 to December 31, 2019 and for the Predecessor period from January 1, 2019 to November 25, 2019, in addition to $0.3 million of costs associated with audit services related to the 2019 annual audit. The fees associated with our annual audit are recognized as the services are incurred, which typically occurs ratably throughout the year.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Depreciation and amortization expense totaled $9.9 million during the year ended December 31, 2020, $0.7 million during the period from November 26, 2019 to December 31, 2019, and $4.9 million during the Predecessor period from January 1, 2019 to November 25, 2019. The increase in the depreciation and amortization expense is reflective of the Company’s expanded property portfolio.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Interest expense totaled $1.5 million during the year ended December 31, 2020, less than $0.1 million during the period from November 26, 2019 to December 31, 2019, and zero during the Predecessor period from January 1, 2019 to November 25, 2019. The increase in interest expense is related to the outstanding balance on the Company’s Credit Facility to fund the acquisition of 29 properties during the year ended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income (loss) totaled $1.1 million for the year ended December 31, 2020, less than $(0.1) million for the period from November 26, 2019 to December 31, 2019, and $3.6 million for the Predecessor period from January 1, 2019 to November 25, 2019. The decrease in net income for the year ended December 31, 2020, as compared to the period from November 26, 2019 to December 31, 2019 and the Predecessor period from January 1, 2019 to November 25, 2019 is attributable to the factors described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totaled $9.5 million at December 31, 2021, including restricted cash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restricted cash balance is being held in a capital replacement and leasing commissions reserve account in connection with our financing of six properties.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2021, the Company had $51.0 million available on the Credit Facility.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9, “Long-Term Debt” in the notes to the consolidated and combined financial statements in Item 8 for the Company’s disclosure related to its long-term debt balance at December 31, 2021.</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68 properties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for an aggregate purchase price of $260.3 million, as further described in Note 4 “Property Portfolio” in the notes to the consolidated and combined financial statements in Item 8.</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year ended December 31, 2021, the Company disposed of three properties for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volume of $28.3 million, generating aggregate gains of $9.7 million, as further described in Note 4 “Property Portfolio” in the notes to the consolidated and combined financial statements in Item 8.</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As of December 31, 2021, the Company had no commitments related to capital expenditures.</w:t>
      </w:r>
    </w:p>
    <w:p>
      <w:pPr>
        <w:spacing w:after="0" w:line="26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is contractually obligated under its various long-term debt agreements. In the aggregate, the Company is obligated under such agreements to repay $269.0 million on long-term basis, to be repaid in excess of one year, with no payments due within one year.</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$51.0 million of available capacity on the existing $150.0 million Credit Facility, based on our current borrowing base of properties, as of December 31, 2021.</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raised in the IPO and available borrowing capacity from the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Purchase Accounting for Acquisitions of Real Estate Subject to a Lease</w:t>
      </w:r>
      <w:r>
        <w:rPr>
          <w:rFonts w:ascii="Arial" w:cs="Arial" w:eastAsia="Arial" w:hAnsi="Arial"/>
          <w:sz w:val="16"/>
          <w:szCs w:val="16"/>
          <w:color w:val="auto"/>
        </w:rPr>
        <w:t>. As required by GAAP,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68 properties for a combined purchase price of $260.3 million for the year ended December 31, 2021 and 29 properties for a combined purchase price of $116.6 million for the year ended December 31, 2020.</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3, “Summary of Significant Accounting Policies”, for further discussion of the Company’s accounting estimates and policies.</w:t>
      </w:r>
    </w:p>
    <w:p>
      <w:pPr>
        <w:spacing w:after="0" w:line="166"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are a smaller reporting company as defined in Rule 12b-2 under the Securities Exchange Act of 1934. As a result, pursuant to Item 305(e) of Regulation S-K, we are not required to provide the information required by this Item.</w:t>
      </w:r>
    </w:p>
    <w:p>
      <w:pPr>
        <w:spacing w:after="0" w:line="14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Company’s Consolidated and Combined Financial Statements appear beginning on page F-1 of this report. See Item 15 of this report.</w:t>
      </w:r>
    </w:p>
    <w:p>
      <w:pPr>
        <w:spacing w:after="0" w:line="16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have been no disagreements with our accountants on accounting and financial disclosures.</w:t>
      </w:r>
    </w:p>
    <w:p>
      <w:pPr>
        <w:spacing w:after="0" w:line="2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to be disclosed by the Company in such reports is accumulated and communicated to the Company’s management, including its CEO and CFO, as appropriate to allow timely decisions regarding required disclosure.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spacing w:after="0" w:line="18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information required to be set forth herein will be included in the Company’s definitive proxy statement for its 2022 annual stockholders’ meeting to be filed with the SEC within 120 days after the end of the registrant’s fiscal year ended December 31, 2021 (the “Proxy Statement”), which sections are incorporated herein by reference.</w:t>
      </w:r>
    </w:p>
    <w:p>
      <w:pPr>
        <w:spacing w:after="0" w:line="16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pacing w:after="0" w:line="166"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2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pacing w:after="0" w:line="16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40" w:type="dxa"/>
            <w:vAlign w:val="bottom"/>
            <w:gridSpan w:val="13"/>
          </w:tcPr>
          <w:p>
            <w:pPr>
              <w:ind w:left="230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7420" w:type="dxa"/>
            <w:vAlign w:val="bottom"/>
            <w:gridSpan w:val="14"/>
          </w:tcPr>
          <w:p>
            <w:pPr>
              <w:ind w:left="100"/>
              <w:spacing w:after="0"/>
              <w:rPr>
                <w:sz w:val="20"/>
                <w:szCs w:val="20"/>
                <w:color w:val="auto"/>
              </w:rPr>
            </w:pPr>
            <w:r>
              <w:rPr>
                <w:rFonts w:ascii="Arial" w:cs="Arial" w:eastAsia="Arial" w:hAnsi="Arial"/>
                <w:sz w:val="18"/>
                <w:szCs w:val="18"/>
                <w:b w:val="1"/>
                <w:bCs w:val="1"/>
                <w:color w:val="auto"/>
              </w:rPr>
              <w:t>EXHIBITS AND FINANCIAL STATEMENT SCHEDULES</w:t>
            </w:r>
          </w:p>
        </w:tc>
        <w:tc>
          <w:tcPr>
            <w:tcW w:w="380" w:type="dxa"/>
            <w:vAlign w:val="bottom"/>
          </w:tcPr>
          <w:p>
            <w:pPr>
              <w:spacing w:after="0"/>
              <w:rPr>
                <w:sz w:val="24"/>
                <w:szCs w:val="24"/>
                <w:color w:val="auto"/>
              </w:rPr>
            </w:pPr>
          </w:p>
        </w:tc>
      </w:tr>
      <w:tr>
        <w:trPr>
          <w:trHeight w:val="432"/>
        </w:trPr>
        <w:tc>
          <w:tcPr>
            <w:tcW w:w="8520" w:type="dxa"/>
            <w:vAlign w:val="bottom"/>
            <w:gridSpan w:val="16"/>
          </w:tcPr>
          <w:p>
            <w:pPr>
              <w:spacing w:after="0"/>
              <w:rPr>
                <w:sz w:val="20"/>
                <w:szCs w:val="20"/>
                <w:color w:val="auto"/>
              </w:rPr>
            </w:pPr>
            <w:r>
              <w:rPr>
                <w:rFonts w:ascii="Arial" w:cs="Arial" w:eastAsia="Arial" w:hAnsi="Arial"/>
                <w:sz w:val="18"/>
                <w:szCs w:val="18"/>
                <w:b w:val="1"/>
                <w:bCs w:val="1"/>
                <w:color w:val="auto"/>
              </w:rPr>
              <w:t>1. FINANCIAL STATEMENTS</w:t>
            </w:r>
          </w:p>
        </w:tc>
        <w:tc>
          <w:tcPr>
            <w:tcW w:w="3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400" w:type="dxa"/>
            <w:vAlign w:val="bottom"/>
            <w:gridSpan w:val="15"/>
          </w:tcPr>
          <w:p>
            <w:pPr>
              <w:ind w:left="20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380" w:type="dxa"/>
            <w:vAlign w:val="bottom"/>
          </w:tcPr>
          <w:p>
            <w:pPr>
              <w:spacing w:after="0"/>
              <w:rPr>
                <w:sz w:val="24"/>
                <w:szCs w:val="24"/>
                <w:color w:val="auto"/>
              </w:rPr>
            </w:pPr>
          </w:p>
        </w:tc>
      </w:tr>
      <w:tr>
        <w:trPr>
          <w:trHeight w:val="405"/>
        </w:trPr>
        <w:tc>
          <w:tcPr>
            <w:tcW w:w="852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380" w:type="dxa"/>
            <w:vAlign w:val="bottom"/>
          </w:tcPr>
          <w:p>
            <w:pPr>
              <w:ind w:left="120"/>
              <w:spacing w:after="0"/>
              <w:rPr>
                <w:sz w:val="20"/>
                <w:szCs w:val="20"/>
                <w:color w:val="auto"/>
              </w:rPr>
            </w:pPr>
            <w:r>
              <w:rPr>
                <w:rFonts w:ascii="Arial" w:cs="Arial" w:eastAsia="Arial" w:hAnsi="Arial"/>
                <w:sz w:val="18"/>
                <w:szCs w:val="18"/>
                <w:color w:val="auto"/>
                <w:w w:val="88"/>
              </w:rPr>
              <w:t>F-2</w:t>
            </w:r>
          </w:p>
        </w:tc>
      </w:tr>
      <w:tr>
        <w:trPr>
          <w:trHeight w:val="20"/>
        </w:trPr>
        <w:tc>
          <w:tcPr>
            <w:tcW w:w="1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2021 and 2020</w:t>
              </w:r>
            </w:hyperlink>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Operations for the year ended December 31, 2021 (the Company), the year ended</w:t>
              </w:r>
            </w:hyperlink>
          </w:p>
        </w:tc>
        <w:tc>
          <w:tcPr>
            <w:tcW w:w="620" w:type="dxa"/>
            <w:vAlign w:val="bottom"/>
            <w:gridSpan w:val="9"/>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88"/>
              </w:rPr>
              <w:t>F-4</w:t>
            </w: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December 31, 2020 (the Company), and for the period from November 26, 2019 to December 31, 2019 (the</w:t>
              </w:r>
            </w:hyperlink>
          </w:p>
        </w:tc>
        <w:tc>
          <w:tcPr>
            <w:tcW w:w="3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Company) and Combined Statements of Operations for the period from January 1, 2019 to November 25, 2019</w:t>
              </w:r>
            </w:hyperlink>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(Predecessor)</w:t>
              </w:r>
            </w:hyperlink>
          </w:p>
        </w:tc>
        <w:tc>
          <w:tcPr>
            <w:tcW w:w="68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Comprehensive Income for the year ended December 31, 2021 (the Company), the year</w:t>
              </w:r>
            </w:hyperlink>
          </w:p>
        </w:tc>
        <w:tc>
          <w:tcPr>
            <w:tcW w:w="180" w:type="dxa"/>
            <w:vAlign w:val="bottom"/>
            <w:gridSpan w:val="3"/>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2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ended December 31, 2020 (the Company) and for the period from November 26, 2019 to December 31, 2019 (the</w:t>
              </w:r>
            </w:hyperlink>
          </w:p>
        </w:tc>
        <w:tc>
          <w:tcPr>
            <w:tcW w:w="20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Company), and Combined Statements of Comprehensive Income for the period from January 1, 2019 to November</w:t>
              </w:r>
            </w:hyperlink>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25, 2019 (Predecessor)</w:t>
              </w:r>
            </w:hyperlink>
          </w:p>
        </w:tc>
        <w:tc>
          <w:tcPr>
            <w:tcW w:w="674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Consolidated Statements of Stockholders’ Equity for the year ended December 31, 2021 (the Company), the year</w:t>
              </w:r>
            </w:hyperlink>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2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37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ended December 31, 2020 (the Company), and for the period from November 26, 2019 to December 31, 2019 (the</w:t>
              </w:r>
            </w:hyperlink>
          </w:p>
        </w:tc>
        <w:tc>
          <w:tcPr>
            <w:tcW w:w="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Company) and Combined Statements of Stockholders’ Equity for the period from January 1, 2019 to November</w:t>
              </w:r>
            </w:hyperlink>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25, 2019 (Predecessor)</w:t>
              </w:r>
            </w:hyperlink>
          </w:p>
        </w:tc>
        <w:tc>
          <w:tcPr>
            <w:tcW w:w="6400" w:type="dxa"/>
            <w:vAlign w:val="bottom"/>
            <w:tcBorders>
              <w:top w:val="single" w:sz="8" w:color="0000EE"/>
            </w:tcBorders>
            <w:gridSpan w:val="8"/>
          </w:tcPr>
          <w:p>
            <w:pPr>
              <w:spacing w:after="0"/>
              <w:rPr>
                <w:sz w:val="17"/>
                <w:szCs w:val="17"/>
                <w:color w:val="auto"/>
              </w:rPr>
            </w:pPr>
          </w:p>
        </w:tc>
        <w:tc>
          <w:tcPr>
            <w:tcW w:w="34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Consolidated Statements of Cash Flows for the year ended December 31, 2021 (the Company), the year ended</w:t>
              </w:r>
            </w:hyperlink>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7"/>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December 31, 2020 (the Company), and for the period from November 26, 2019 to December 31, 2019 (the</w:t>
              </w:r>
            </w:hyperlink>
          </w:p>
        </w:tc>
        <w:tc>
          <w:tcPr>
            <w:tcW w:w="58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Company) and Combined Statements of Cash Flows for the period from January 1, 2019 to November 25, 2019</w:t>
              </w:r>
            </w:hyperlink>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(Predecessor)</w:t>
              </w:r>
            </w:hyperlink>
          </w:p>
        </w:tc>
        <w:tc>
          <w:tcPr>
            <w:tcW w:w="68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52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Notes to Consolidated and Combined Financial Statements</w:t>
              </w:r>
            </w:hyperlink>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w w:val="88"/>
              </w:rPr>
              <w:t>F-9</w:t>
            </w:r>
          </w:p>
        </w:tc>
      </w:tr>
      <w:tr>
        <w:trPr>
          <w:trHeight w:val="20"/>
        </w:trPr>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Schedules are omitted because of the absence of conditions under which they are required, materiality, or because the required information is given in the financial statements or notes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11"/>
          </w:tcPr>
          <w:p>
            <w:pPr>
              <w:ind w:left="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44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Purchase and Sale Agreement, dated April 2, 2021, among Alpine Income Property OP, LP, Bluebird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Arrowhead Phoenix LLC, Golden Arrow Clermont FL LLC, Bluebird Germantown MD LLC, Golden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Arrow Charlotte NC LLC, CTLC Golden Arrow Katy LLC, and Bluebird Renton WA LLC</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(incorporated by reference to Exhibit 2.1 to the Company’s Current Report on Form 8-K filed on April</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20"/>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6, 2021).**</w:t>
              </w:r>
            </w:hyperlink>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60" w:type="dxa"/>
            <w:vAlign w:val="bottom"/>
            <w:gridSpan w:val="2"/>
          </w:tcPr>
          <w:p>
            <w:pPr>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First Amendment to the Purchase and Sale Agreement, dated April 20, 2021, among Alpine Income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Property OP, LP, Bluebird Arrowhead Phoenix LLC, Golden Arrow Clermont FL LLC, Bluebird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Germantown MD LLC, Golden Arrow Charlotte NC LLC, CTLC Golden Arrow Katy LLC, and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76">
              <w:r>
                <w:rPr>
                  <w:rFonts w:ascii="Arial" w:cs="Arial" w:eastAsia="Arial" w:hAnsi="Arial"/>
                  <w:sz w:val="18"/>
                  <w:szCs w:val="18"/>
                  <w:color w:val="0000EE"/>
                  <w:w w:val="97"/>
                </w:rPr>
                <w:t>Bluebird Renton WA LLC (incorporated by reference to Exhibit 2.1a to the Company’s Quarterly</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Report on Form 10-Q filed on April 22, 2021).</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8"/>
              </w:rPr>
            </w:pPr>
            <w:hyperlink r:id="rId77">
              <w:r>
                <w:rPr>
                  <w:rFonts w:ascii="Arial" w:cs="Arial" w:eastAsia="Arial" w:hAnsi="Arial"/>
                  <w:sz w:val="18"/>
                  <w:szCs w:val="18"/>
                  <w:color w:val="0000EE"/>
                  <w:w w:val="98"/>
                </w:rPr>
                <w:t>Articles of Amendment and Restatement of Alpine Income Property Trust, Inc. (incorporated by</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reference to Exhibit 3.1 to the Company’s Current Report on Form 8-K filed on December 3, 2019).</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Second Amended and Restated Bylaws of Alpine Income Property Trust, Inc. (incorporated by</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reference to Exhibit 3.1 to the Company’s Current Report on Form 8-K filed on July 22, 2021).</w:t>
              </w:r>
            </w:hyperlink>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top w:val="single" w:sz="8" w:color="0000EE"/>
            </w:tcBorders>
            <w:gridSpan w:val="1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Description of the Registrant’s Securities †</w:t>
              </w:r>
            </w:hyperlink>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Specimen Common Stock Certificate of Alpine Income Property Trust, Inc. (incorporated by reference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to Exhibit 4.1 to the Registrant’s Registration Statement on Form S-11/A (File No. 333-234304) filed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with the Commission on October 29,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Stock Purchase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and Consolidated-Tomoka Land Co. (incorporated by reference to Exhibit 10.1 to the Company’s</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Current Report on Form 8-K filed on December 3, 2019).</w:t>
              </w:r>
            </w:hyperlink>
          </w:p>
        </w:tc>
        <w:tc>
          <w:tcPr>
            <w:tcW w:w="3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Registration  Rights  Agreement,  dated  November  26,  2019,  between  Alpine  Income  Property</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81">
              <w:r>
                <w:rPr>
                  <w:rFonts w:ascii="Arial" w:cs="Arial" w:eastAsia="Arial" w:hAnsi="Arial"/>
                  <w:sz w:val="18"/>
                  <w:szCs w:val="18"/>
                  <w:color w:val="0000EE"/>
                  <w:w w:val="97"/>
                </w:rPr>
                <w:t>Trust, Inc. and Consolidated-Tomoka Land Co. (incorporated by reference to Exhibit 10.2 to the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Company’s Current Report on Form 8-K filed on 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Amended and Restated Agreement of Limited Partnership, dated November 26, 2019, among Alpine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Income Property GP, LLC, Alpine Income Property Trust, Inc., Consolidated-Tomoka Land Co. and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Indigo Group Ltd. (incorporated by reference to Exhibit 10.3 to the Company’s Current Report on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Form 8-K filed on 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Tax Protection Agreement, dated November 26, 2019, among Alpine Income Property Trust, Inc.,</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Alpine Income Property OP, LP, Consolidated-Tomoka Land Co. and Indigo Group Ltd. (incorporated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by reference to Exhibit 10.4 to the Company’s Current Report on Form 8-K filed on December 3,</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EE"/>
                <w:w w:val="86"/>
              </w:rPr>
            </w:pPr>
            <w:hyperlink r:id="rId83">
              <w:r>
                <w:rPr>
                  <w:rFonts w:ascii="Arial" w:cs="Arial" w:eastAsia="Arial" w:hAnsi="Arial"/>
                  <w:sz w:val="18"/>
                  <w:szCs w:val="18"/>
                  <w:color w:val="0000EE"/>
                  <w:w w:val="86"/>
                </w:rPr>
                <w:t>2019).</w:t>
              </w:r>
            </w:hyperlink>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Management Agreement, dated November 26, 2019, among Alpine Income Property Trust, Inc.,</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Alpine Income Property OP, LP and Alpine Income Property Manager, LLC (incorporated by reference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to Exhibit 10.5 to the Company’s Current Report on Form 8-K filed on December 3, 2019).*</w:t>
              </w:r>
            </w:hyperlink>
          </w:p>
        </w:tc>
        <w:tc>
          <w:tcPr>
            <w:tcW w:w="7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5"/>
              </w:rPr>
            </w:pPr>
            <w:hyperlink r:id="rId85">
              <w:r>
                <w:rPr>
                  <w:rFonts w:ascii="Arial" w:cs="Arial" w:eastAsia="Arial" w:hAnsi="Arial"/>
                  <w:sz w:val="18"/>
                  <w:szCs w:val="18"/>
                  <w:color w:val="0000EE"/>
                  <w:w w:val="95"/>
                </w:rPr>
                <w:t>Exclusivity and Right of First Offer Agreement, dated November 26, 2019, between Consolidated-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Tomoka Land Co. and Alpine Income Property Trust, Inc. (incorporated by reference to Exhibit 10.6 to</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Company’s Current Report on Form 8-K filed on 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840" w:type="dxa"/>
            <w:vAlign w:val="bottom"/>
            <w:gridSpan w:val="7"/>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Credit Agreement, dated November 26, 2019, among Alpine Income Property OP, LP, Alpine Income</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Property Trust, Inc., Bank of Montreal, BMO Capital Markets Corp. and Raymond James Bank, N.A.</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86">
              <w:r>
                <w:rPr>
                  <w:rFonts w:ascii="Arial" w:cs="Arial" w:eastAsia="Arial" w:hAnsi="Arial"/>
                  <w:sz w:val="18"/>
                  <w:szCs w:val="18"/>
                  <w:color w:val="0000EE"/>
                  <w:w w:val="96"/>
                </w:rPr>
                <w:t>(incorporated by reference to Exhibit 10.7 to the Company’s Current Report on Form 8-K filed on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December 3, 2019).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10.8</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and John P. Albright (incorporated by reference to Exhibit 10.8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Form 8-K filed on December 3, 2019).*</w:t>
              </w:r>
            </w:hyperlink>
          </w:p>
        </w:tc>
        <w:tc>
          <w:tcPr>
            <w:tcW w:w="4560" w:type="dxa"/>
            <w:vAlign w:val="bottom"/>
            <w:gridSpan w:val="4"/>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10.9</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89">
              <w:r>
                <w:rPr>
                  <w:rFonts w:ascii="Arial" w:cs="Arial" w:eastAsia="Arial" w:hAnsi="Arial"/>
                  <w:sz w:val="18"/>
                  <w:szCs w:val="18"/>
                  <w:color w:val="0000EE"/>
                  <w:w w:val="96"/>
                </w:rPr>
                <w:t>and Steven R. Greathouse (incorporated by reference to Exhibit 10.10 to the Company’s Current</w:t>
              </w:r>
            </w:hyperlink>
          </w:p>
        </w:tc>
      </w:tr>
      <w:tr>
        <w:trPr>
          <w:trHeight w:val="196"/>
        </w:trPr>
        <w:tc>
          <w:tcPr>
            <w:tcW w:w="146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Report on Form 8-K filed on December 3, 2019).*</w:t>
              </w:r>
            </w:hyperlink>
          </w:p>
        </w:tc>
        <w:tc>
          <w:tcPr>
            <w:tcW w:w="3820" w:type="dxa"/>
            <w:vAlign w:val="bottom"/>
            <w:gridSpan w:val="2"/>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90">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and Daniel E. Smith (incorporated by reference to Exhibit 10.11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Form 8-K filed on December 3, 2019).*</w:t>
              </w:r>
            </w:hyperlink>
          </w:p>
        </w:tc>
        <w:tc>
          <w:tcPr>
            <w:tcW w:w="4560" w:type="dxa"/>
            <w:vAlign w:val="bottom"/>
            <w:gridSpan w:val="4"/>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10.11</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and Mark O. Decker, Jr. (incorporated by reference to Exhibit 10.12 to the Company’s Current Report</w:t>
              </w:r>
            </w:hyperlink>
          </w:p>
        </w:tc>
      </w:tr>
      <w:tr>
        <w:trPr>
          <w:trHeight w:val="196"/>
        </w:trPr>
        <w:tc>
          <w:tcPr>
            <w:tcW w:w="1460" w:type="dxa"/>
            <w:vAlign w:val="bottom"/>
          </w:tcPr>
          <w:p>
            <w:pPr>
              <w:spacing w:after="0"/>
              <w:rPr>
                <w:sz w:val="17"/>
                <w:szCs w:val="17"/>
                <w:color w:val="auto"/>
              </w:rPr>
            </w:pPr>
          </w:p>
        </w:tc>
        <w:tc>
          <w:tcPr>
            <w:tcW w:w="7460" w:type="dxa"/>
            <w:vAlign w:val="bottom"/>
            <w:gridSpan w:val="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Form 8-K filed on December 3, 2019).*</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and M. Carson Good (incorporated by reference to Exhibit 10.13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Form 8-K filed on December 3, 2019).*</w:t>
              </w:r>
            </w:hyperlink>
          </w:p>
        </w:tc>
        <w:tc>
          <w:tcPr>
            <w:tcW w:w="4560" w:type="dxa"/>
            <w:vAlign w:val="bottom"/>
            <w:gridSpan w:val="4"/>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93">
              <w:r>
                <w:rPr>
                  <w:rFonts w:ascii="Arial" w:cs="Arial" w:eastAsia="Arial" w:hAnsi="Arial"/>
                  <w:sz w:val="18"/>
                  <w:szCs w:val="18"/>
                  <w:color w:val="0000EE"/>
                  <w:w w:val="96"/>
                </w:rPr>
                <w:t>and Andrew C. Richardson (incorporated by reference to Exhibit 10.14 to the Company’s Current</w:t>
              </w:r>
            </w:hyperlink>
          </w:p>
        </w:tc>
      </w:tr>
      <w:tr>
        <w:trPr>
          <w:trHeight w:val="196"/>
        </w:trPr>
        <w:tc>
          <w:tcPr>
            <w:tcW w:w="146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Report on Form 8-K filed on December 3, 2019).*</w:t>
              </w:r>
            </w:hyperlink>
          </w:p>
        </w:tc>
        <w:tc>
          <w:tcPr>
            <w:tcW w:w="3820" w:type="dxa"/>
            <w:vAlign w:val="bottom"/>
            <w:gridSpan w:val="2"/>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4"/>
              </w:rPr>
            </w:pPr>
            <w:hyperlink r:id="rId94">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and Jeffrey S. Yarckin (incorporated by reference to Exhibit 10.15 to the Company’s Current Report on</w:t>
              </w:r>
            </w:hyperlink>
          </w:p>
        </w:tc>
      </w:tr>
      <w:tr>
        <w:trPr>
          <w:trHeight w:val="196"/>
        </w:trPr>
        <w:tc>
          <w:tcPr>
            <w:tcW w:w="14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Form 8-K filed on December 3, 2019).*</w:t>
              </w:r>
            </w:hyperlink>
          </w:p>
        </w:tc>
        <w:tc>
          <w:tcPr>
            <w:tcW w:w="4560" w:type="dxa"/>
            <w:vAlign w:val="bottom"/>
            <w:gridSpan w:val="4"/>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10.15</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Indemnification Agreement, dated February 10, 2021, between Alpine Income Property Trust, Inc. and</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r:id="rId95">
              <w:r>
                <w:rPr>
                  <w:rFonts w:ascii="Arial" w:cs="Arial" w:eastAsia="Arial" w:hAnsi="Arial"/>
                  <w:sz w:val="18"/>
                  <w:szCs w:val="18"/>
                  <w:color w:val="0000EE"/>
                  <w:w w:val="98"/>
                </w:rPr>
                <w:t>Rachel E. Wein (incorporated by reference to Exhibit 10.1 to the Company’s Current Report on</w:t>
              </w:r>
            </w:hyperlink>
          </w:p>
        </w:tc>
      </w:tr>
      <w:tr>
        <w:trPr>
          <w:trHeight w:val="196"/>
        </w:trPr>
        <w:tc>
          <w:tcPr>
            <w:tcW w:w="146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Form 8-K filed on February 11, 2021).*</w:t>
              </w:r>
            </w:hyperlink>
          </w:p>
        </w:tc>
        <w:tc>
          <w:tcPr>
            <w:tcW w:w="4580" w:type="dxa"/>
            <w:vAlign w:val="bottom"/>
            <w:gridSpan w:val="5"/>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10.16</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Alpine Income Property Trust, Inc. 2019 Individual Equity Incentive Plan (incorporated by reference to</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Exhibit 10.1 to the Company’s Registration Statement on Form S-8 (File No. 333-235256) filed on</w:t>
              </w:r>
            </w:hyperlink>
          </w:p>
        </w:tc>
      </w:tr>
      <w:tr>
        <w:trPr>
          <w:trHeight w:val="196"/>
        </w:trPr>
        <w:tc>
          <w:tcPr>
            <w:tcW w:w="1460" w:type="dxa"/>
            <w:vAlign w:val="bottom"/>
          </w:tcPr>
          <w:p>
            <w:pPr>
              <w:spacing w:after="0"/>
              <w:rPr>
                <w:sz w:val="17"/>
                <w:szCs w:val="17"/>
                <w:color w:val="auto"/>
              </w:rPr>
            </w:pPr>
          </w:p>
        </w:tc>
        <w:tc>
          <w:tcPr>
            <w:tcW w:w="7460" w:type="dxa"/>
            <w:vAlign w:val="bottom"/>
            <w:gridSpan w:val="9"/>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November 25, 2019).*</w:t>
              </w:r>
            </w:hyperlink>
          </w:p>
        </w:tc>
      </w:tr>
      <w:tr>
        <w:trPr>
          <w:trHeight w:val="20"/>
        </w:trPr>
        <w:tc>
          <w:tcPr>
            <w:tcW w:w="14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10.17</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Alpine Income Property Trust, Inc. 2019 Manager Equity Incentive Plan (incorporated by reference to</w:t>
              </w:r>
            </w:hyperlink>
          </w:p>
        </w:tc>
      </w:tr>
      <w:tr>
        <w:trPr>
          <w:trHeight w:val="196"/>
        </w:trPr>
        <w:tc>
          <w:tcPr>
            <w:tcW w:w="146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Exhibit 10.17 to the Company’s Current Report on Form 8-K filed on December 3, 2019).*</w:t>
              </w:r>
            </w:hyperlink>
          </w:p>
        </w:tc>
        <w:tc>
          <w:tcPr>
            <w:tcW w:w="880" w:type="dxa"/>
            <w:vAlign w:val="bottom"/>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10.18</w:t>
            </w:r>
          </w:p>
        </w:tc>
        <w:tc>
          <w:tcPr>
            <w:tcW w:w="7460" w:type="dxa"/>
            <w:vAlign w:val="bottom"/>
            <w:tcBorders>
              <w:bottom w:val="single" w:sz="8" w:color="0000EE"/>
            </w:tcBorders>
            <w:gridSpan w:val="9"/>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Non-Employee Director Restricted Stock Award Agreement under the Alpine Income</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Property Trust, Inc. 2019 Individual Equity Incentive Plan (incorporated by reference to Exhibit 10.11</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to the Registrant’s Registration Statement on Form S-11/A (File No. 333-234304) filed with the</w:t>
              </w:r>
            </w:hyperlink>
          </w:p>
        </w:tc>
      </w:tr>
      <w:tr>
        <w:trPr>
          <w:trHeight w:val="196"/>
        </w:trPr>
        <w:tc>
          <w:tcPr>
            <w:tcW w:w="146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Commission on November 7, 2019).*</w:t>
              </w:r>
            </w:hyperlink>
          </w:p>
        </w:tc>
        <w:tc>
          <w:tcPr>
            <w:tcW w:w="4740" w:type="dxa"/>
            <w:vAlign w:val="bottom"/>
            <w:gridSpan w:val="6"/>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7460" w:type="dxa"/>
            <w:vAlign w:val="bottom"/>
            <w:tcBorders>
              <w:bottom w:val="single" w:sz="8" w:color="0000EE"/>
            </w:tcBorders>
            <w:gridSpan w:val="9"/>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First Amendment to the Credit Agreement, dated June 30, 2020, among Alpine Income Property OP,</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LP, Alpine Income Property Trust, Inc., Bank of Montreal, BMO Capital Markets Corp. and Raymond</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James Bank, N.A. (incorporated by reference to Exhibit 10.1 to the Company’s Current Report on</w:t>
              </w:r>
            </w:hyperlink>
          </w:p>
        </w:tc>
      </w:tr>
      <w:tr>
        <w:trPr>
          <w:trHeight w:val="196"/>
        </w:trPr>
        <w:tc>
          <w:tcPr>
            <w:tcW w:w="146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Form 10-Q filed on August 3, 2020).</w:t>
              </w:r>
            </w:hyperlink>
          </w:p>
        </w:tc>
        <w:tc>
          <w:tcPr>
            <w:tcW w:w="4800" w:type="dxa"/>
            <w:vAlign w:val="bottom"/>
            <w:gridSpan w:val="7"/>
          </w:tcPr>
          <w:p>
            <w:pPr>
              <w:spacing w:after="0"/>
              <w:rPr>
                <w:sz w:val="17"/>
                <w:szCs w:val="17"/>
                <w:color w:val="auto"/>
              </w:rPr>
            </w:pPr>
          </w:p>
        </w:tc>
      </w:tr>
      <w:tr>
        <w:trPr>
          <w:trHeight w:val="763"/>
        </w:trPr>
        <w:tc>
          <w:tcPr>
            <w:tcW w:w="1460" w:type="dxa"/>
            <w:vAlign w:val="bottom"/>
          </w:tcPr>
          <w:p>
            <w:pPr>
              <w:spacing w:after="0"/>
              <w:rPr>
                <w:sz w:val="24"/>
                <w:szCs w:val="24"/>
                <w:color w:val="auto"/>
              </w:rPr>
            </w:pPr>
          </w:p>
        </w:tc>
        <w:tc>
          <w:tcPr>
            <w:tcW w:w="3100" w:type="dxa"/>
            <w:vAlign w:val="bottom"/>
            <w:gridSpan w:val="6"/>
          </w:tcPr>
          <w:p>
            <w:pPr>
              <w:ind w:left="2920"/>
              <w:spacing w:after="0"/>
              <w:rPr>
                <w:sz w:val="20"/>
                <w:szCs w:val="20"/>
                <w:color w:val="auto"/>
              </w:rPr>
            </w:pPr>
            <w:r>
              <w:rPr>
                <w:rFonts w:ascii="Arial" w:cs="Arial" w:eastAsia="Arial" w:hAnsi="Arial"/>
                <w:sz w:val="18"/>
                <w:szCs w:val="18"/>
                <w:color w:val="auto"/>
                <w:w w:val="79"/>
              </w:rPr>
              <w:t>60</w:t>
            </w:r>
          </w:p>
        </w:tc>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1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10.20</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Second Amendment to the Credit Agreement, dated October 16, 2020, among Alpine Income Property</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OP, LP, Alpine Income Property Trust, Inc., the other Guarantors party thereto, the Lenders party</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thereto and Bank of Montreal, as Administrative Agent (incorporated by reference to Exhibit 10.1 to</w:t>
              </w:r>
            </w:hyperlink>
          </w:p>
        </w:tc>
      </w:tr>
      <w:tr>
        <w:trPr>
          <w:trHeight w:val="196"/>
        </w:trPr>
        <w:tc>
          <w:tcPr>
            <w:tcW w:w="146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 Company’s Current Report on Form 8-K filed on October 22, 2020).</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10.21</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Third Amendment to Credit Agreement dated as of May 19, 2021 (incorporated by reference to Exhibit</w:t>
              </w:r>
            </w:hyperlink>
          </w:p>
        </w:tc>
      </w:tr>
      <w:tr>
        <w:trPr>
          <w:trHeight w:val="196"/>
        </w:trPr>
        <w:tc>
          <w:tcPr>
            <w:tcW w:w="1460" w:type="dxa"/>
            <w:vAlign w:val="bottom"/>
          </w:tcPr>
          <w:p>
            <w:pPr>
              <w:spacing w:after="0"/>
              <w:rPr>
                <w:sz w:val="17"/>
                <w:szCs w:val="17"/>
                <w:color w:val="auto"/>
              </w:rPr>
            </w:pPr>
          </w:p>
        </w:tc>
        <w:tc>
          <w:tcPr>
            <w:tcW w:w="55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on May 25, 2021).</w:t>
              </w:r>
            </w:hyperlink>
          </w:p>
        </w:tc>
        <w:tc>
          <w:tcPr>
            <w:tcW w:w="1960" w:type="dxa"/>
            <w:vAlign w:val="bottom"/>
            <w:gridSpan w:val="3"/>
          </w:tcPr>
          <w:p>
            <w:pPr>
              <w:spacing w:after="0"/>
              <w:rPr>
                <w:sz w:val="17"/>
                <w:szCs w:val="17"/>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10.22</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Credit Agreement, dated as of May 21, 2021, among Alpine Income Property, OP, LP, Alpine Income</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Property Trust, Inc., the other Guarantors from time to time parties thereto, Truist Bank, N.A., Bank of</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Montreal, Raymond James Bank, N.A. and Stifel Bank (incorporated by reference to Exhibit 10.2 to</w:t>
              </w:r>
            </w:hyperlink>
          </w:p>
        </w:tc>
      </w:tr>
      <w:tr>
        <w:trPr>
          <w:trHeight w:val="196"/>
        </w:trPr>
        <w:tc>
          <w:tcPr>
            <w:tcW w:w="1460" w:type="dxa"/>
            <w:vAlign w:val="bottom"/>
          </w:tcPr>
          <w:p>
            <w:pPr>
              <w:spacing w:after="0"/>
              <w:rPr>
                <w:sz w:val="17"/>
                <w:szCs w:val="17"/>
                <w:color w:val="auto"/>
              </w:rPr>
            </w:pPr>
          </w:p>
        </w:tc>
        <w:tc>
          <w:tcPr>
            <w:tcW w:w="4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the Company’s Current Report on Form 8-K filed on May 25, 2021).</w:t>
              </w:r>
            </w:hyperlink>
          </w:p>
        </w:tc>
        <w:tc>
          <w:tcPr>
            <w:tcW w:w="2500" w:type="dxa"/>
            <w:vAlign w:val="bottom"/>
            <w:gridSpan w:val="5"/>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10.23</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Loan Agreement among CTO Realty Growth, Inc. (f.k.a. Consolidated-Tomoka Land Co.) and</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affiliates of CTO Realty Growth, Inc. named therein, as borrowers, and Wells Fargo Bank, National</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Association, dated September 30, 2014, as assumed by Alpine Income Property Trust, Inc. and</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affiliates of Alpine Income Property Trust, Inc. (incorporated by reference to Exhibit 10.3 to the</w:t>
              </w:r>
            </w:hyperlink>
          </w:p>
        </w:tc>
      </w:tr>
      <w:tr>
        <w:trPr>
          <w:trHeight w:val="196"/>
        </w:trPr>
        <w:tc>
          <w:tcPr>
            <w:tcW w:w="146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Company’s Quarterly Report on Form 10-Q filed on July 22, 2021).</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10.24</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Assumption Agreement by and among Wilmington Trust, National Association, as trustee, for the</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benefit of the registered holders of WFRBS Commercial Mortgage Trust 2014-C24, Commercial</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Mortgage Pass-Through Certificates, Series 2014-C24, CTO Realty Growth, Inc., Alpine Income</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Property Trust, Inc., PINE21 Acquisitions LLC and certain other entities named therein, made as of</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June 30, 2021 (incorporated by reference to Exhibit 10.4 to the Company’s Quarterly Report on Form</w:t>
              </w:r>
            </w:hyperlink>
          </w:p>
        </w:tc>
      </w:tr>
      <w:tr>
        <w:trPr>
          <w:trHeight w:val="196"/>
        </w:trPr>
        <w:tc>
          <w:tcPr>
            <w:tcW w:w="146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10-Q filed on July 22, 2021).</w:t>
              </w:r>
            </w:hyperlink>
          </w:p>
        </w:tc>
        <w:tc>
          <w:tcPr>
            <w:tcW w:w="5360" w:type="dxa"/>
            <w:vAlign w:val="bottom"/>
            <w:gridSpan w:val="11"/>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10.25</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Credit Agreement, dated as of September 30, 2021, among Alpine Income Property, OP, LP, Alpine</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Income Property Trust, Inc., the other Guarantors from time to time parties thereto, the Lenders from</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time to time parties thereto, and KeyBank National Association (incorporated by reference to Exhibit</w:t>
              </w:r>
            </w:hyperlink>
          </w:p>
        </w:tc>
      </w:tr>
      <w:tr>
        <w:trPr>
          <w:trHeight w:val="196"/>
        </w:trPr>
        <w:tc>
          <w:tcPr>
            <w:tcW w:w="1460" w:type="dxa"/>
            <w:vAlign w:val="bottom"/>
          </w:tcPr>
          <w:p>
            <w:pPr>
              <w:spacing w:after="0"/>
              <w:rPr>
                <w:sz w:val="17"/>
                <w:szCs w:val="17"/>
                <w:color w:val="auto"/>
              </w:rPr>
            </w:pPr>
          </w:p>
        </w:tc>
        <w:tc>
          <w:tcPr>
            <w:tcW w:w="5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Quarterly Report on Form 10-Q filed on October 21, 2021).</w:t>
              </w:r>
            </w:hyperlink>
          </w:p>
        </w:tc>
        <w:tc>
          <w:tcPr>
            <w:tcW w:w="1480" w:type="dxa"/>
            <w:vAlign w:val="bottom"/>
            <w:gridSpan w:val="2"/>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7460" w:type="dxa"/>
            <w:vAlign w:val="bottom"/>
            <w:gridSpan w:val="1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List of Subsidiaries of the Registrant. †</w:t>
              </w:r>
            </w:hyperlink>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2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Consent of Grant Thornton LLP. †</w:t>
              </w:r>
            </w:hyperlink>
          </w:p>
        </w:tc>
        <w:tc>
          <w:tcPr>
            <w:tcW w:w="340" w:type="dxa"/>
            <w:vAlign w:val="bottom"/>
            <w:tcBorders>
              <w:top w:val="single" w:sz="8" w:color="0000EE"/>
            </w:tcBorders>
          </w:tcPr>
          <w:p>
            <w:pPr>
              <w:spacing w:after="0"/>
              <w:rPr>
                <w:sz w:val="24"/>
                <w:szCs w:val="24"/>
                <w:color w:val="auto"/>
              </w:rPr>
            </w:pPr>
          </w:p>
        </w:tc>
        <w:tc>
          <w:tcPr>
            <w:tcW w:w="4640" w:type="dxa"/>
            <w:vAlign w:val="bottom"/>
            <w:gridSpan w:val="8"/>
          </w:tcPr>
          <w:p>
            <w:pPr>
              <w:spacing w:after="0"/>
              <w:rPr>
                <w:sz w:val="24"/>
                <w:szCs w:val="24"/>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Certificate of John P. Albright, President and Chief Executive Officer, pursuant to Section 302 of the</w:t>
              </w:r>
            </w:hyperlink>
          </w:p>
        </w:tc>
      </w:tr>
      <w:tr>
        <w:trPr>
          <w:trHeight w:val="196"/>
        </w:trPr>
        <w:tc>
          <w:tcPr>
            <w:tcW w:w="1460" w:type="dxa"/>
            <w:vAlign w:val="bottom"/>
          </w:tcPr>
          <w:p>
            <w:pPr>
              <w:spacing w:after="0"/>
              <w:rPr>
                <w:sz w:val="17"/>
                <w:szCs w:val="17"/>
                <w:color w:val="auto"/>
              </w:rPr>
            </w:pPr>
          </w:p>
        </w:tc>
        <w:tc>
          <w:tcPr>
            <w:tcW w:w="22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Sarbanes-Oxley Act of 2002. †</w:t>
              </w:r>
            </w:hyperlink>
          </w:p>
        </w:tc>
        <w:tc>
          <w:tcPr>
            <w:tcW w:w="5220" w:type="dxa"/>
            <w:vAlign w:val="bottom"/>
            <w:gridSpan w:val="10"/>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13">
              <w:r>
                <w:rPr>
                  <w:rFonts w:ascii="Arial" w:cs="Arial" w:eastAsia="Arial" w:hAnsi="Arial"/>
                  <w:sz w:val="18"/>
                  <w:szCs w:val="18"/>
                  <w:color w:val="0000EE"/>
                  <w:w w:val="96"/>
                </w:rPr>
                <w:t>Certificate of Matthew M. Partridge, Senior Vice President, Chief Financial Officer and Treasurer,</w:t>
              </w:r>
            </w:hyperlink>
          </w:p>
        </w:tc>
      </w:tr>
      <w:tr>
        <w:trPr>
          <w:trHeight w:val="196"/>
        </w:trPr>
        <w:tc>
          <w:tcPr>
            <w:tcW w:w="146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pursuant to Section 302 of the Sarbanes-Oxley Act of 2002. †</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tcBorders>
              <w:bottom w:val="single" w:sz="8" w:color="0000EE"/>
            </w:tcBorders>
            <w:gridSpan w:val="1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Certificate of John P. Albright, President and Chief Executive Officer, pursuant to 18 U.S.C.</w:t>
              </w:r>
            </w:hyperlink>
          </w:p>
        </w:tc>
      </w:tr>
      <w:tr>
        <w:trPr>
          <w:trHeight w:val="196"/>
        </w:trPr>
        <w:tc>
          <w:tcPr>
            <w:tcW w:w="1460" w:type="dxa"/>
            <w:vAlign w:val="bottom"/>
          </w:tcPr>
          <w:p>
            <w:pPr>
              <w:spacing w:after="0"/>
              <w:rPr>
                <w:sz w:val="17"/>
                <w:szCs w:val="17"/>
                <w:color w:val="auto"/>
              </w:rPr>
            </w:pPr>
          </w:p>
        </w:tc>
        <w:tc>
          <w:tcPr>
            <w:tcW w:w="63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Section 1350, as adopted pursuant to Section 906 of the Sarbanes-Oxley Act of 2002. ††</w:t>
              </w:r>
            </w:hyperlink>
          </w:p>
        </w:tc>
        <w:tc>
          <w:tcPr>
            <w:tcW w:w="1080" w:type="dxa"/>
            <w:vAlign w:val="bottom"/>
          </w:tcPr>
          <w:p>
            <w:pPr>
              <w:spacing w:after="0"/>
              <w:rPr>
                <w:sz w:val="17"/>
                <w:szCs w:val="17"/>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7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Certificate of Matthew M. Partridge, Senior Vice President, Chief Financial Officer and Treasurer,</w:t>
              </w:r>
            </w:hyperlink>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15">
              <w:r>
                <w:rPr>
                  <w:rFonts w:ascii="Arial" w:cs="Arial" w:eastAsia="Arial" w:hAnsi="Arial"/>
                  <w:sz w:val="18"/>
                  <w:szCs w:val="18"/>
                  <w:color w:val="0000EE"/>
                  <w:w w:val="91"/>
                </w:rPr>
                <w:t>pursuant to 18 U.S.C. Section 1350, as adopted pursuant to Section 906 of the Sarbanes-Oxley Act of</w:t>
              </w:r>
            </w:hyperlink>
          </w:p>
        </w:tc>
      </w:tr>
      <w:tr>
        <w:trPr>
          <w:trHeight w:val="196"/>
        </w:trPr>
        <w:tc>
          <w:tcPr>
            <w:tcW w:w="146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2002. ††</w:t>
              </w:r>
            </w:hyperlink>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11"/>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74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104</w:t>
            </w:r>
          </w:p>
        </w:tc>
        <w:tc>
          <w:tcPr>
            <w:tcW w:w="746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5"/>
        </w:trPr>
        <w:tc>
          <w:tcPr>
            <w:tcW w:w="1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77"/>
        </w:trPr>
        <w:tc>
          <w:tcPr>
            <w:tcW w:w="1460" w:type="dxa"/>
            <w:vAlign w:val="bottom"/>
          </w:tcPr>
          <w:p>
            <w:pPr>
              <w:ind w:left="20"/>
              <w:spacing w:after="0"/>
              <w:rPr>
                <w:sz w:val="20"/>
                <w:szCs w:val="20"/>
                <w:color w:val="auto"/>
              </w:rPr>
            </w:pPr>
            <w:r>
              <w:rPr>
                <w:rFonts w:ascii="Arial" w:cs="Arial" w:eastAsia="Arial" w:hAnsi="Arial"/>
                <w:sz w:val="18"/>
                <w:szCs w:val="18"/>
                <w:color w:val="auto"/>
              </w:rPr>
              <w:t>† Filed Herewith</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ind w:left="320" w:hanging="270"/>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jc w:val="both"/>
        <w:ind w:left="380" w:right="59" w:hanging="330"/>
        <w:spacing w:after="0" w:line="255" w:lineRule="auto"/>
        <w:tabs>
          <w:tab w:leader="none" w:pos="3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ALPINE INCOME PROPERTY TRUST, INC.</w:t>
      </w:r>
    </w:p>
    <w:p>
      <w:pPr>
        <w:spacing w:after="0" w:line="225" w:lineRule="exact"/>
        <w:rPr>
          <w:sz w:val="20"/>
          <w:szCs w:val="20"/>
          <w:color w:val="auto"/>
        </w:rPr>
      </w:pPr>
    </w:p>
    <w:p>
      <w:pPr>
        <w:ind w:left="60"/>
        <w:spacing w:after="0"/>
        <w:tabs>
          <w:tab w:leader="none" w:pos="4660" w:val="left"/>
          <w:tab w:leader="none" w:pos="5960" w:val="left"/>
        </w:tabs>
        <w:rPr>
          <w:sz w:val="20"/>
          <w:szCs w:val="20"/>
          <w:color w:val="auto"/>
        </w:rPr>
      </w:pPr>
      <w:r>
        <w:rPr>
          <w:rFonts w:ascii="Arial" w:cs="Arial" w:eastAsia="Arial" w:hAnsi="Arial"/>
          <w:sz w:val="18"/>
          <w:szCs w:val="18"/>
          <w:color w:val="auto"/>
        </w:rPr>
        <w:t>Date: February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457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February 10, 2022    President and Chief Executive Officer (Principal Executive</w:t>
            </w:r>
          </w:p>
        </w:tc>
        <w:tc>
          <w:tcPr>
            <w:tcW w:w="256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Officer), and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ALBRIGHT</w:t>
            </w:r>
          </w:p>
        </w:tc>
      </w:tr>
      <w:tr>
        <w:trPr>
          <w:trHeight w:val="411"/>
        </w:trPr>
        <w:tc>
          <w:tcPr>
            <w:tcW w:w="6340" w:type="dxa"/>
            <w:vAlign w:val="bottom"/>
            <w:gridSpan w:val="2"/>
          </w:tcPr>
          <w:p>
            <w:pPr>
              <w:spacing w:after="0"/>
              <w:rPr>
                <w:sz w:val="20"/>
                <w:szCs w:val="20"/>
                <w:color w:val="auto"/>
              </w:rPr>
            </w:pPr>
            <w:r>
              <w:rPr>
                <w:rFonts w:ascii="Arial" w:cs="Arial" w:eastAsia="Arial" w:hAnsi="Arial"/>
                <w:sz w:val="18"/>
                <w:szCs w:val="18"/>
                <w:color w:val="auto"/>
                <w:w w:val="97"/>
              </w:rPr>
              <w:t>February 10, 2022    Senior Vice President, Chief Financial Officer, and Treasurer</w:t>
            </w:r>
          </w:p>
        </w:tc>
        <w:tc>
          <w:tcPr>
            <w:tcW w:w="256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(Principal Financial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 PARTRIDGE</w:t>
            </w:r>
          </w:p>
        </w:tc>
      </w:tr>
      <w:tr>
        <w:trPr>
          <w:trHeight w:val="411"/>
        </w:trPr>
        <w:tc>
          <w:tcPr>
            <w:tcW w:w="6340" w:type="dxa"/>
            <w:vAlign w:val="bottom"/>
            <w:gridSpan w:val="2"/>
          </w:tcPr>
          <w:p>
            <w:pPr>
              <w:spacing w:after="0"/>
              <w:rPr>
                <w:sz w:val="20"/>
                <w:szCs w:val="20"/>
                <w:color w:val="auto"/>
              </w:rPr>
            </w:pPr>
            <w:r>
              <w:rPr>
                <w:rFonts w:ascii="Arial" w:cs="Arial" w:eastAsia="Arial" w:hAnsi="Arial"/>
                <w:sz w:val="18"/>
                <w:szCs w:val="18"/>
                <w:color w:val="auto"/>
              </w:rPr>
              <w:t>February 10, 2022    Vice President and Chief Accounting Officer (Principal</w:t>
            </w:r>
          </w:p>
        </w:tc>
        <w:tc>
          <w:tcPr>
            <w:tcW w:w="256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Accounting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M. VORAKOUN</w:t>
            </w:r>
          </w:p>
        </w:tc>
      </w:tr>
      <w:tr>
        <w:trPr>
          <w:trHeight w:val="425"/>
        </w:trPr>
        <w:tc>
          <w:tcPr>
            <w:tcW w:w="6340" w:type="dxa"/>
            <w:vAlign w:val="bottom"/>
            <w:gridSpan w:val="2"/>
          </w:tcPr>
          <w:p>
            <w:pPr>
              <w:spacing w:after="0"/>
              <w:rPr>
                <w:sz w:val="20"/>
                <w:szCs w:val="20"/>
                <w:color w:val="auto"/>
              </w:rPr>
            </w:pPr>
            <w:r>
              <w:rPr>
                <w:rFonts w:ascii="Arial" w:cs="Arial" w:eastAsia="Arial" w:hAnsi="Arial"/>
                <w:sz w:val="18"/>
                <w:szCs w:val="18"/>
                <w:color w:val="auto"/>
              </w:rPr>
              <w:t>February 10, 2022    Chairman of the Board,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ANDREW C. RICHARDSON</w:t>
            </w: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w w:val="99"/>
              </w:rPr>
              <w:t>February 10, 2022</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 DECKER, JR.</w:t>
            </w:r>
          </w:p>
        </w:tc>
      </w:tr>
      <w:tr>
        <w:trPr>
          <w:trHeight w:val="425"/>
        </w:trPr>
        <w:tc>
          <w:tcPr>
            <w:tcW w:w="1480" w:type="dxa"/>
            <w:vAlign w:val="bottom"/>
          </w:tcPr>
          <w:p>
            <w:pPr>
              <w:spacing w:after="0"/>
              <w:rPr>
                <w:sz w:val="20"/>
                <w:szCs w:val="20"/>
                <w:color w:val="auto"/>
              </w:rPr>
            </w:pPr>
            <w:r>
              <w:rPr>
                <w:rFonts w:ascii="Arial" w:cs="Arial" w:eastAsia="Arial" w:hAnsi="Arial"/>
                <w:sz w:val="18"/>
                <w:szCs w:val="18"/>
                <w:color w:val="auto"/>
                <w:w w:val="99"/>
              </w:rPr>
              <w:t>February 10, 2022</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CARSON GOOD</w:t>
            </w:r>
          </w:p>
        </w:tc>
      </w:tr>
      <w:tr>
        <w:trPr>
          <w:trHeight w:val="425"/>
        </w:trPr>
        <w:tc>
          <w:tcPr>
            <w:tcW w:w="1480" w:type="dxa"/>
            <w:vAlign w:val="bottom"/>
          </w:tcPr>
          <w:p>
            <w:pPr>
              <w:spacing w:after="0"/>
              <w:rPr>
                <w:sz w:val="20"/>
                <w:szCs w:val="20"/>
                <w:color w:val="auto"/>
              </w:rPr>
            </w:pPr>
            <w:r>
              <w:rPr>
                <w:rFonts w:ascii="Arial" w:cs="Arial" w:eastAsia="Arial" w:hAnsi="Arial"/>
                <w:sz w:val="18"/>
                <w:szCs w:val="18"/>
                <w:color w:val="auto"/>
                <w:w w:val="99"/>
              </w:rPr>
              <w:t>February 10, 2022</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YARCKIN</w:t>
            </w:r>
          </w:p>
        </w:tc>
      </w:tr>
      <w:tr>
        <w:trPr>
          <w:trHeight w:val="425"/>
        </w:trPr>
        <w:tc>
          <w:tcPr>
            <w:tcW w:w="1480" w:type="dxa"/>
            <w:vAlign w:val="bottom"/>
          </w:tcPr>
          <w:p>
            <w:pPr>
              <w:spacing w:after="0"/>
              <w:rPr>
                <w:sz w:val="20"/>
                <w:szCs w:val="20"/>
                <w:color w:val="auto"/>
              </w:rPr>
            </w:pPr>
            <w:r>
              <w:rPr>
                <w:rFonts w:ascii="Arial" w:cs="Arial" w:eastAsia="Arial" w:hAnsi="Arial"/>
                <w:sz w:val="18"/>
                <w:szCs w:val="18"/>
                <w:color w:val="auto"/>
                <w:w w:val="99"/>
              </w:rPr>
              <w:t>February 10, 2022</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WEIN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50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380" w:type="dxa"/>
            <w:vAlign w:val="bottom"/>
          </w:tcPr>
          <w:p>
            <w:pPr>
              <w:ind w:left="140"/>
              <w:spacing w:after="0"/>
              <w:rPr>
                <w:sz w:val="20"/>
                <w:szCs w:val="20"/>
                <w:color w:val="auto"/>
              </w:rPr>
            </w:pPr>
            <w:r>
              <w:rPr>
                <w:rFonts w:ascii="Arial" w:cs="Arial" w:eastAsia="Arial" w:hAnsi="Arial"/>
                <w:sz w:val="18"/>
                <w:szCs w:val="18"/>
                <w:color w:val="auto"/>
                <w:w w:val="81"/>
              </w:rPr>
              <w:t>F-2</w:t>
            </w:r>
          </w:p>
        </w:tc>
      </w:tr>
      <w:tr>
        <w:trPr>
          <w:trHeight w:val="20"/>
        </w:trPr>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2021 and 2020</w:t>
              </w:r>
            </w:hyperlink>
          </w:p>
        </w:tc>
        <w:tc>
          <w:tcPr>
            <w:tcW w:w="3860" w:type="dxa"/>
            <w:vAlign w:val="bottom"/>
            <w:gridSpan w:val="10"/>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1"/>
              </w:rPr>
              <w:t>F-3</w:t>
            </w:r>
          </w:p>
        </w:tc>
      </w:tr>
      <w:tr>
        <w:trPr>
          <w:trHeight w:val="412"/>
        </w:trPr>
        <w:tc>
          <w:tcPr>
            <w:tcW w:w="7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Operations for the year ended December 31, 2021 (the Company), the year ended</w:t>
              </w:r>
            </w:hyperlink>
          </w:p>
        </w:tc>
        <w:tc>
          <w:tcPr>
            <w:tcW w:w="620" w:type="dxa"/>
            <w:vAlign w:val="bottom"/>
            <w:gridSpan w:val="9"/>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w w:val="81"/>
              </w:rPr>
              <w:t>F-4</w:t>
            </w:r>
          </w:p>
        </w:tc>
      </w:tr>
      <w:tr>
        <w:trPr>
          <w:trHeight w:val="196"/>
        </w:trPr>
        <w:tc>
          <w:tcPr>
            <w:tcW w:w="120" w:type="dxa"/>
            <w:vAlign w:val="bottom"/>
          </w:tcPr>
          <w:p>
            <w:pPr>
              <w:spacing w:after="0"/>
              <w:rPr>
                <w:sz w:val="17"/>
                <w:szCs w:val="17"/>
                <w:color w:val="auto"/>
              </w:rPr>
            </w:pPr>
          </w:p>
        </w:tc>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December 31, 2020 (the Company), and for the period from November 26, 2019 to December 31, 2019 (the</w:t>
              </w:r>
            </w:hyperlink>
          </w:p>
        </w:tc>
        <w:tc>
          <w:tcPr>
            <w:tcW w:w="62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Company) and Combined Statements of Operations for the period from January 1, 2019 to November 25, 2019</w:t>
              </w:r>
            </w:hyperlink>
          </w:p>
        </w:tc>
        <w:tc>
          <w:tcPr>
            <w:tcW w:w="38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(Predecessor)</w:t>
              </w:r>
            </w:hyperlink>
          </w:p>
        </w:tc>
        <w:tc>
          <w:tcPr>
            <w:tcW w:w="740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500" w:type="dxa"/>
            <w:vAlign w:val="bottom"/>
            <w:gridSpan w:val="16"/>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Consolidated Statements of Comprehensive Income for the year ended December 31, 2021 (the Company), the year</w:t>
              </w:r>
            </w:hyperlink>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1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2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ended December 31, 2020 (the Company), and for the period from November 26, 2019 to December 31, 2019 (the</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2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Company) and Combined Statements of Comprehensive Income for the period from January 1, 2019 to November</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25, 2019 (Predecessor)</w:t>
              </w:r>
            </w:hyperlink>
          </w:p>
        </w:tc>
        <w:tc>
          <w:tcPr>
            <w:tcW w:w="672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8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Stockholders’ Equity for the year ended December 31, 2021 (the Company), the year</w:t>
              </w:r>
            </w:hyperlink>
          </w:p>
        </w:tc>
        <w:tc>
          <w:tcPr>
            <w:tcW w:w="360" w:type="dxa"/>
            <w:vAlign w:val="bottom"/>
            <w:gridSpan w:val="6"/>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120" w:type="dxa"/>
            <w:vAlign w:val="bottom"/>
          </w:tcPr>
          <w:p>
            <w:pPr>
              <w:spacing w:after="0"/>
              <w:rPr>
                <w:sz w:val="17"/>
                <w:szCs w:val="17"/>
                <w:color w:val="auto"/>
              </w:rPr>
            </w:pPr>
          </w:p>
        </w:tc>
        <w:tc>
          <w:tcPr>
            <w:tcW w:w="8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ended December 31, 2020 (the Company), and for the period from November 26, 2019 to December 31, 2019 (the</w:t>
              </w:r>
            </w:hyperlink>
          </w:p>
        </w:tc>
        <w:tc>
          <w:tcPr>
            <w:tcW w:w="1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0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Company) and Combined Statements of Stockholders’ Equity for the period from January 1, 2019 to November</w:t>
              </w:r>
            </w:hyperlink>
          </w:p>
        </w:tc>
        <w:tc>
          <w:tcPr>
            <w:tcW w:w="30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25, 2019 (Predecessor)</w:t>
              </w:r>
            </w:hyperlink>
          </w:p>
        </w:tc>
        <w:tc>
          <w:tcPr>
            <w:tcW w:w="6720" w:type="dxa"/>
            <w:vAlign w:val="bottom"/>
            <w:gridSpan w:val="1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79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 for the year ended December 31, 2021 (the Company), the year ended</w:t>
              </w:r>
            </w:hyperlink>
          </w:p>
        </w:tc>
        <w:tc>
          <w:tcPr>
            <w:tcW w:w="560" w:type="dxa"/>
            <w:vAlign w:val="bottom"/>
            <w:gridSpan w:val="8"/>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120" w:type="dxa"/>
            <w:vAlign w:val="bottom"/>
          </w:tcPr>
          <w:p>
            <w:pPr>
              <w:spacing w:after="0"/>
              <w:rPr>
                <w:sz w:val="17"/>
                <w:szCs w:val="17"/>
                <w:color w:val="auto"/>
              </w:rPr>
            </w:pPr>
          </w:p>
        </w:tc>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December 31, 2020 (the Company), and for the period from November 26, 2019 to December 31, 2019 (the</w:t>
              </w:r>
            </w:hyperlink>
          </w:p>
        </w:tc>
        <w:tc>
          <w:tcPr>
            <w:tcW w:w="62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Company) and Combined Statements of Cash Flows for the period from January 1, 2019 to November 25, 2019</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(Predecessor)</w:t>
              </w:r>
            </w:hyperlink>
          </w:p>
        </w:tc>
        <w:tc>
          <w:tcPr>
            <w:tcW w:w="740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Notes to Consolidated and Combined Financial Statements</w:t>
              </w:r>
            </w:hyperlink>
          </w:p>
        </w:tc>
        <w:tc>
          <w:tcPr>
            <w:tcW w:w="4260" w:type="dxa"/>
            <w:vAlign w:val="bottom"/>
            <w:gridSpan w:val="11"/>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Alpine Income Property Trust, Inc.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31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audited the accompanying consolidated balance sheets of Alpine Income Property Trust, Inc. (a Maryland corporation) and subsidiaries (the “Company”) as of December 31, 2021 and 2020, the related consolidated statements of operations, comprehensive income, stockholders’ equity, and cash flows for each of the years ended December 31, 2021 and 2020, and for the period from November 26, 2019 to December 31, 2019 (Company), and the combined statements of operations, comprehensive income, stockholders’ equity and cash flows for the period from January 1, 2019 to November 25, 2019 (Predecessor), and the related notes (collectively referred to as the “financial statements”). In our opinion, the financial statements present fairly, in all material respects, the financial position of the Company as of December 31, 2021 and 2020 (Company), and the results of their operations and their cash flows for the years ended December 31, 2021 and 2020 and for the period from November 26, 2019 to December 31, 2019 (Company), and the period from January 1, 2019 to November 25, 2019 (Predecessor), in conformity with accounting principles generally accepted in the United States of America.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(15,419)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58,821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7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Rent and Deferred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Intangible Lease Liabilities—Net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Contingencies—See Note 16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Preferred Stock, $0.01 par value per share, 100 million shares authorized, no</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shares issued and outstanding as of December 31, 2021 and December 31,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$0.01 par value per share, 500 million shares authorized,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w w:val="98"/>
              </w:rPr>
              <w:t>11,454,815 shares issued and outstanding as of December 31, 2021 and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7,458,755 shares issued and outstanding as of December 31, 2020</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Dividends in Excess of Net Income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(6,419)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196,523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227,902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80"/>
        <w:spacing w:after="0" w:line="266" w:lineRule="auto"/>
        <w:rPr>
          <w:sz w:val="20"/>
          <w:szCs w:val="20"/>
          <w:color w:val="auto"/>
        </w:rPr>
      </w:pPr>
      <w:r>
        <w:rPr>
          <w:rFonts w:ascii="Arial" w:cs="Arial" w:eastAsia="Arial" w:hAnsi="Arial"/>
          <w:sz w:val="18"/>
          <w:szCs w:val="18"/>
          <w:b w:val="1"/>
          <w:bCs w:val="1"/>
          <w:color w:val="auto"/>
        </w:rPr>
        <w:t>ALPINE INCOME PROPERTY TRUST, INC. CONSOLIDATED AND COMBINED STATEMENTS OF OPERATIONS (In thousands, except share and per 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from</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November 26,</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2019 to</w:t>
            </w: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 2019 to</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November 25,</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Company</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w w:val="97"/>
              </w:rPr>
              <w:t>Net Income (Loss) Attributable to Alpine Income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Trust, Inc.</w:t>
            </w:r>
          </w:p>
        </w:tc>
        <w:tc>
          <w:tcPr>
            <w:tcW w:w="1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Income (Loss) Attributable to Alpine Income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 Average Number of Common Shares: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9,781,066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7,588,349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7,902,737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960"/>
        <w:spacing w:after="0" w:line="275" w:lineRule="auto"/>
        <w:rPr>
          <w:sz w:val="20"/>
          <w:szCs w:val="20"/>
          <w:color w:val="auto"/>
        </w:rPr>
      </w:pPr>
      <w:r>
        <w:rPr>
          <w:rFonts w:ascii="Arial" w:cs="Arial" w:eastAsia="Arial" w:hAnsi="Arial"/>
          <w:sz w:val="18"/>
          <w:szCs w:val="18"/>
          <w:b w:val="1"/>
          <w:bCs w:val="1"/>
          <w:color w:val="auto"/>
        </w:rPr>
        <w:t>ALPINE INCOME PROPERTY TRUST, INC. CONSOLIDATED AND COMBINED STATEMENTS OF COMPREHENSIVE INCOME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 Year</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November</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2019 to</w:t>
            </w: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3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196"/>
        </w:trPr>
        <w:tc>
          <w:tcPr>
            <w:tcW w:w="35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0"/>
              </w:rPr>
              <w:t>The Company</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5"/>
              </w:rPr>
              <w:t>Predecessor</w:t>
            </w:r>
          </w:p>
        </w:tc>
      </w:tr>
      <w:tr>
        <w:trPr>
          <w:trHeight w:val="165"/>
        </w:trPr>
        <w:tc>
          <w:tcPr>
            <w:tcW w:w="3580" w:type="dxa"/>
            <w:vAlign w:val="bottom"/>
            <w:shd w:val="clear" w:color="auto" w:fill="CCEEFF"/>
          </w:tcPr>
          <w:p>
            <w:pPr>
              <w:ind w:left="20"/>
              <w:spacing w:after="0" w:line="165" w:lineRule="exact"/>
              <w:rPr>
                <w:sz w:val="20"/>
                <w:szCs w:val="20"/>
                <w:color w:val="auto"/>
              </w:rPr>
            </w:pPr>
            <w:r>
              <w:rPr>
                <w:rFonts w:ascii="Arial" w:cs="Arial" w:eastAsia="Arial" w:hAnsi="Arial"/>
                <w:sz w:val="17"/>
                <w:szCs w:val="17"/>
                <w:color w:val="auto"/>
                <w:w w:val="98"/>
              </w:rPr>
              <w:t>Net Income (Loss) Attributable to Alpine Income</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Trust, Inc.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w:t>
            </w:r>
          </w:p>
        </w:tc>
      </w:tr>
      <w:tr>
        <w:trPr>
          <w:trHeight w:val="196"/>
        </w:trPr>
        <w:tc>
          <w:tcPr>
            <w:tcW w:w="35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Cash Flow Hedging Derivative - Interest Rate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0"/>
        </w:trPr>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Swaps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2,403</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3,631</w:t>
            </w: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020"/>
        <w:spacing w:after="0" w:line="266" w:lineRule="auto"/>
        <w:rPr>
          <w:sz w:val="20"/>
          <w:szCs w:val="20"/>
          <w:color w:val="auto"/>
        </w:rPr>
      </w:pPr>
      <w:r>
        <w:rPr>
          <w:rFonts w:ascii="Arial" w:cs="Arial" w:eastAsia="Arial" w:hAnsi="Arial"/>
          <w:sz w:val="18"/>
          <w:szCs w:val="18"/>
          <w:b w:val="1"/>
          <w:bCs w:val="1"/>
          <w:color w:val="auto"/>
        </w:rPr>
        <w:t>ALPINE INCOME PROPERTY TRUST, INC. CONSOLIDATED AND COMBINED STATEMENTS OF STOCKHOLDERS’ EQUITY (In thousands, except per share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Dividends</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Predecessor</w:t>
            </w:r>
          </w:p>
        </w:tc>
        <w:tc>
          <w:tcPr>
            <w:tcW w:w="6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at</w:t>
            </w: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in Excess of</w:t>
            </w: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Net Income</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3"/>
                <w:szCs w:val="13"/>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24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Balance January 1, 2019</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124,189</w:t>
            </w:r>
          </w:p>
        </w:tc>
        <w:tc>
          <w:tcPr>
            <w:tcW w:w="12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124,189</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124,189</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3,631</w:t>
            </w:r>
          </w:p>
        </w:tc>
      </w:tr>
      <w:tr>
        <w:trPr>
          <w:trHeight w:val="121"/>
        </w:trPr>
        <w:tc>
          <w:tcPr>
            <w:tcW w:w="2460" w:type="dxa"/>
            <w:vAlign w:val="bottom"/>
          </w:tcPr>
          <w:p>
            <w:pPr>
              <w:ind w:left="20"/>
              <w:spacing w:after="0" w:line="121" w:lineRule="exact"/>
              <w:rPr>
                <w:sz w:val="20"/>
                <w:szCs w:val="20"/>
                <w:color w:val="auto"/>
              </w:rPr>
            </w:pPr>
            <w:r>
              <w:rPr>
                <w:rFonts w:ascii="Arial" w:cs="Arial" w:eastAsia="Arial" w:hAnsi="Arial"/>
                <w:sz w:val="13"/>
                <w:szCs w:val="13"/>
                <w:color w:val="auto"/>
              </w:rPr>
              <w:t>Stock Compensation Expense from CTO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3"/>
                <w:szCs w:val="13"/>
                <w:color w:val="auto"/>
              </w:rPr>
              <w:t>Realty Growth, Inc.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509</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8"/>
              </w:rPr>
              <w:t>Net Transactions with CTO Realty Growth,</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19,447</w:t>
            </w:r>
          </w:p>
        </w:tc>
      </w:tr>
      <w:tr>
        <w:trPr>
          <w:trHeight w:val="128"/>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November 25, 2019</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147,776</w:t>
            </w: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27"/>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Dividends</w:t>
            </w: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Predecessor</w:t>
            </w:r>
          </w:p>
        </w:tc>
        <w:tc>
          <w:tcPr>
            <w:tcW w:w="6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at</w:t>
            </w: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in Excess of</w:t>
            </w: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Net Income</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3"/>
                <w:szCs w:val="13"/>
                <w:color w:val="auto"/>
              </w:rPr>
            </w:pPr>
          </w:p>
        </w:tc>
        <w:tc>
          <w:tcPr>
            <w:tcW w:w="54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24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The Company</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Balance November 26, 2019</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Proceeds from Initial Public Offering</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7"/>
              </w:rPr>
              <w:t>142,425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142,500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142,500</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Private Placement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7,501</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Operating Units Issued</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23,253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23,253</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Payment of Initial Public Offering</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Costs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(11,978)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(11,978)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(11,978)</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($0.058 per share)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w:t>
            </w:r>
          </w:p>
        </w:tc>
      </w:tr>
      <w:tr>
        <w:trPr>
          <w:trHeight w:val="128"/>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137,948</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(498)</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137,529</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23,176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160,705</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1,146</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(5,010)</w:t>
            </w: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(5,014)</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(5,014)</w:t>
            </w:r>
          </w:p>
        </w:tc>
      </w:tr>
      <w:tr>
        <w:trPr>
          <w:trHeight w:val="121"/>
        </w:trPr>
        <w:tc>
          <w:tcPr>
            <w:tcW w:w="24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Payment of Shelf Registration and ATM</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Costs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($0.820 per share)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(6,200)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(6,200)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(7,203)</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r>
      <w:tr>
        <w:trPr>
          <w:trHeight w:val="129"/>
        </w:trPr>
        <w:tc>
          <w:tcPr>
            <w:tcW w:w="24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132,878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126,759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149,093</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9,964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9,964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1,498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11,462</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w w:val="92"/>
              </w:rPr>
              <w:t>Stock Issuance, Net of Equity Issuance Costs</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67,731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67,770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67,770</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Units Issued</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9,041</w:t>
            </w: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Cash Dividend ($1.015 per share)</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9"/>
              </w:rPr>
              <w:t>(10,670)</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(10,670)</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(1,494)</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(12,164)</w:t>
            </w: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2,403</w:t>
            </w:r>
          </w:p>
        </w:tc>
      </w:tr>
      <w:tr>
        <w:trPr>
          <w:trHeight w:val="129"/>
        </w:trPr>
        <w:tc>
          <w:tcPr>
            <w:tcW w:w="246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2021</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114</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200,906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(6,419)</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1,922</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196,523</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31,379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227,902</w:t>
            </w: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8"/>
          <w:szCs w:val="18"/>
          <w:b w:val="1"/>
          <w:bCs w:val="1"/>
          <w:color w:val="auto"/>
        </w:rPr>
        <w:t>ALPINE INCOME PROPERTY TRUST, INC. CONSOLIDATED AND COMBINED STATEMENTS OF CASH FLOWS (In thousands)</w:t>
      </w:r>
    </w:p>
    <w:p>
      <w:pPr>
        <w:spacing w:after="0" w:line="386"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8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For the Year</w:t>
            </w: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For the Period</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from November</w:t>
            </w: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from January 1,</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26, 2019 to</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November 25,</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8"/>
              <w:spacing w:after="0" w:line="129" w:lineRule="exact"/>
              <w:rPr>
                <w:sz w:val="20"/>
                <w:szCs w:val="20"/>
                <w:color w:val="auto"/>
              </w:rPr>
            </w:pPr>
            <w:r>
              <w:rPr>
                <w:rFonts w:ascii="Arial" w:cs="Arial" w:eastAsia="Arial" w:hAnsi="Arial"/>
                <w:sz w:val="14"/>
                <w:szCs w:val="14"/>
                <w:b w:val="1"/>
                <w:bCs w:val="1"/>
                <w:color w:val="auto"/>
                <w:w w:val="95"/>
              </w:rPr>
              <w:t>The Company</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8"/>
              <w:spacing w:after="0" w:line="129" w:lineRule="exact"/>
              <w:rPr>
                <w:sz w:val="20"/>
                <w:szCs w:val="20"/>
                <w:color w:val="auto"/>
              </w:rPr>
            </w:pPr>
            <w:r>
              <w:rPr>
                <w:rFonts w:ascii="Arial" w:cs="Arial" w:eastAsia="Arial" w:hAnsi="Arial"/>
                <w:sz w:val="14"/>
                <w:szCs w:val="14"/>
                <w:b w:val="1"/>
                <w:bCs w:val="1"/>
                <w:color w:val="auto"/>
                <w:w w:val="85"/>
              </w:rPr>
              <w:t>Predecessor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6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11,462</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1,146</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6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Adjustments to Reconcile Net Income (Loss) to Net Cash Provided</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by Operating Activities: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15,939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9,949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60" w:type="dxa"/>
            <w:vAlign w:val="bottom"/>
            <w:tcBorders>
              <w:left w:val="single" w:sz="8" w:color="CCEEFF"/>
            </w:tcBorders>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Amortization of Intangible Lease Assets and Liabilities to Lease</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Deferred Expenses to Lease Income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Assets</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(9,675)</w:t>
            </w: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Decrease (Increase) in Assets: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Straight-Line Rent Adjustment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(1,524)</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COVID-19 Rent Repayments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(2,413)</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Increase (Decrease) in Liabilities: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Prepaid Rent and Deferred Revenue</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17,200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9,394</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Real Estate, Including Capitalized Expenditures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(223,407)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(118,808)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(125,919)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Disposition of Assets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27,415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CCEEFF"/>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(195,992)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(113,875)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(125,919)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(162,431)</w:t>
            </w: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(8,691)</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(5,014)</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Received from Initial Public Offering</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Received from Private Placement</w:t>
            </w: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Initial Public Offering Transaction Costs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(11,978)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Shelf Registration and ATM Transaction Costs</w:t>
            </w: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Transactions with CTO Realty Growth, Inc.</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Stock Issuance, Net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67,770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(12,164)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(7,203)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186,395</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94,033</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136,899</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End of Period</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12,342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Reconciliation of Cash to the Consolidated Balance Sheets:</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8,851</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1,894</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12,342</w:t>
            </w: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9,497</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1,894</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12,342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60" w:right="1159" w:firstLine="1704"/>
        <w:spacing w:after="0" w:line="276" w:lineRule="auto"/>
        <w:rPr>
          <w:sz w:val="20"/>
          <w:szCs w:val="20"/>
          <w:color w:val="auto"/>
        </w:rPr>
      </w:pPr>
      <w:r>
        <w:rPr>
          <w:rFonts w:ascii="Arial" w:cs="Arial" w:eastAsia="Arial" w:hAnsi="Arial"/>
          <w:sz w:val="17"/>
          <w:szCs w:val="17"/>
          <w:b w:val="1"/>
          <w:bCs w:val="1"/>
          <w:color w:val="auto"/>
        </w:rPr>
        <w:t>ALPINE INCOME PROPERTY TRUST, INC. CONSOLIDATED AND COMBINED STATEMENTS OF CASH FLOWS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Period</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from November</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from January 1,</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26, 2019 to</w:t>
            </w:r>
          </w:p>
        </w:tc>
        <w:tc>
          <w:tcPr>
            <w:tcW w:w="10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2019 to</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November 25,</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28"/>
        </w:trPr>
        <w:tc>
          <w:tcPr>
            <w:tcW w:w="4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The Company</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8"/>
              <w:spacing w:after="0" w:line="12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3,131</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60" w:type="dxa"/>
            <w:vAlign w:val="bottom"/>
          </w:tcPr>
          <w:p>
            <w:pPr>
              <w:ind w:left="20"/>
              <w:spacing w:after="0" w:line="130" w:lineRule="exact"/>
              <w:rPr>
                <w:sz w:val="20"/>
                <w:szCs w:val="20"/>
                <w:color w:val="auto"/>
              </w:rPr>
            </w:pPr>
            <w:r>
              <w:rPr>
                <w:rFonts w:ascii="Arial" w:cs="Arial" w:eastAsia="Arial" w:hAnsi="Arial"/>
                <w:sz w:val="14"/>
                <w:szCs w:val="14"/>
                <w:color w:val="auto"/>
              </w:rPr>
              <w:t>Supplemental Disclosure of Non-Cash Investing and Financing</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60" w:type="dxa"/>
            <w:vAlign w:val="bottom"/>
          </w:tcPr>
          <w:p>
            <w:pPr>
              <w:ind w:left="20"/>
              <w:spacing w:after="0"/>
              <w:rPr>
                <w:sz w:val="20"/>
                <w:szCs w:val="20"/>
                <w:color w:val="auto"/>
              </w:rPr>
            </w:pPr>
            <w:r>
              <w:rPr>
                <w:rFonts w:ascii="Arial" w:cs="Arial" w:eastAsia="Arial" w:hAnsi="Arial"/>
                <w:sz w:val="14"/>
                <w:szCs w:val="14"/>
                <w:color w:val="auto"/>
              </w:rPr>
              <w:t>Activities: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(Loss) on Cash Flow Hedge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160" w:type="dxa"/>
            <w:vAlign w:val="bottom"/>
          </w:tcPr>
          <w:p>
            <w:pPr>
              <w:ind w:left="120"/>
              <w:spacing w:after="0" w:line="149" w:lineRule="exact"/>
              <w:rPr>
                <w:sz w:val="20"/>
                <w:szCs w:val="20"/>
                <w:color w:val="auto"/>
              </w:rPr>
            </w:pPr>
            <w:r>
              <w:rPr>
                <w:rFonts w:ascii="Arial" w:cs="Arial" w:eastAsia="Arial" w:hAnsi="Arial"/>
                <w:sz w:val="14"/>
                <w:szCs w:val="14"/>
                <w:color w:val="auto"/>
              </w:rPr>
              <w:t>Operating Units Issued in Exchange for Real Estate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9,041</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Assumption of Mortgage Note Payable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160" w:type="dxa"/>
            <w:vAlign w:val="bottom"/>
          </w:tcPr>
          <w:p>
            <w:pPr>
              <w:ind w:left="120"/>
              <w:spacing w:after="0" w:line="130" w:lineRule="exact"/>
              <w:rPr>
                <w:sz w:val="20"/>
                <w:szCs w:val="20"/>
                <w:color w:val="auto"/>
              </w:rPr>
            </w:pPr>
            <w:r>
              <w:rPr>
                <w:rFonts w:ascii="Arial" w:cs="Arial" w:eastAsia="Arial" w:hAnsi="Arial"/>
                <w:sz w:val="14"/>
                <w:szCs w:val="14"/>
                <w:color w:val="auto"/>
              </w:rPr>
              <w:t>Contribution of OP Units in Exchange for Predecessor Income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60" w:type="dxa"/>
            <w:vAlign w:val="bottom"/>
          </w:tcPr>
          <w:p>
            <w:pPr>
              <w:ind w:left="120"/>
              <w:spacing w:after="0"/>
              <w:rPr>
                <w:sz w:val="20"/>
                <w:szCs w:val="20"/>
                <w:color w:val="auto"/>
              </w:rPr>
            </w:pPr>
            <w:r>
              <w:rPr>
                <w:rFonts w:ascii="Arial" w:cs="Arial" w:eastAsia="Arial" w:hAnsi="Arial"/>
                <w:sz w:val="14"/>
                <w:szCs w:val="14"/>
                <w:color w:val="auto"/>
              </w:rPr>
              <w:t>Properties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23,253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 xml:space="preserve">ALPINE INCOME PROPERTY TRUST, INC. NOTES TO CONSOLIDATED AND COMBINED FINANCIAL STATEMENTS </w:t>
      </w:r>
      <w:r>
        <w:rPr>
          <w:rFonts w:ascii="Arial" w:cs="Arial" w:eastAsia="Arial" w:hAnsi="Arial"/>
          <w:sz w:val="18"/>
          <w:szCs w:val="18"/>
          <w:color w:val="auto"/>
        </w:rPr>
        <w:t>December 31, 2021, 2020 and 2019</w:t>
      </w:r>
    </w:p>
    <w:p>
      <w:pPr>
        <w:spacing w:after="0" w:line="17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portfolio consists of 113 net leased properties located in 76 markets in 32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from CTO. The remaining five properties in our initial portfolio were contributed by CTO in exchange for 1,223,854 units of the operating partnership (the “OP Units”) for a value of $23.3 million based on the IPO Price. As of December 31, 2021, four of the properties acquired from CTO, included within our initial portfolio, have been sold.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8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2021, we have a total ownership interest in the Operating Partnership of 87.1%, with CTO holding, directly and indirectly, a 9.3% ownership interest in the Operating Partnership. The remaining 3.6% ownership interest is held by an unrelated third party in connection with the issuance of 479,640 OP Units valued at $9.0 million in the aggregate, or $18.85 per unit. The issuance of 479,640 OP Units includes (i) 424,951 OP Units issued as consideration for the portfolio of nine net lease properties acquired on June 30, 2021 and (ii) 54,689 OP Units issued as consideration for the acquisition of one net lease property on July 12, 2021 (see Note 4, “Property Portfolio”).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subject to certain approval and voting rights of the limited partners. Our Board of Directors (the “Board”) manages our business and affairs.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6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 AND PRINCIPLES OF CONSOLIDATION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For the period prior to November 26, 2019, the accompanying combined financial statements of Alpine Income Property Trust Predecessor (the “Predecessor”) do not represent the financial position and results of operations of one legal entity, but rather a combination of entities under common control that have been “carved out” from CTO’s consolidated financial statements. Historically, financial statements of the Predecessor have not been prepared as it has not operated separately from CTO. These combined financial statements reflect the revenues and expenses of the Predecessor and include certain material assets and liabilities of CTO that are specifically identifiable and generated through, or associated with, an in-place net lease, which have been reflected at CTO’s historical basis.</w:t>
      </w:r>
    </w:p>
    <w:p>
      <w:pPr>
        <w:spacing w:after="0" w:line="17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For periods subsequent to November 26, 2019, the accompanying consolidated financial statements represent the consolidated statements of Alpine Income Property Trust, Inc. together with our consolidated subsidiaries. As a result of the Company’s acquisitions of the initial portfolio from CTO, the consolidated financial statements subsequent to November 26, 2019 are presented on a new basis of accounting pursuant to Accounting Standards Codification (“ASC”) 805-10,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8"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preparation of these consolidated and combined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combined financial statements for the period prior to November 26, 2019, include an allocation of general and administrative expenses to the Predecessor from CTO. In addition, general and administrative expenses include an allocation of the costs of certain CTO corporate functions, including executive oversight, treasury, finance, human resources, tax compliance and planning, internal audit, financial reporting, information technology and investor relations. General and administrative expenses (including stock-based compensation) represent a pro rata allocation of costs from CTO based on the revenues of the Predecessor as a percentage of CTO’s total revenue. The Company believes the allocation methodology for general and administrative expenses is reasonable. However, the allocated general and administrative expense presented in our combined statements of operations for historical periods does not necessarily reflect what our general and administrative expenses will be as a stand-alone public company for future reporting periods. Additionally, most of the Predecessor entities included in CTO’s financial statements did not have separately established bank accounts for the periods presented, and most cash transactions were historically transacted through bank accounts owned by CTO. The combined statements of cash flows for the periods presented were prepared as if operating, investing, and financing transactions had been transacted through separate bank accounts of the Predecessor. The combined financial statements include, on a carve-out basis, the historical balance sheets and statements of operations and cash flows attributed to the Company.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For periods commencing on and subsequent to November 26, 2019, the consolidated financial statements include the accounts of the Company, its wholly owned subsidiaries, and other entities in which we have a controlling interest. All significant inter-company balances and transactions have been eliminated in the consolidated financial statements. For the period prior to November 26, 2019, the combined financial statements include, on a carve-out basis, the historical balance sheets and statements of operations and cash flows of the Predecessor.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related to the manner in which enterprises report operating segment information. The Company is primarily in the business of acquiring and managing retail real estate which is considered to be one reporting segment. The Company has no other reportable segments. The Company’s chief executive officer, who is the chief operating decision maker, reviews financial information on an aggregate basis for purposes of allocating and evaluating financial performance.</w:t>
      </w:r>
    </w:p>
    <w:p>
      <w:pPr>
        <w:spacing w:after="0" w:line="18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3.</w:t>
        <w:tab/>
        <w:t>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Company’s real estate assets are primarily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 ended December 31, 2021, the year ended December 31, 2020, the period from November 26, 2019 to December 31, 2019, and the Predecessor period from January 1, 2019 to November 25, 2019, was $10.0 million, $6.2 million, $0.4 million, and $3.2 million,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Company follows Financial Accounting Standards Board (“FASB”) ASC Topic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in conducting its impairment analyses. The Company reviews the recoverability of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00"/>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2"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both the Company and the Predecessor amortize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OF REAL ESTATE</w:t>
      </w:r>
    </w:p>
    <w:p>
      <w:pPr>
        <w:spacing w:after="0" w:line="225"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2021 and 2020, the Company’s allowance for doubtful accounts totaled $0.3 million and $0.1 million,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TAX</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Sales tax collected on lease payments is recognized as a liability in the accompanying consolidated balance sheets when collected. The liability is reduced at the time payment is remitted to the applicable taxing authority.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December 31, 2021 and 2020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Restricted cash totaled $0.6 million at December 31, 2021 which is being held in a capital replacement and leasing commissions reserve account in connection with our financing of six properties.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The Company accounts for its cash flow hedging derivatives in accordance with FASB ASC Topic 815-20,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w:t>
      </w:r>
      <w:r>
        <w:rPr>
          <w:rFonts w:ascii="Arial" w:cs="Arial" w:eastAsia="Arial" w:hAnsi="Arial"/>
          <w:sz w:val="17"/>
          <w:szCs w:val="17"/>
          <w:color w:val="auto"/>
        </w:rPr>
        <w:t>. Depending upon the hedge’s value at each balance sheet date, the derivatives are included in either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accounts payable, accrued expenses,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an ongoing basis. As the terms of the interest rate swaps and the associated debts are identical, both hedging instruments qualify for the shortcut method; therefore, it is assumed that there is no hedge ineffectiveness throughout the entire term of the hedging instruments.</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restricted cash, accounts receivable included in other assets, accounts payable, and accrued expenses and other liabilities at December 31, 2021 and December 31, 2020,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98" w:lineRule="exact"/>
        <w:rPr>
          <w:rFonts w:ascii="Arial" w:cs="Arial" w:eastAsia="Arial" w:hAnsi="Arial"/>
          <w:sz w:val="18"/>
          <w:szCs w:val="18"/>
          <w:color w:val="auto"/>
        </w:rPr>
      </w:pPr>
    </w:p>
    <w:p>
      <w:pPr>
        <w:jc w:val="both"/>
        <w:ind w:left="720" w:right="79" w:hanging="319"/>
        <w:spacing w:after="0" w:line="243"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4" w:lineRule="exact"/>
        <w:rPr>
          <w:rFonts w:ascii="Arial" w:cs="Arial" w:eastAsia="Arial" w:hAnsi="Arial"/>
          <w:sz w:val="18"/>
          <w:szCs w:val="18"/>
          <w:color w:val="auto"/>
        </w:rPr>
      </w:pPr>
    </w:p>
    <w:p>
      <w:pPr>
        <w:jc w:val="both"/>
        <w:ind w:left="720" w:right="79" w:hanging="319"/>
        <w:spacing w:after="0" w:line="243"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EARNINGS PER COMMON SHARE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Basic earnings per common share is computed by dividing net income attributable to the Company for the period by the weighted average number of shares outstanding for the period. Diluted earnings per common share is based on the assumption that the OP Units issued are exchanged for shares of our common stock on a one-for-one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76"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The Company has issued restricted shares of common stock pursuant to the Equity Incentive Plans. The Company’s determination of the grant date fair value of the three-year vest restricted stock awards was calculated by multiplying the number of shares issued by the Company’s stock price at the grant date. Compensation cost is recognized on a straight-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line basis over the vesting period and is included in general and administrative expenses in the Company’s consolidated and combined statements of operations. Award forfeitures are accounted for in the period in which they occur.</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Certain of the tenants in the portfolio of 113 properties accounted for more than 10% of total revenues during the years ended December 31, 2021 and 2020, the period from November 26, 2019 to December 31, 2019, and the Predecessor period from January 1, 2019 to November 25, 2019.</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year ended December 31, 2021, Wells Fargo represented 12% of total revenues. Wells Fargo and Hilton Grand Vacations represented 19% and 12% of total revenues, respectively, for the year ended December 31, 2020 and 26%and 17% of total revenues, respectively, for the period from November 26, 2019 to December 31, 2019 and the Predecessor period from January 1, 2019 to November 25, 2019.</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December 31, 2021, 20% of the Company’s real estate portfolio, based on square footage, was located in the state of Texas. As of December 31, 2020, 13% and 17%, respectively, of the Company’s real estate portfolio, based on square footage, was located in the states of Oregon and Florida. Additionally, as of December 31, 2020, individually more than 10% of the Company’s real estate portfolio, based on square footage, was located in the states of North Carolina and Michigan. Uncertainty of the duration of a prolonged real estate and economic downturn could have an adverse impact on the Company’s real estate values.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the first quarter of 2021, the Company reclassified deferred financing costs, net of accumulated amortization, as a component of other assets on the accompanying consolidated balance sheet. Accordingly, deferred financing costs of $0.9 million, net of accumulated amortization of $0.2 million, were reclassified from long-term debt to other assets as of December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Cessation of LIBOR</w:t>
      </w:r>
      <w:r>
        <w:rPr>
          <w:rFonts w:ascii="Arial" w:cs="Arial" w:eastAsia="Arial" w:hAnsi="Arial"/>
          <w:sz w:val="17"/>
          <w:szCs w:val="17"/>
          <w:color w:val="auto"/>
        </w:rPr>
        <w:t>. In January 2021, the FASB issued ASU 2021-01 which is in response to concerns about structural</w:t>
      </w:r>
      <w:r>
        <w:rPr>
          <w:rFonts w:ascii="Arial" w:cs="Arial" w:eastAsia="Arial" w:hAnsi="Arial"/>
          <w:sz w:val="17"/>
          <w:szCs w:val="17"/>
          <w:i w:val="1"/>
          <w:iCs w:val="1"/>
          <w:color w:val="auto"/>
        </w:rPr>
        <w:t xml:space="preserve"> </w:t>
      </w:r>
      <w:r>
        <w:rPr>
          <w:rFonts w:ascii="Arial" w:cs="Arial" w:eastAsia="Arial" w:hAnsi="Arial"/>
          <w:sz w:val="17"/>
          <w:szCs w:val="17"/>
          <w:color w:val="auto"/>
        </w:rPr>
        <w:t>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it’s interest rate swaps meets the scope of Topic 848-10-15-3A and therefore, Company will be able to continue to apply a perfectly effective assessment method by electing the corresponding optional expedient for subsequent assessments.</w:t>
      </w:r>
    </w:p>
    <w:p>
      <w:pPr>
        <w:spacing w:after="0" w:line="181" w:lineRule="exact"/>
        <w:rPr>
          <w:sz w:val="20"/>
          <w:szCs w:val="20"/>
          <w:color w:val="auto"/>
        </w:rPr>
      </w:pPr>
    </w:p>
    <w:p>
      <w:pPr>
        <w:jc w:val="both"/>
        <w:ind w:left="60" w:right="59" w:firstLine="396"/>
        <w:spacing w:after="0" w:line="286" w:lineRule="auto"/>
        <w:rPr>
          <w:sz w:val="20"/>
          <w:szCs w:val="20"/>
          <w:color w:val="auto"/>
        </w:rPr>
      </w:pPr>
      <w:r>
        <w:rPr>
          <w:rFonts w:ascii="Arial" w:cs="Arial" w:eastAsia="Arial" w:hAnsi="Arial"/>
          <w:sz w:val="16"/>
          <w:szCs w:val="16"/>
          <w:i w:val="1"/>
          <w:iCs w:val="1"/>
          <w:color w:val="auto"/>
        </w:rPr>
        <w:t xml:space="preserve">Lease Modifications. </w:t>
      </w:r>
      <w:r>
        <w:rPr>
          <w:rFonts w:ascii="Arial" w:cs="Arial" w:eastAsia="Arial" w:hAnsi="Arial"/>
          <w:sz w:val="16"/>
          <w:szCs w:val="16"/>
          <w:color w:val="auto"/>
        </w:rPr>
        <w:t>In April 2020, the FASB issued interpretive guidance relating to the accounting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concessions provided as a result of the COVID-19 Pandemic. In this guidance, entities can elect not to apply lease modification accounting with respect to such lease concessions and, instead, treat the concession as if it was a part of the existing contract. This guidance is only applicable to lease concessions related to the COVID-19 Pandemic that do not result in a substantial increase in the rights of the lessor or the obligations of the lessee. As of and for the year ended December 31, 2020, the Company elected to not apply lease modification accounting with respect to rent deferrals as the concessions were related to COVID-19 and there was not a substantial increase in the lessor’s rights under the lease agreement. Accordingly, for leases in which deferred rent agreements were reached, the Company has continued to account for the lease by recognizing the normal straight-line rental income and as the deferred rents are repaid by the tenant, the straight-line receivable will be reduced. The Company did not enter into any deferred rent agreements related to the COVID-19 Pandemic during the year ended December 31, 2021. The portion of the straight-line adjustment related to COVID-19 concessions and subsequent repayments has been reflected separately in the Company’s statement of cash flows for the years ended December 31, 2021 and 2020. With respect to rent abatement agreements, lease modification</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accounting applies as an extended term was a part of such agreements, accordingly the Company re-calculated straight-line rental income for such leases to recognize over the new lease term.</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4.</w:t>
        <w:tab/>
        <w:t>PROPERTY PORTFOLIO</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2021, the Company’s property portfolio consisted of 113 properties with total square footage of 3.3 million.</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Leasing revenue consists of long-term rental revenue from retail and office properties, which is recognized as earned, using the straight-line method over the life of each lease.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Period</w:t>
            </w: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from November 26,</w:t>
            </w: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242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Year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Year Ended</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2019 to December</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2019 to November</w:t>
            </w:r>
          </w:p>
        </w:tc>
      </w:tr>
      <w:tr>
        <w:trPr>
          <w:trHeight w:val="234"/>
        </w:trPr>
        <w:tc>
          <w:tcPr>
            <w:tcW w:w="242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2021</w:t>
            </w: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2020</w:t>
            </w: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25, 2019</w:t>
            </w:r>
          </w:p>
        </w:tc>
      </w:tr>
      <w:tr>
        <w:trPr>
          <w:trHeight w:val="196"/>
        </w:trPr>
        <w:tc>
          <w:tcPr>
            <w:tcW w:w="24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5"/>
              </w:rPr>
              <w:t>The Company</w:t>
            </w: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85"/>
              </w:rPr>
              <w:t>Predecessor</w:t>
            </w:r>
          </w:p>
        </w:tc>
      </w:tr>
      <w:tr>
        <w:trPr>
          <w:trHeight w:val="196"/>
        </w:trPr>
        <w:tc>
          <w:tcPr>
            <w:tcW w:w="2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Income</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27,138</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10,810</w:t>
            </w:r>
          </w:p>
        </w:tc>
      </w:tr>
      <w:tr>
        <w:trPr>
          <w:trHeight w:val="216"/>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10"/>
        </w:trPr>
        <w:tc>
          <w:tcPr>
            <w:tcW w:w="242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r>
      <w:tr>
        <w:trPr>
          <w:trHeight w:val="20"/>
        </w:trPr>
        <w:tc>
          <w:tcPr>
            <w:tcW w:w="2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December 31, 2021,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35,747</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34,806</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33,519</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w:t>
            </w: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2027 and Thereafter (Cumulative)</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120,057</w:t>
            </w:r>
          </w:p>
        </w:tc>
      </w:tr>
      <w:tr>
        <w:trPr>
          <w:trHeight w:val="209"/>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290,028</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2021 Activity. </w:t>
      </w:r>
      <w:r>
        <w:rPr>
          <w:rFonts w:ascii="Arial" w:cs="Arial" w:eastAsia="Arial" w:hAnsi="Arial"/>
          <w:sz w:val="17"/>
          <w:szCs w:val="17"/>
          <w:color w:val="auto"/>
        </w:rPr>
        <w:t>During the year ended December 31, 2021, the Company acquired 68 properties for a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of $260.3 million, or a total cost of $262.4 million including capitalized acquisition costs. Of the total acquisition cost, $100.8 million was allocated to land, $132.6 million was allocated to buildings and improvements, $31.8 million was allocated to intangible assets pertaining to the in-place lease value, leasing fees, and above market lease value, and $2.8 million was allocated to intangible liabilities for the below market lease value. The weighted average amortization period for the intangible assets and liabilities was 8.6 years at acquisition.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leases attributable to the properties acquired during the year ended December 31, 2021 are described below:</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Purchase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2200" w:type="dxa"/>
            <w:vAlign w:val="bottom"/>
            <w:gridSpan w:val="2"/>
          </w:tcPr>
          <w:p>
            <w:pPr>
              <w:spacing w:after="0"/>
              <w:rPr>
                <w:sz w:val="20"/>
                <w:szCs w:val="20"/>
                <w:color w:val="auto"/>
              </w:rPr>
            </w:pPr>
            <w:r>
              <w:rPr>
                <w:rFonts w:ascii="Arial" w:cs="Arial" w:eastAsia="Arial" w:hAnsi="Arial"/>
                <w:sz w:val="16"/>
                <w:szCs w:val="16"/>
                <w:b w:val="1"/>
                <w:bCs w:val="1"/>
                <w:color w:val="auto"/>
              </w:rPr>
              <w:t>Location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Acquisition</w:t>
            </w: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Square-Feet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($000's)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Cut and Shoot,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2200" w:type="dxa"/>
            <w:vAlign w:val="bottom"/>
            <w:gridSpan w:val="2"/>
          </w:tcPr>
          <w:p>
            <w:pPr>
              <w:spacing w:after="0"/>
              <w:rPr>
                <w:sz w:val="20"/>
                <w:szCs w:val="20"/>
                <w:color w:val="auto"/>
              </w:rPr>
            </w:pPr>
            <w:r>
              <w:rPr>
                <w:rFonts w:ascii="Arial" w:cs="Arial" w:eastAsia="Arial" w:hAnsi="Arial"/>
                <w:sz w:val="16"/>
                <w:szCs w:val="16"/>
                <w:color w:val="auto"/>
              </w:rPr>
              <w:t>Del Rio,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1/25/2021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Seguin,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At Home</w:t>
            </w:r>
          </w:p>
        </w:tc>
        <w:tc>
          <w:tcPr>
            <w:tcW w:w="2200" w:type="dxa"/>
            <w:vAlign w:val="bottom"/>
            <w:gridSpan w:val="2"/>
          </w:tcPr>
          <w:p>
            <w:pPr>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3/09/2021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89,902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 Supplies Plus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Canton,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3/09/2021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Salon Lofts</w:t>
            </w:r>
          </w:p>
        </w:tc>
        <w:tc>
          <w:tcPr>
            <w:tcW w:w="2200" w:type="dxa"/>
            <w:vAlign w:val="bottom"/>
            <w:gridSpan w:val="2"/>
          </w:tcPr>
          <w:p>
            <w:pPr>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3/09/2021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Sportsman's Warehouse</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Burlington</w:t>
            </w:r>
          </w:p>
        </w:tc>
        <w:tc>
          <w:tcPr>
            <w:tcW w:w="2200" w:type="dxa"/>
            <w:vAlign w:val="bottom"/>
            <w:gridSpan w:val="2"/>
          </w:tcPr>
          <w:p>
            <w:pPr>
              <w:spacing w:after="0"/>
              <w:rPr>
                <w:sz w:val="20"/>
                <w:szCs w:val="20"/>
                <w:color w:val="auto"/>
              </w:rPr>
            </w:pPr>
            <w:r>
              <w:rPr>
                <w:rFonts w:ascii="Arial" w:cs="Arial" w:eastAsia="Arial" w:hAnsi="Arial"/>
                <w:sz w:val="16"/>
                <w:szCs w:val="16"/>
                <w:color w:val="auto"/>
              </w:rPr>
              <w:t>North Richland Hills,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4/23/2021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70,891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11,528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Academy Sports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Florence, SC</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Big Lots</w:t>
            </w:r>
          </w:p>
        </w:tc>
        <w:tc>
          <w:tcPr>
            <w:tcW w:w="2200" w:type="dxa"/>
            <w:vAlign w:val="bottom"/>
            <w:gridSpan w:val="2"/>
          </w:tcPr>
          <w:p>
            <w:pPr>
              <w:spacing w:after="0"/>
              <w:rPr>
                <w:sz w:val="20"/>
                <w:szCs w:val="20"/>
                <w:color w:val="auto"/>
              </w:rPr>
            </w:pPr>
            <w:r>
              <w:rPr>
                <w:rFonts w:ascii="Arial" w:cs="Arial" w:eastAsia="Arial" w:hAnsi="Arial"/>
                <w:sz w:val="16"/>
                <w:szCs w:val="16"/>
                <w:color w:val="auto"/>
              </w:rPr>
              <w:t>Durant, OK</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6/25/2021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Orscheln Farm and Home</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Durant, OK</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Lowe's</w:t>
            </w:r>
          </w:p>
        </w:tc>
        <w:tc>
          <w:tcPr>
            <w:tcW w:w="2200" w:type="dxa"/>
            <w:vAlign w:val="bottom"/>
            <w:gridSpan w:val="2"/>
          </w:tcPr>
          <w:p>
            <w:pPr>
              <w:spacing w:after="0"/>
              <w:rPr>
                <w:sz w:val="20"/>
                <w:szCs w:val="20"/>
                <w:color w:val="auto"/>
              </w:rPr>
            </w:pPr>
            <w:r>
              <w:rPr>
                <w:rFonts w:ascii="Arial" w:cs="Arial" w:eastAsia="Arial" w:hAnsi="Arial"/>
                <w:sz w:val="16"/>
                <w:szCs w:val="16"/>
                <w:color w:val="auto"/>
              </w:rPr>
              <w:t>Katy,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131,644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14,672</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Harris Teeter</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Charlotte, NC</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Rite Aid</w:t>
            </w:r>
          </w:p>
        </w:tc>
        <w:tc>
          <w:tcPr>
            <w:tcW w:w="2200" w:type="dxa"/>
            <w:vAlign w:val="bottom"/>
            <w:gridSpan w:val="2"/>
          </w:tcPr>
          <w:p>
            <w:pPr>
              <w:spacing w:after="0"/>
              <w:rPr>
                <w:sz w:val="20"/>
                <w:szCs w:val="20"/>
                <w:color w:val="auto"/>
              </w:rPr>
            </w:pPr>
            <w:r>
              <w:rPr>
                <w:rFonts w:ascii="Arial" w:cs="Arial" w:eastAsia="Arial" w:hAnsi="Arial"/>
                <w:sz w:val="16"/>
                <w:szCs w:val="16"/>
                <w:color w:val="auto"/>
              </w:rPr>
              <w:t>Renton, WA</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Walgreens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Clermont, FL</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Big Lots</w:t>
            </w:r>
          </w:p>
        </w:tc>
        <w:tc>
          <w:tcPr>
            <w:tcW w:w="2200" w:type="dxa"/>
            <w:vAlign w:val="bottom"/>
            <w:gridSpan w:val="2"/>
          </w:tcPr>
          <w:p>
            <w:pPr>
              <w:spacing w:after="0"/>
              <w:rPr>
                <w:sz w:val="20"/>
                <w:szCs w:val="20"/>
                <w:color w:val="auto"/>
              </w:rPr>
            </w:pPr>
            <w:r>
              <w:rPr>
                <w:rFonts w:ascii="Arial" w:cs="Arial" w:eastAsia="Arial" w:hAnsi="Arial"/>
                <w:sz w:val="16"/>
                <w:szCs w:val="16"/>
                <w:color w:val="auto"/>
              </w:rPr>
              <w:t>Germantown, MD</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Big Lots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Phoenix, AZ</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Circle K</w:t>
            </w:r>
          </w:p>
        </w:tc>
        <w:tc>
          <w:tcPr>
            <w:tcW w:w="2200" w:type="dxa"/>
            <w:vAlign w:val="bottom"/>
            <w:gridSpan w:val="2"/>
          </w:tcPr>
          <w:p>
            <w:pPr>
              <w:spacing w:after="0"/>
              <w:rPr>
                <w:sz w:val="20"/>
                <w:szCs w:val="20"/>
                <w:color w:val="auto"/>
              </w:rPr>
            </w:pPr>
            <w:r>
              <w:rPr>
                <w:rFonts w:ascii="Arial" w:cs="Arial" w:eastAsia="Arial" w:hAnsi="Arial"/>
                <w:sz w:val="16"/>
                <w:szCs w:val="16"/>
                <w:color w:val="auto"/>
              </w:rPr>
              <w:t>Indianapolis, IN</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Burger King</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Plymouth, NC</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Dollar Tree</w:t>
            </w:r>
          </w:p>
        </w:tc>
        <w:tc>
          <w:tcPr>
            <w:tcW w:w="2200" w:type="dxa"/>
            <w:vAlign w:val="bottom"/>
            <w:gridSpan w:val="2"/>
          </w:tcPr>
          <w:p>
            <w:pPr>
              <w:spacing w:after="0"/>
              <w:rPr>
                <w:sz w:val="20"/>
                <w:szCs w:val="20"/>
                <w:color w:val="auto"/>
              </w:rPr>
            </w:pPr>
            <w:r>
              <w:rPr>
                <w:rFonts w:ascii="Arial" w:cs="Arial" w:eastAsia="Arial" w:hAnsi="Arial"/>
                <w:sz w:val="16"/>
                <w:szCs w:val="16"/>
                <w:color w:val="auto"/>
              </w:rPr>
              <w:t>Demopolis, 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Firestone</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Pittsburgh, PA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6"/>
                <w:szCs w:val="16"/>
                <w:color w:val="auto"/>
              </w:rPr>
              <w:t>Ware, MA</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1,396</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Grease Monkey</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Stockbridge, GA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Hardee's</w:t>
            </w:r>
          </w:p>
        </w:tc>
        <w:tc>
          <w:tcPr>
            <w:tcW w:w="2200" w:type="dxa"/>
            <w:vAlign w:val="bottom"/>
            <w:gridSpan w:val="2"/>
          </w:tcPr>
          <w:p>
            <w:pPr>
              <w:spacing w:after="0"/>
              <w:rPr>
                <w:sz w:val="20"/>
                <w:szCs w:val="20"/>
                <w:color w:val="auto"/>
              </w:rPr>
            </w:pPr>
            <w:r>
              <w:rPr>
                <w:rFonts w:ascii="Arial" w:cs="Arial" w:eastAsia="Arial" w:hAnsi="Arial"/>
                <w:sz w:val="16"/>
                <w:szCs w:val="16"/>
                <w:color w:val="auto"/>
              </w:rPr>
              <w:t>Boaz, 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Schlotzsky's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Sweetwater,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6"/>
                <w:szCs w:val="16"/>
                <w:color w:val="auto"/>
              </w:rPr>
              <w:t>Athens, GA</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1,127</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Family Dollar</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Burlington, NC</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7/01/2021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O'Reilly Auto Parts</w:t>
            </w:r>
          </w:p>
        </w:tc>
        <w:tc>
          <w:tcPr>
            <w:tcW w:w="2200" w:type="dxa"/>
            <w:vAlign w:val="bottom"/>
            <w:gridSpan w:val="2"/>
          </w:tcPr>
          <w:p>
            <w:pPr>
              <w:spacing w:after="0"/>
              <w:rPr>
                <w:sz w:val="20"/>
                <w:szCs w:val="20"/>
                <w:color w:val="auto"/>
              </w:rPr>
            </w:pPr>
            <w:r>
              <w:rPr>
                <w:rFonts w:ascii="Arial" w:cs="Arial" w:eastAsia="Arial" w:hAnsi="Arial"/>
                <w:sz w:val="16"/>
                <w:szCs w:val="16"/>
                <w:color w:val="auto"/>
              </w:rPr>
              <w:t>Duluth, MN</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7/12/2021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Tractor Supply</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Washington Court House,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8/27/2021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Harbor Freight</w:t>
            </w:r>
          </w:p>
        </w:tc>
        <w:tc>
          <w:tcPr>
            <w:tcW w:w="2200" w:type="dxa"/>
            <w:vAlign w:val="bottom"/>
            <w:gridSpan w:val="2"/>
          </w:tcPr>
          <w:p>
            <w:pPr>
              <w:spacing w:after="0"/>
              <w:rPr>
                <w:sz w:val="20"/>
                <w:szCs w:val="20"/>
                <w:color w:val="auto"/>
              </w:rPr>
            </w:pPr>
            <w:r>
              <w:rPr>
                <w:rFonts w:ascii="Arial" w:cs="Arial" w:eastAsia="Arial" w:hAnsi="Arial"/>
                <w:sz w:val="16"/>
                <w:szCs w:val="16"/>
                <w:color w:val="auto"/>
              </w:rPr>
              <w:t>Midland, MI</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8/31/2021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Camping World</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Duluth, MN</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6"/>
                <w:szCs w:val="16"/>
                <w:color w:val="auto"/>
              </w:rPr>
              <w:t>Ludington, MI</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2"/>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Baltimore, MI</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Dollar Tree</w:t>
            </w:r>
          </w:p>
        </w:tc>
        <w:tc>
          <w:tcPr>
            <w:tcW w:w="2200" w:type="dxa"/>
            <w:vAlign w:val="bottom"/>
            <w:gridSpan w:val="2"/>
          </w:tcPr>
          <w:p>
            <w:pPr>
              <w:spacing w:after="0"/>
              <w:rPr>
                <w:sz w:val="20"/>
                <w:szCs w:val="20"/>
                <w:color w:val="auto"/>
              </w:rPr>
            </w:pPr>
            <w:r>
              <w:rPr>
                <w:rFonts w:ascii="Arial" w:cs="Arial" w:eastAsia="Arial" w:hAnsi="Arial"/>
                <w:sz w:val="16"/>
                <w:szCs w:val="16"/>
                <w:color w:val="auto"/>
              </w:rPr>
              <w:t>Stillwell, OK</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9/17/2021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O'Reilly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Angels Camp, CA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Walmart</w:t>
            </w:r>
          </w:p>
        </w:tc>
        <w:tc>
          <w:tcPr>
            <w:tcW w:w="2200" w:type="dxa"/>
            <w:vAlign w:val="bottom"/>
            <w:gridSpan w:val="2"/>
          </w:tcPr>
          <w:p>
            <w:pPr>
              <w:spacing w:after="0"/>
              <w:rPr>
                <w:sz w:val="20"/>
                <w:szCs w:val="20"/>
                <w:color w:val="auto"/>
              </w:rPr>
            </w:pPr>
            <w:r>
              <w:rPr>
                <w:rFonts w:ascii="Arial" w:cs="Arial" w:eastAsia="Arial" w:hAnsi="Arial"/>
                <w:sz w:val="16"/>
                <w:szCs w:val="16"/>
                <w:color w:val="auto"/>
              </w:rPr>
              <w:t>Hempstead,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9/28/2021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7-Eleven</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Olathe, KS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At Home</w:t>
            </w:r>
          </w:p>
        </w:tc>
        <w:tc>
          <w:tcPr>
            <w:tcW w:w="2200" w:type="dxa"/>
            <w:vAlign w:val="bottom"/>
            <w:gridSpan w:val="2"/>
          </w:tcPr>
          <w:p>
            <w:pPr>
              <w:spacing w:after="0"/>
              <w:rPr>
                <w:sz w:val="20"/>
                <w:szCs w:val="20"/>
                <w:color w:val="auto"/>
              </w:rPr>
            </w:pPr>
            <w:r>
              <w:rPr>
                <w:rFonts w:ascii="Arial" w:cs="Arial" w:eastAsia="Arial" w:hAnsi="Arial"/>
                <w:sz w:val="16"/>
                <w:szCs w:val="16"/>
                <w:color w:val="auto"/>
              </w:rPr>
              <w:t>Turnersville, NJ</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Boston Market</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Turnersville, NJ</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Verizon</w:t>
            </w:r>
          </w:p>
        </w:tc>
        <w:tc>
          <w:tcPr>
            <w:tcW w:w="2200" w:type="dxa"/>
            <w:vAlign w:val="bottom"/>
            <w:gridSpan w:val="2"/>
          </w:tcPr>
          <w:p>
            <w:pPr>
              <w:spacing w:after="0"/>
              <w:rPr>
                <w:sz w:val="20"/>
                <w:szCs w:val="20"/>
                <w:color w:val="auto"/>
              </w:rPr>
            </w:pPr>
            <w:r>
              <w:rPr>
                <w:rFonts w:ascii="Arial" w:cs="Arial" w:eastAsia="Arial" w:hAnsi="Arial"/>
                <w:sz w:val="16"/>
                <w:szCs w:val="16"/>
                <w:color w:val="auto"/>
              </w:rPr>
              <w:t>Turnersville, NJ</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 Paul, MN</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2200" w:type="dxa"/>
            <w:vAlign w:val="bottom"/>
            <w:gridSpan w:val="2"/>
          </w:tcPr>
          <w:p>
            <w:pPr>
              <w:spacing w:after="0"/>
              <w:rPr>
                <w:sz w:val="20"/>
                <w:szCs w:val="20"/>
                <w:color w:val="auto"/>
              </w:rPr>
            </w:pPr>
            <w:r>
              <w:rPr>
                <w:rFonts w:ascii="Arial" w:cs="Arial" w:eastAsia="Arial" w:hAnsi="Arial"/>
                <w:sz w:val="16"/>
                <w:szCs w:val="16"/>
                <w:color w:val="auto"/>
              </w:rPr>
              <w:t>Aberdeen, SD</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49,034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Tree</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Office Depot</w:t>
            </w:r>
          </w:p>
        </w:tc>
        <w:tc>
          <w:tcPr>
            <w:tcW w:w="2200" w:type="dxa"/>
            <w:vAlign w:val="bottom"/>
            <w:gridSpan w:val="2"/>
          </w:tcPr>
          <w:p>
            <w:pPr>
              <w:spacing w:after="0"/>
              <w:rPr>
                <w:sz w:val="20"/>
                <w:szCs w:val="20"/>
                <w:color w:val="auto"/>
              </w:rPr>
            </w:pPr>
            <w:r>
              <w:rPr>
                <w:rFonts w:ascii="Arial" w:cs="Arial" w:eastAsia="Arial" w:hAnsi="Arial"/>
                <w:sz w:val="16"/>
                <w:szCs w:val="16"/>
                <w:color w:val="auto"/>
              </w:rPr>
              <w:t>Albuquerque, NM</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3,814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2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Valero </w:t>
            </w:r>
            <w:r>
              <w:rPr>
                <w:rFonts w:ascii="Arial" w:cs="Arial" w:eastAsia="Arial" w:hAnsi="Arial"/>
                <w:sz w:val="23"/>
                <w:szCs w:val="23"/>
                <w:color w:val="auto"/>
                <w:vertAlign w:val="superscript"/>
              </w:rPr>
              <w:t>(2)</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Jackson, MS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3"/>
        </w:trPr>
        <w:tc>
          <w:tcPr>
            <w:tcW w:w="23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Valero </w:t>
            </w:r>
            <w:r>
              <w:rPr>
                <w:rFonts w:ascii="Arial" w:cs="Arial" w:eastAsia="Arial" w:hAnsi="Arial"/>
                <w:sz w:val="23"/>
                <w:szCs w:val="23"/>
                <w:color w:val="auto"/>
                <w:vertAlign w:val="superscript"/>
              </w:rPr>
              <w:t>(2)</w:t>
            </w:r>
          </w:p>
        </w:tc>
        <w:tc>
          <w:tcPr>
            <w:tcW w:w="2200" w:type="dxa"/>
            <w:vAlign w:val="bottom"/>
            <w:gridSpan w:val="2"/>
          </w:tcPr>
          <w:p>
            <w:pPr>
              <w:spacing w:after="0"/>
              <w:rPr>
                <w:sz w:val="20"/>
                <w:szCs w:val="20"/>
                <w:color w:val="auto"/>
              </w:rPr>
            </w:pPr>
            <w:r>
              <w:rPr>
                <w:rFonts w:ascii="Arial" w:cs="Arial" w:eastAsia="Arial" w:hAnsi="Arial"/>
                <w:sz w:val="16"/>
                <w:szCs w:val="16"/>
                <w:color w:val="auto"/>
              </w:rPr>
              <w:t>Leland, MS</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977</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Valero</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Cadiz,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Valero</w:t>
            </w:r>
          </w:p>
        </w:tc>
        <w:tc>
          <w:tcPr>
            <w:tcW w:w="2200" w:type="dxa"/>
            <w:vAlign w:val="bottom"/>
            <w:gridSpan w:val="2"/>
          </w:tcPr>
          <w:p>
            <w:pPr>
              <w:spacing w:after="0"/>
              <w:rPr>
                <w:sz w:val="20"/>
                <w:szCs w:val="20"/>
                <w:color w:val="auto"/>
              </w:rPr>
            </w:pPr>
            <w:r>
              <w:rPr>
                <w:rFonts w:ascii="Arial" w:cs="Arial" w:eastAsia="Arial" w:hAnsi="Arial"/>
                <w:sz w:val="16"/>
                <w:szCs w:val="16"/>
                <w:color w:val="auto"/>
              </w:rPr>
              <w:t>Massillon,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10/14/2021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1,059</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Valero</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Parma,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Office Max</w:t>
            </w:r>
          </w:p>
        </w:tc>
        <w:tc>
          <w:tcPr>
            <w:tcW w:w="2200" w:type="dxa"/>
            <w:vAlign w:val="bottom"/>
            <w:gridSpan w:val="2"/>
          </w:tcPr>
          <w:p>
            <w:pPr>
              <w:spacing w:after="0"/>
              <w:rPr>
                <w:sz w:val="20"/>
                <w:szCs w:val="20"/>
                <w:color w:val="auto"/>
              </w:rPr>
            </w:pPr>
            <w:r>
              <w:rPr>
                <w:rFonts w:ascii="Arial" w:cs="Arial" w:eastAsia="Arial" w:hAnsi="Arial"/>
                <w:sz w:val="16"/>
                <w:szCs w:val="16"/>
                <w:color w:val="auto"/>
              </w:rPr>
              <w:t>Gadsen, 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10/26/2021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2,717</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Orscheln Farm and Home</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California, MO</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Family Dollar</w:t>
            </w:r>
          </w:p>
        </w:tc>
        <w:tc>
          <w:tcPr>
            <w:tcW w:w="2200" w:type="dxa"/>
            <w:vAlign w:val="bottom"/>
            <w:gridSpan w:val="2"/>
          </w:tcPr>
          <w:p>
            <w:pPr>
              <w:spacing w:after="0"/>
              <w:rPr>
                <w:sz w:val="20"/>
                <w:szCs w:val="20"/>
                <w:color w:val="auto"/>
              </w:rPr>
            </w:pPr>
            <w:r>
              <w:rPr>
                <w:rFonts w:ascii="Arial" w:cs="Arial" w:eastAsia="Arial" w:hAnsi="Arial"/>
                <w:sz w:val="16"/>
                <w:szCs w:val="16"/>
                <w:color w:val="auto"/>
              </w:rPr>
              <w:t>Dearing, GA</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11/12/2021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02"/>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Buffalo Wild Wings</w:t>
            </w: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Hattiesburg, MS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11/23/2021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6"/>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Best Buy</w:t>
            </w:r>
          </w:p>
        </w:tc>
        <w:tc>
          <w:tcPr>
            <w:tcW w:w="2200" w:type="dxa"/>
            <w:vAlign w:val="bottom"/>
            <w:gridSpan w:val="2"/>
          </w:tcPr>
          <w:p>
            <w:pPr>
              <w:spacing w:after="0"/>
              <w:rPr>
                <w:sz w:val="20"/>
                <w:szCs w:val="20"/>
                <w:color w:val="auto"/>
              </w:rPr>
            </w:pPr>
            <w:r>
              <w:rPr>
                <w:rFonts w:ascii="Arial" w:cs="Arial" w:eastAsia="Arial" w:hAnsi="Arial"/>
                <w:sz w:val="16"/>
                <w:szCs w:val="16"/>
                <w:color w:val="auto"/>
              </w:rPr>
              <w:t>Dayton,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12/3/2021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Purchase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30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Acquisition</w:t>
            </w: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Square-Feet</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($000's)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Ashley HomeStore</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Dayton, OH</w:t>
            </w: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12/3/2021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33,161</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2"/>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Mattress Firm</w:t>
            </w:r>
          </w:p>
        </w:tc>
        <w:tc>
          <w:tcPr>
            <w:tcW w:w="1300" w:type="dxa"/>
            <w:vAlign w:val="bottom"/>
          </w:tcPr>
          <w:p>
            <w:pPr>
              <w:spacing w:after="0"/>
              <w:rPr>
                <w:sz w:val="20"/>
                <w:szCs w:val="20"/>
                <w:color w:val="auto"/>
              </w:rPr>
            </w:pPr>
            <w:r>
              <w:rPr>
                <w:rFonts w:ascii="Arial" w:cs="Arial" w:eastAsia="Arial" w:hAnsi="Arial"/>
                <w:sz w:val="16"/>
                <w:szCs w:val="16"/>
                <w:color w:val="auto"/>
              </w:rPr>
              <w:t>Richmond, IN</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12/8/2021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5,108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Orscheln Farm and Home</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Owensville, MO</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12/8/2021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Family Dollar</w:t>
            </w:r>
          </w:p>
        </w:tc>
        <w:tc>
          <w:tcPr>
            <w:tcW w:w="1300" w:type="dxa"/>
            <w:vAlign w:val="bottom"/>
          </w:tcPr>
          <w:p>
            <w:pPr>
              <w:spacing w:after="0"/>
              <w:rPr>
                <w:sz w:val="20"/>
                <w:szCs w:val="20"/>
                <w:color w:val="auto"/>
              </w:rPr>
            </w:pPr>
            <w:r>
              <w:rPr>
                <w:rFonts w:ascii="Arial" w:cs="Arial" w:eastAsia="Arial" w:hAnsi="Arial"/>
                <w:sz w:val="16"/>
                <w:szCs w:val="16"/>
                <w:color w:val="auto"/>
              </w:rPr>
              <w:t>McKenny, VA</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12/10/2021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10,531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Family Dollar</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Tipton, MO</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Family Dollar</w:t>
            </w:r>
          </w:p>
        </w:tc>
        <w:tc>
          <w:tcPr>
            <w:tcW w:w="1300" w:type="dxa"/>
            <w:vAlign w:val="bottom"/>
          </w:tcPr>
          <w:p>
            <w:pPr>
              <w:spacing w:after="0"/>
              <w:rPr>
                <w:sz w:val="20"/>
                <w:szCs w:val="20"/>
                <w:color w:val="auto"/>
              </w:rPr>
            </w:pPr>
            <w:r>
              <w:rPr>
                <w:rFonts w:ascii="Arial" w:cs="Arial" w:eastAsia="Arial" w:hAnsi="Arial"/>
                <w:sz w:val="16"/>
                <w:szCs w:val="16"/>
                <w:color w:val="auto"/>
              </w:rPr>
              <w:t>Van Buren, MO</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12/14/2021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1,563</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Family Dollar</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Lake Village, AR</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12/14/2021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Academy Sports</w:t>
            </w:r>
          </w:p>
        </w:tc>
        <w:tc>
          <w:tcPr>
            <w:tcW w:w="1300" w:type="dxa"/>
            <w:vAlign w:val="bottom"/>
          </w:tcPr>
          <w:p>
            <w:pPr>
              <w:spacing w:after="0"/>
              <w:rPr>
                <w:sz w:val="20"/>
                <w:szCs w:val="20"/>
                <w:color w:val="auto"/>
              </w:rPr>
            </w:pPr>
            <w:r>
              <w:rPr>
                <w:rFonts w:ascii="Arial" w:cs="Arial" w:eastAsia="Arial" w:hAnsi="Arial"/>
                <w:sz w:val="16"/>
                <w:szCs w:val="16"/>
                <w:color w:val="auto"/>
              </w:rPr>
              <w:t>Columbia, SC</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12/16/2021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10,121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Academy Sports</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Snellville, GA</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12/16/2021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The Burger Joint</w:t>
            </w:r>
          </w:p>
        </w:tc>
        <w:tc>
          <w:tcPr>
            <w:tcW w:w="1300" w:type="dxa"/>
            <w:vAlign w:val="bottom"/>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4,054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Charles Schwab</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Webster, TX</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Crazy Alan's Swamp Shack</w:t>
            </w:r>
          </w:p>
        </w:tc>
        <w:tc>
          <w:tcPr>
            <w:tcW w:w="1300" w:type="dxa"/>
            <w:vAlign w:val="bottom"/>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Ethan Allen</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LongHorn Steakhouse</w:t>
            </w:r>
          </w:p>
        </w:tc>
        <w:tc>
          <w:tcPr>
            <w:tcW w:w="1300" w:type="dxa"/>
            <w:vAlign w:val="bottom"/>
          </w:tcPr>
          <w:p>
            <w:pPr>
              <w:spacing w:after="0"/>
              <w:rPr>
                <w:sz w:val="20"/>
                <w:szCs w:val="20"/>
                <w:color w:val="auto"/>
              </w:rPr>
            </w:pPr>
            <w:r>
              <w:rPr>
                <w:rFonts w:ascii="Arial" w:cs="Arial" w:eastAsia="Arial" w:hAnsi="Arial"/>
                <w:sz w:val="16"/>
                <w:szCs w:val="16"/>
                <w:color w:val="auto"/>
              </w:rPr>
              <w:t>Webster, TX</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3,122</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Lowe's</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Webster, TX</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10,986</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Olive Garden</w:t>
            </w:r>
          </w:p>
        </w:tc>
        <w:tc>
          <w:tcPr>
            <w:tcW w:w="1300" w:type="dxa"/>
            <w:vAlign w:val="bottom"/>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8,388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Rooms To Go</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Sportsman's Warehouse</w:t>
            </w:r>
          </w:p>
        </w:tc>
        <w:tc>
          <w:tcPr>
            <w:tcW w:w="1300" w:type="dxa"/>
            <w:vAlign w:val="bottom"/>
          </w:tcPr>
          <w:p>
            <w:pPr>
              <w:spacing w:after="0"/>
              <w:rPr>
                <w:sz w:val="20"/>
                <w:szCs w:val="20"/>
                <w:color w:val="auto"/>
              </w:rPr>
            </w:pPr>
            <w:r>
              <w:rPr>
                <w:rFonts w:ascii="Arial" w:cs="Arial" w:eastAsia="Arial" w:hAnsi="Arial"/>
                <w:sz w:val="16"/>
                <w:szCs w:val="16"/>
                <w:color w:val="auto"/>
              </w:rPr>
              <w:t>Morgantown, WV</w:t>
            </w:r>
          </w:p>
        </w:tc>
        <w:tc>
          <w:tcPr>
            <w:tcW w:w="1800" w:type="dxa"/>
            <w:vAlign w:val="bottom"/>
            <w:gridSpan w:val="3"/>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30,547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Visionworks</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Friendswood, TX</w:t>
            </w:r>
          </w:p>
        </w:tc>
        <w:tc>
          <w:tcPr>
            <w:tcW w:w="180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12/22/2021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24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0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Total / Weighted Average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1,799,839</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260,313</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230"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The aggregate purchase price of $14.8 million was partially funded through the issuance of 479,640 OP Units valued at $9.0 million, see Note 11, “Equity.”</w:t>
      </w:r>
    </w:p>
    <w:p>
      <w:pPr>
        <w:ind w:left="380" w:hanging="330"/>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Subject to a master lease agreement.</w:t>
      </w:r>
    </w:p>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December 31, 2021, the Company sold three properties for an aggregate sales price of $28.3 million, generating aggregate gains on sale of $9.7 million. On July 21, 2021, the Company sold one property, classified as held for sale as of June 30, 2021, leased to Outback Steakhouse located in Huntersville, North Carolina, for a sales price of $3.8 million, generating a gain on sale of $0.5 million. On December 2, 2021, the Company sold two properties leased to Hilton Grand Vacations in Orlando, Florida, for an aggregate sales price of $24.5 million, generating a combined gain on sale of $9.1 million.</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2020 Activity. </w:t>
      </w:r>
      <w:r>
        <w:rPr>
          <w:rFonts w:ascii="Arial" w:cs="Arial" w:eastAsia="Arial" w:hAnsi="Arial"/>
          <w:sz w:val="17"/>
          <w:szCs w:val="17"/>
          <w:color w:val="auto"/>
        </w:rPr>
        <w:t>During the year ended December 31, 2020, the Company acquired 29 properties for a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of $116.6 million, or a total cost of $117.7 million including capitalized acquisition costs. Of the total acquisition cost, $30.3 million was allocated to land, $70.0 million was allocated to buildings and improvements, $19.1 million was allocated to intangible assets pertaining to the in-place lease value, leasing fees, and above market lease value, and $1.7 million was allocated to intangible liabilities for the below market lease value. The weighted average amortization period for the intangible assets and liabilities was 10.1 years at acquisition.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leases attributable to the properties acquired during the year ended December 31, 2020 are described below:</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Purchase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840" w:type="dxa"/>
            <w:vAlign w:val="bottom"/>
            <w:gridSpan w:val="2"/>
          </w:tcPr>
          <w:p>
            <w:pPr>
              <w:ind w:left="960"/>
              <w:spacing w:after="0"/>
              <w:rPr>
                <w:sz w:val="20"/>
                <w:szCs w:val="20"/>
                <w:color w:val="auto"/>
              </w:rPr>
            </w:pPr>
            <w:r>
              <w:rPr>
                <w:rFonts w:ascii="Arial" w:cs="Arial" w:eastAsia="Arial" w:hAnsi="Arial"/>
                <w:sz w:val="16"/>
                <w:szCs w:val="16"/>
                <w:b w:val="1"/>
                <w:bCs w:val="1"/>
                <w:color w:val="auto"/>
              </w:rPr>
              <w:t>Description</w:t>
            </w:r>
          </w:p>
        </w:tc>
        <w:tc>
          <w:tcPr>
            <w:tcW w:w="1740" w:type="dxa"/>
            <w:vAlign w:val="bottom"/>
            <w:gridSpan w:val="2"/>
          </w:tcPr>
          <w:p>
            <w:pPr>
              <w:ind w:left="500"/>
              <w:spacing w:after="0"/>
              <w:rPr>
                <w:sz w:val="20"/>
                <w:szCs w:val="20"/>
                <w:color w:val="auto"/>
              </w:rPr>
            </w:pPr>
            <w:r>
              <w:rPr>
                <w:rFonts w:ascii="Arial" w:cs="Arial" w:eastAsia="Arial" w:hAnsi="Arial"/>
                <w:sz w:val="16"/>
                <w:szCs w:val="16"/>
                <w:b w:val="1"/>
                <w:bCs w:val="1"/>
                <w:color w:val="auto"/>
              </w:rPr>
              <w:t>Location</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Acquisition</w:t>
            </w: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($000's)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Conn's HomePlus</w:t>
            </w: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Hurst,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1/10/2020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37,957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7-Eleven</w:t>
            </w:r>
          </w:p>
        </w:tc>
        <w:tc>
          <w:tcPr>
            <w:tcW w:w="1740" w:type="dxa"/>
            <w:vAlign w:val="bottom"/>
            <w:gridSpan w:val="2"/>
          </w:tcPr>
          <w:p>
            <w:pPr>
              <w:spacing w:after="0"/>
              <w:rPr>
                <w:sz w:val="20"/>
                <w:szCs w:val="20"/>
                <w:color w:val="auto"/>
              </w:rPr>
            </w:pPr>
            <w:r>
              <w:rPr>
                <w:rFonts w:ascii="Arial" w:cs="Arial" w:eastAsia="Arial" w:hAnsi="Arial"/>
                <w:sz w:val="16"/>
                <w:szCs w:val="16"/>
                <w:color w:val="auto"/>
              </w:rPr>
              <w:t>Austin,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1/13/2020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5,762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7-Eleven</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Georgetown,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1/13/2020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BP</w:t>
            </w:r>
          </w:p>
        </w:tc>
        <w:tc>
          <w:tcPr>
            <w:tcW w:w="1740" w:type="dxa"/>
            <w:vAlign w:val="bottom"/>
            <w:gridSpan w:val="2"/>
          </w:tcPr>
          <w:p>
            <w:pPr>
              <w:spacing w:after="0"/>
              <w:rPr>
                <w:sz w:val="20"/>
                <w:szCs w:val="20"/>
                <w:color w:val="auto"/>
              </w:rPr>
            </w:pPr>
            <w:r>
              <w:rPr>
                <w:rFonts w:ascii="Arial" w:cs="Arial" w:eastAsia="Arial" w:hAnsi="Arial"/>
                <w:sz w:val="16"/>
                <w:szCs w:val="16"/>
                <w:color w:val="auto"/>
              </w:rPr>
              <w:t>Highland Heights, KY</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2/03/2020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Multi-Cinema, Inc.</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Tyngsborough, MA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2/19/2020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spacing w:after="0"/>
              <w:rPr>
                <w:sz w:val="20"/>
                <w:szCs w:val="20"/>
                <w:color w:val="auto"/>
              </w:rPr>
            </w:pPr>
            <w:r>
              <w:rPr>
                <w:rFonts w:ascii="Arial" w:cs="Arial" w:eastAsia="Arial" w:hAnsi="Arial"/>
                <w:sz w:val="16"/>
                <w:szCs w:val="16"/>
                <w:color w:val="auto"/>
              </w:rPr>
              <w:t>Tulsa, OK</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2/28/2020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 John Silver's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Tulsa, OK</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2/28/2020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Old Time Pottery</w:t>
            </w:r>
          </w:p>
        </w:tc>
        <w:tc>
          <w:tcPr>
            <w:tcW w:w="1740" w:type="dxa"/>
            <w:vAlign w:val="bottom"/>
            <w:gridSpan w:val="2"/>
          </w:tcPr>
          <w:p>
            <w:pPr>
              <w:spacing w:after="0"/>
              <w:rPr>
                <w:sz w:val="20"/>
                <w:szCs w:val="20"/>
                <w:color w:val="auto"/>
              </w:rPr>
            </w:pPr>
            <w:r>
              <w:rPr>
                <w:rFonts w:ascii="Arial" w:cs="Arial" w:eastAsia="Arial" w:hAnsi="Arial"/>
                <w:sz w:val="16"/>
                <w:szCs w:val="16"/>
                <w:color w:val="auto"/>
              </w:rPr>
              <w:t>Orange Park, FL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2/28/2020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Freddy's Frozen Custard</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Orange Park, FL</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2/28/2020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spacing w:after="0"/>
              <w:rPr>
                <w:sz w:val="20"/>
                <w:szCs w:val="20"/>
                <w:color w:val="auto"/>
              </w:rPr>
            </w:pPr>
            <w:r>
              <w:rPr>
                <w:rFonts w:ascii="Arial" w:cs="Arial" w:eastAsia="Arial" w:hAnsi="Arial"/>
                <w:sz w:val="16"/>
                <w:szCs w:val="16"/>
                <w:color w:val="auto"/>
              </w:rPr>
              <w:t>Arden, NC</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6/24/2020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7,987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Walmart</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Howell, MI</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Advanced Auto Parts</w:t>
            </w:r>
          </w:p>
        </w:tc>
        <w:tc>
          <w:tcPr>
            <w:tcW w:w="1740" w:type="dxa"/>
            <w:vAlign w:val="bottom"/>
            <w:gridSpan w:val="2"/>
          </w:tcPr>
          <w:p>
            <w:pPr>
              <w:spacing w:after="0"/>
              <w:rPr>
                <w:sz w:val="20"/>
                <w:szCs w:val="20"/>
                <w:color w:val="auto"/>
              </w:rPr>
            </w:pPr>
            <w:r>
              <w:rPr>
                <w:rFonts w:ascii="Arial" w:cs="Arial" w:eastAsia="Arial" w:hAnsi="Arial"/>
                <w:sz w:val="16"/>
                <w:szCs w:val="16"/>
                <w:color w:val="auto"/>
              </w:rPr>
              <w:t>Severn, MD</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Heuvelton, NY</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Winthrop, NY</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Salem, NY</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Harrisville, NY</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Newtonsville,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2"/>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Hammond, NY</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Barker, NY</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Chazy, NY</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9/14/2020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Milford, ME</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9/21/2020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Limestone, ME</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9/21/2020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Bingham, ME</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9/21/2020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Willis,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9/23/2020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Somerville,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9/23/2020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spacing w:after="0"/>
              <w:rPr>
                <w:sz w:val="20"/>
                <w:szCs w:val="20"/>
                <w:color w:val="auto"/>
              </w:rPr>
            </w:pPr>
            <w:r>
              <w:rPr>
                <w:rFonts w:ascii="Arial" w:cs="Arial" w:eastAsia="Arial" w:hAnsi="Arial"/>
                <w:sz w:val="16"/>
                <w:szCs w:val="16"/>
                <w:color w:val="auto"/>
              </w:rPr>
              <w:t>Odessa,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9/30/2020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Kermit,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11/9/2020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Kohl's</w:t>
            </w:r>
          </w:p>
        </w:tc>
        <w:tc>
          <w:tcPr>
            <w:tcW w:w="1740" w:type="dxa"/>
            <w:vAlign w:val="bottom"/>
            <w:gridSpan w:val="2"/>
          </w:tcPr>
          <w:p>
            <w:pPr>
              <w:spacing w:after="0"/>
              <w:rPr>
                <w:sz w:val="20"/>
                <w:szCs w:val="20"/>
                <w:color w:val="auto"/>
              </w:rPr>
            </w:pPr>
            <w:r>
              <w:rPr>
                <w:rFonts w:ascii="Arial" w:cs="Arial" w:eastAsia="Arial" w:hAnsi="Arial"/>
                <w:sz w:val="16"/>
                <w:szCs w:val="16"/>
                <w:color w:val="auto"/>
              </w:rPr>
              <w:t>Glendale, AZ</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12/11/2020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Walgreens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Tacoma, WA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12/18/2020</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ind w:left="940"/>
              <w:spacing w:after="0"/>
              <w:rPr>
                <w:sz w:val="20"/>
                <w:szCs w:val="20"/>
                <w:color w:val="auto"/>
              </w:rPr>
            </w:pPr>
            <w:r>
              <w:rPr>
                <w:rFonts w:ascii="Arial" w:cs="Arial" w:eastAsia="Arial" w:hAnsi="Arial"/>
                <w:sz w:val="16"/>
                <w:szCs w:val="16"/>
                <w:color w:val="auto"/>
                <w:w w:val="99"/>
              </w:rPr>
              <w:t>Total / Weighted Average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786,898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116,633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September 25, 2020, the Company sold one property, classified as held for sale as of June 30, 2020, leased to Outback Steakhouse located in Charlottesville, Virginia, for a sales price of $5.1 million, generating a gain on sale of $0.3 million.</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Period from November 26, 2019 to December 31, 2019 Activity. </w:t>
      </w:r>
      <w:r>
        <w:rPr>
          <w:rFonts w:ascii="Arial" w:cs="Arial" w:eastAsia="Arial" w:hAnsi="Arial"/>
          <w:sz w:val="18"/>
          <w:szCs w:val="18"/>
          <w:color w:val="auto"/>
        </w:rPr>
        <w:t>On November 26, 2019, the Company closed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initial public offering. The Company used $125.9 million of the net proceeds from the Offering to acquire 15 of the 20 properties in the Company’s initial portfolio from CTO, or the Predecessor. The remaining five properties in the Company’s initial portfolio were contributed by CTO in exchange for 1,223,854 OP Units of the Operating Partnership for a value of $23.3 million based on the public offering price of $19.00 per share. The Company accounted for the 20-property initial portfolio acquisition as a business combination and recorded the assets and liabilities acquired at their fair value in accordance with the provisions of ASC 805-10, </w:t>
      </w:r>
      <w:r>
        <w:rPr>
          <w:rFonts w:ascii="Arial" w:cs="Arial" w:eastAsia="Arial" w:hAnsi="Arial"/>
          <w:sz w:val="18"/>
          <w:szCs w:val="18"/>
          <w:i w:val="1"/>
          <w:iCs w:val="1"/>
          <w:color w:val="auto"/>
        </w:rPr>
        <w:t>Business Combinations</w:t>
      </w:r>
      <w:r>
        <w:rPr>
          <w:rFonts w:ascii="Arial" w:cs="Arial" w:eastAsia="Arial" w:hAnsi="Arial"/>
          <w:sz w:val="18"/>
          <w:szCs w:val="18"/>
          <w:color w:val="auto"/>
        </w:rPr>
        <w:t>. No properties were sold during the period from November 26, 2019 to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 connection with the accounting of the 20-property initial portfolio acquisition as a business combination, the purchase consideration was calculated as follows (in thousands, except unit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November 26, 2019</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 Units Issued (Number of Units)</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1,223,854</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Company's IPO Price per Share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r>
      <w:tr>
        <w:trPr>
          <w:trHeight w:val="20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 Unit Consideration Paid for Initial Portfolio</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Cash Consideration Paid for Initial Portfolio</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125,919</w:t>
            </w: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 Paid for Initial Portfolio</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149,172</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utilized valuations by a third party valuation specialist as the basis for determining the allocation of the determined fair value of the asset group to the individual tangible and intangible assets and liabilities. The fair value of the total purchase consideration was allocated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November 26, 2019</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at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54,386</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Building and Improvements, at Cost</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74,070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22,649</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Lease Liabilities</w:t>
            </w: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149,172</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the initial portfolio was completed on January 1, 2018. The unaudited pro forma financial information includes adjustments for (i) depreciation on acquired building and improvements of $4.3 million for the pro forma year ended 2019; (ii) amortization of intangible lease assets and intangible lease liabilities recorded at the date of the transactions of $2.7 million for the pro forma year ended 2019; and (iii) the elimination of acquisition related costs of $0.2 million. This information is presented for informational purposes only and does not purport to be indicative of the results of future operations or the results that would have occurred had the transaction taken place on January 1, 2018 (in thousands, except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For the Year Ended</w:t>
            </w:r>
          </w:p>
        </w:tc>
      </w:tr>
      <w:tr>
        <w:trPr>
          <w:trHeight w:val="234"/>
        </w:trPr>
        <w:tc>
          <w:tcPr>
            <w:tcW w:w="6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December 31, 2019</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Total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w w:val="99"/>
              </w:rPr>
              <w:t>Unaudited Pro Forma Net Income Attributable to Alpine Income Property Trust, Inc.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Basic Net Income per Share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Unaudited Pro Forma Diluted Net Income per Share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Unaudited Pro Forma Funds From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Unaudited Pro Form Adjusted Funds From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7,438</w:t>
            </w:r>
          </w:p>
        </w:tc>
      </w:tr>
    </w:tbl>
    <w:p>
      <w:pPr>
        <w:spacing w:after="0" w:line="201" w:lineRule="exact"/>
        <w:rPr>
          <w:sz w:val="20"/>
          <w:szCs w:val="20"/>
          <w:color w:val="auto"/>
        </w:rPr>
      </w:pPr>
    </w:p>
    <w:p>
      <w:pPr>
        <w:jc w:val="both"/>
        <w:ind w:left="60" w:right="79" w:firstLine="324"/>
        <w:spacing w:after="0" w:line="291" w:lineRule="auto"/>
        <w:rPr>
          <w:sz w:val="20"/>
          <w:szCs w:val="20"/>
          <w:color w:val="auto"/>
        </w:rPr>
      </w:pPr>
      <w:r>
        <w:rPr>
          <w:rFonts w:ascii="Arial" w:cs="Arial" w:eastAsia="Arial" w:hAnsi="Arial"/>
          <w:sz w:val="16"/>
          <w:szCs w:val="16"/>
          <w:i w:val="1"/>
          <w:iCs w:val="1"/>
          <w:color w:val="auto"/>
        </w:rPr>
        <w:t xml:space="preserve">Period from January 1, 2019 to November 25, 2019 Predecessor Activity. </w:t>
      </w:r>
      <w:r>
        <w:rPr>
          <w:rFonts w:ascii="Arial" w:cs="Arial" w:eastAsia="Arial" w:hAnsi="Arial"/>
          <w:sz w:val="16"/>
          <w:szCs w:val="16"/>
          <w:color w:val="auto"/>
        </w:rPr>
        <w:t>During the period from January 1,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25, 2019, the Predecessor acquired five properties for a combined purchase price of $26.8 million, or a total cost of $27.0 million including capitalized acquisition costs. Of the total acquisition cost, $10.0 million was allocated to land, $13.8 million was allocated to buildings and improvements, $3.6 million was allocated to intangible assets pertaining to the in-place lease value, leasing costs, and above market lease value, and $0.4 million was allocated to intangible liabilities for the below market lease value. The weighted average amortization period for the intangible assets and liabilities was 10.6 years at acquisition. No properties were disposed of during the period from January 1, 2019 to November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5.</w:t>
        <w:tab/>
        <w:t>FAIR VALUE OF FINANCIAL INSTRUMENTS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December 31, 2021 and December 31, 2020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3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Estimated</w:t>
            </w: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106,809</w:t>
            </w: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tables present the fair value of assets (liabilities) measured on a recurring basis by Level as of December 31, 2021 and December 31, 2020 (in thousands). See Note 10, “Interest Rate Swaps” for further disclosure related to the Company’s interest rate swaps.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Quoted Prices in</w:t>
            </w:r>
          </w:p>
        </w:tc>
        <w:tc>
          <w:tcPr>
            <w:tcW w:w="16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Active Markets</w:t>
            </w: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Identical</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Assets (Level 1)</w:t>
            </w: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Inputs (Level 2)</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3)</w:t>
            </w:r>
          </w:p>
        </w:tc>
      </w:tr>
      <w:tr>
        <w:trPr>
          <w:trHeight w:val="209"/>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Credit Facility Interest Rate Swap </w:t>
            </w:r>
            <w:r>
              <w:rPr>
                <w:rFonts w:ascii="Arial" w:cs="Arial" w:eastAsia="Arial" w:hAnsi="Arial"/>
                <w:sz w:val="25"/>
                <w:szCs w:val="25"/>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115"/>
        </w:trPr>
        <w:tc>
          <w:tcPr>
            <w:tcW w:w="224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62" w:lineRule="exact"/>
        <w:rPr>
          <w:sz w:val="20"/>
          <w:szCs w:val="20"/>
          <w:color w:val="auto"/>
        </w:rPr>
      </w:pPr>
    </w:p>
    <w:p>
      <w:pPr>
        <w:ind w:left="380" w:right="79" w:hanging="330"/>
        <w:spacing w:after="0" w:line="230"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Effective May 21, 2021, the Company utilized interest rate swaps to fix LIBOR and achieve a weighted average fixed interest rate of 0.81% plus the applicable spread on the $60.0 million 2026 Term Loan (hereinafter defined) balance.</w:t>
      </w:r>
    </w:p>
    <w:p>
      <w:pPr>
        <w:jc w:val="both"/>
        <w:ind w:left="380" w:right="79" w:hanging="330"/>
        <w:spacing w:after="0" w:line="221"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w:t>
      </w:r>
    </w:p>
    <w:p>
      <w:pPr>
        <w:spacing w:after="0" w:line="1" w:lineRule="exact"/>
        <w:rPr>
          <w:rFonts w:ascii="Arial" w:cs="Arial" w:eastAsia="Arial" w:hAnsi="Arial"/>
          <w:sz w:val="11"/>
          <w:szCs w:val="11"/>
          <w:color w:val="auto"/>
        </w:rPr>
      </w:pPr>
    </w:p>
    <w:p>
      <w:pPr>
        <w:ind w:left="380" w:right="79" w:hanging="330"/>
        <w:spacing w:after="0" w:line="237" w:lineRule="auto"/>
        <w:tabs>
          <w:tab w:leader="none" w:pos="3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fix LIBOR and achieve a fixed interest rate of 0.48% plus the applicable spread on $50.0 million of the outstanding balance on the Credit Facility (hereinafter defined).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6.</w:t>
        <w:tab/>
        <w:t>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 market and below market leases, the value of in-place leases, and the value of leasing costs, based in each case on their fair values. Intangible assets and liabilities consisted of the following as of December 31, 2021 and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2021</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45,301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27,494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20" w:type="dxa"/>
            <w:vAlign w:val="bottom"/>
          </w:tcPr>
          <w:p>
            <w:pPr>
              <w:spacing w:after="0"/>
              <w:rPr>
                <w:sz w:val="18"/>
                <w:szCs w:val="18"/>
                <w:color w:val="auto"/>
              </w:rPr>
            </w:pPr>
          </w:p>
        </w:tc>
      </w:tr>
      <w:tr>
        <w:trPr>
          <w:trHeight w:val="21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(9,169)</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09"/>
        </w:trPr>
        <w:tc>
          <w:tcPr>
            <w:tcW w:w="518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reflects the net amortization of intangible assets and liabilities during the years ended December 31, 2021 and 2020, the period from November 26, 2019 to December 31, 2019, and the Predecessor period from January 1, 2019 to November 25, 2019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November</w:t>
            </w:r>
          </w:p>
        </w:tc>
        <w:tc>
          <w:tcPr>
            <w:tcW w:w="13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from January 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2019 to</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November 25,</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85"/>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Accretion to Properties Revenue</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Net Amortization of Intangible Assets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Future Accretion to</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6,801</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2027 and Thereafter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17,802</w:t>
            </w:r>
          </w:p>
        </w:tc>
      </w:tr>
      <w:tr>
        <w:trPr>
          <w:trHeight w:val="210"/>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53,345</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As of December 31, 2021, the weighted average amortization period of both the total intangible assets and liabilities was 9.0 years.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7.   OTHER ASSETS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78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(in thousands):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2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09"/>
        </w:trPr>
        <w:tc>
          <w:tcPr>
            <w:tcW w:w="2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r>
      <w:tr>
        <w:trPr>
          <w:trHeight w:val="210"/>
        </w:trPr>
        <w:tc>
          <w:tcPr>
            <w:tcW w:w="578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Tenant Receivables—Net of Allowance for Doubtful Accounts </w:t>
            </w:r>
            <w:r>
              <w:rPr>
                <w:rFonts w:ascii="Arial" w:cs="Arial" w:eastAsia="Arial" w:hAnsi="Arial"/>
                <w:sz w:val="24"/>
                <w:szCs w:val="24"/>
                <w:color w:val="auto"/>
                <w:vertAlign w:val="superscript"/>
              </w:rPr>
              <w:t>(1)</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Accrued Unbilled Tenant Receivables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Deposits on Acquisitions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Costs—Net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$0.3 million and $0.1 million allowance for doubtful accounts as of December 31, 2021 and December 31, 2020, respectively.</w:t>
      </w:r>
    </w:p>
    <w:p>
      <w:pPr>
        <w:spacing w:after="0" w:line="21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CTO</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0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9.</w:t>
        <w:tab/>
        <w:t>LONG-TERM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2021, the Company’s outstanding indebtedness, at face value, was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 Debt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[1.35% - 1.95%]</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c>
          <w:tcPr>
            <w:tcW w:w="0" w:type="dxa"/>
            <w:vAlign w:val="bottom"/>
          </w:tcPr>
          <w:p>
            <w:pPr>
              <w:spacing w:after="0"/>
              <w:rPr>
                <w:sz w:val="1"/>
                <w:szCs w:val="1"/>
                <w:color w:val="auto"/>
              </w:rPr>
            </w:pPr>
          </w:p>
        </w:tc>
      </w:tr>
      <w:tr>
        <w:trPr>
          <w:trHeight w:val="202"/>
        </w:trPr>
        <w:tc>
          <w:tcPr>
            <w:tcW w:w="36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(1)</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line="201" w:lineRule="exact"/>
              <w:rPr>
                <w:sz w:val="20"/>
                <w:szCs w:val="20"/>
                <w:color w:val="auto"/>
              </w:rPr>
            </w:pPr>
            <w:r>
              <w:rPr>
                <w:rFonts w:ascii="Arial" w:cs="Arial" w:eastAsia="Arial" w:hAnsi="Arial"/>
                <w:sz w:val="18"/>
                <w:szCs w:val="18"/>
                <w:color w:val="auto"/>
                <w:w w:val="95"/>
              </w:rPr>
              <w:t>30-Day LIBOR +</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[1.35% - 1.95%]</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May 2026</w:t>
            </w:r>
          </w:p>
        </w:tc>
        <w:tc>
          <w:tcPr>
            <w:tcW w:w="0" w:type="dxa"/>
            <w:vAlign w:val="bottom"/>
          </w:tcPr>
          <w:p>
            <w:pPr>
              <w:spacing w:after="0"/>
              <w:rPr>
                <w:sz w:val="1"/>
                <w:szCs w:val="1"/>
                <w:color w:val="auto"/>
              </w:rPr>
            </w:pPr>
          </w:p>
        </w:tc>
      </w:tr>
      <w:tr>
        <w:trPr>
          <w:trHeight w:val="202"/>
        </w:trPr>
        <w:tc>
          <w:tcPr>
            <w:tcW w:w="36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30-Day LIBOR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[1.25% - 1.90%]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Mortgage Note Payable – CMBS Portfolio</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4.33%</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October 2034</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269,000</w:t>
            </w:r>
          </w:p>
        </w:tc>
        <w:tc>
          <w:tcPr>
            <w:tcW w:w="16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79" w:hanging="330"/>
        <w:spacing w:after="0" w:line="227" w:lineRule="auto"/>
        <w:tabs>
          <w:tab w:leader="none" w:pos="3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Effective May 21, 2021, the Company utilized interest rate swaps to fix LIBOR and achieve a weighted average fixed interest rate of 0.81% plus the applicable spread on the $60.0 million 2026 Term Loan (hereinafter defined) balance. See Note 10, “Interest Rate Swaps” for further disclosure related to the Company’s interest rate swaps.</w:t>
      </w:r>
    </w:p>
    <w:p>
      <w:pPr>
        <w:jc w:val="both"/>
        <w:ind w:left="380" w:right="79" w:hanging="330"/>
        <w:spacing w:after="0" w:line="249" w:lineRule="auto"/>
        <w:tabs>
          <w:tab w:leader="none" w:pos="380" w:val="left"/>
        </w:tabs>
        <w:numPr>
          <w:ilvl w:val="0"/>
          <w:numId w:val="36"/>
        </w:numPr>
        <w:rPr>
          <w:rFonts w:ascii="Arial" w:cs="Arial" w:eastAsia="Arial" w:hAnsi="Arial"/>
          <w:sz w:val="10"/>
          <w:szCs w:val="10"/>
          <w:color w:val="auto"/>
        </w:rPr>
      </w:pPr>
      <w:r>
        <w:rPr>
          <w:rFonts w:ascii="Arial" w:cs="Arial" w:eastAsia="Arial" w:hAnsi="Arial"/>
          <w:sz w:val="13"/>
          <w:szCs w:val="13"/>
          <w:color w:val="auto"/>
        </w:rPr>
        <w:t>Effective September 30, 2021, the Company utilized interest rate swaps, inclusive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 See Note 10, “Interest Rate Swaps” for further disclosure related to the Company’s interest rate swaps.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November 26, 2019,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Facility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9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June 30, 2020, the Company and the Operating Partnership executed the first amendment to the Credit Facility Credit Agreement whereby the tangible net worth covenant was adjusted to be more reflective of market terms.</w:t>
      </w:r>
    </w:p>
    <w:p>
      <w:pPr>
        <w:spacing w:after="0" w:line="12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October 16, 2020, the Company and the Operating Partnership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May 19, 2021, the Company and the Operating Partnership executed the third amendment to the Credit Facility (the “Third Amendment”). Among other things, the Third Amendment revised the Credit Facility Credit Agreement to provide that as of the last day of each fiscal quarter, the Operating Partnership shall not permit the ratio of Unsecured Indebtedness to Borrowing Base Value (as defined in the Credit Facility Credit Agreement) to be greater than 0.60 to 1:00. Prior to the Third Amendment, the Credit Facility Credit Agreement provided that as of the last day of each fiscal quarter, the Operating Partnership could not permit the ratio of Total Indebtedness to Total Asset Value (as defined in the Credit Facility Credit Agreement) to be greater than 0.60 to 1:00.</w:t>
      </w:r>
    </w:p>
    <w:p>
      <w:pPr>
        <w:spacing w:after="0" w:line="17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Pursuant to the Credit Facility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Facility Credit Agreement. The Credit Facility also accrues a fee of 15 to 25 basis points for any unused portion of the borrowing capacity based on whether the unused portion is greater or less than 50% of the total borrowing capacity.</w:t>
      </w:r>
    </w:p>
    <w:p>
      <w:pPr>
        <w:spacing w:after="0" w:line="192" w:lineRule="exact"/>
        <w:rPr>
          <w:sz w:val="20"/>
          <w:szCs w:val="20"/>
          <w:color w:val="auto"/>
        </w:rPr>
      </w:pPr>
    </w:p>
    <w:p>
      <w:pPr>
        <w:jc w:val="both"/>
        <w:ind w:left="60" w:right="59" w:firstLine="379"/>
        <w:spacing w:after="0" w:line="254" w:lineRule="auto"/>
        <w:rPr>
          <w:sz w:val="20"/>
          <w:szCs w:val="20"/>
          <w:color w:val="auto"/>
        </w:rPr>
      </w:pPr>
      <w:r>
        <w:rPr>
          <w:rFonts w:ascii="Arial" w:cs="Arial" w:eastAsia="Arial" w:hAnsi="Arial"/>
          <w:sz w:val="18"/>
          <w:szCs w:val="18"/>
          <w:color w:val="auto"/>
        </w:rPr>
        <w:t>The Operating Partnership is subject to customary restrictive covenants under the Credit Facility Credit Agreement, the 2026 Term Loan Credit Agreement (hereinafter defined), and the 2027 Term Loan Credit Agreement (hereinafter defined), collectively referred to herein as the “Credit Agreements”, including, but not limited to, limitations on the Operating Partnership’s ability to: (a) incur indebtedness; (b) make certain investments; (c) incur certain liens; (d) engage in certain affiliate transactions; and (e) engage in certain major transactions such as mergers. The Credit Agreements also contain financial covenants covering the Operating Partnership, including but not limited to, tangible net worth and fixed charge coverage ratios.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2021, the current commitment level under the Credit Facility was $150.0 million and the Company had an outstanding balance of $99.0 million.</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2026 Term Loan. </w:t>
      </w:r>
      <w:r>
        <w:rPr>
          <w:rFonts w:ascii="Arial" w:cs="Arial" w:eastAsia="Arial" w:hAnsi="Arial"/>
          <w:sz w:val="16"/>
          <w:szCs w:val="16"/>
          <w:color w:val="auto"/>
        </w:rPr>
        <w:t>On May 21, 2021, the Operating Partnership, the Company and certain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credit agreement (the “2026 Term Loan Credit Agreement”) for a term loan (the “2026 Term Loan”) in an aggregate principal amount of $60.0 million with a maturity of five years. Truist Securities, Inc. is acting as sole lead arranger and sole book runner, with Truist Bank, N.A. as administrative agent. Truist Bank, N.A., Bank of Montreal, Raymond James Bank, N.A. and Stifel Bank are lenders under the 2026 Term Loan. In addition, the Operating Partnership may request up to three incremental term loan commitments in an aggregate amount not to exceed $100.0 million.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2027 Term Loan. </w:t>
      </w:r>
      <w:r>
        <w:rPr>
          <w:rFonts w:ascii="Arial" w:cs="Arial" w:eastAsia="Arial" w:hAnsi="Arial"/>
          <w:sz w:val="16"/>
          <w:szCs w:val="16"/>
          <w:color w:val="auto"/>
        </w:rPr>
        <w:t>On September 30, 2021, the Operating Partnership, the Company and certain subsidiaries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a credit agreement (the “2027 Term Loan Credit Agreement”) for a term loan (the “2027 Term Loan”) in an aggregate principal amount of $80.0 million (the “Term Commitment”) maturing in January 2027. KeyBanc Capital Markets Inc., Regions Capital Markets, and U.S. Bank National Association acted as joint lead arrangers, with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KeyBanc Capital Markets Inc. as sole book runner, and KeyBank National Association as administrative agent. KeyBank National Association, Regions Bank, U.S. Bank National Association, Bank of Montreal, Raymond James Bank, and The Huntington National Bank are lenders under the 2027 Term Loan. In addition, the Operating Partnership may request up to three incremental term loan commitments in an aggregate amount, together with the Term Commitment, not to exceed $200.0 million.</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Mortgage Notes Payable. </w:t>
      </w:r>
      <w:r>
        <w:rPr>
          <w:rFonts w:ascii="Arial" w:cs="Arial" w:eastAsia="Arial" w:hAnsi="Arial"/>
          <w:sz w:val="16"/>
          <w:szCs w:val="16"/>
          <w:color w:val="auto"/>
        </w:rPr>
        <w:t>On June 30, 2021, in connection with the acquisition of six net lease properties from CTO</w:t>
      </w:r>
      <w:r>
        <w:rPr>
          <w:rFonts w:ascii="Arial" w:cs="Arial" w:eastAsia="Arial" w:hAnsi="Arial"/>
          <w:sz w:val="16"/>
          <w:szCs w:val="16"/>
          <w:i w:val="1"/>
          <w:iCs w:val="1"/>
          <w:color w:val="auto"/>
        </w:rPr>
        <w:t xml:space="preserve"> </w:t>
      </w:r>
      <w:r>
        <w:rPr>
          <w:rFonts w:ascii="Arial" w:cs="Arial" w:eastAsia="Arial" w:hAnsi="Arial"/>
          <w:sz w:val="16"/>
          <w:szCs w:val="16"/>
          <w:color w:val="auto"/>
        </w:rPr>
        <w:t>(the “CMBS Portfolio”), the Company assumed an existing $30.0 million secured mortgage, which bears interest at a fixed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December 31, 2021 and December 31, 2020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204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7"/>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9"/>
              </w:rPr>
              <w:t>Due Within</w:t>
            </w:r>
          </w:p>
        </w:tc>
      </w:tr>
      <w:tr>
        <w:trPr>
          <w:trHeight w:val="234"/>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One Year</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Mortgage Note Payable – CMBS Portfolio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Payments applicable to reduction of principal amounts as of December 31, 2021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99,000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2027 and Thereafter</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r>
      <w:tr>
        <w:trPr>
          <w:trHeight w:val="20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 of long-term debt as of December 31,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0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267,740</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28" w:lineRule="auto"/>
        <w:rPr>
          <w:sz w:val="20"/>
          <w:szCs w:val="20"/>
          <w:color w:val="auto"/>
        </w:rPr>
      </w:pPr>
      <w:r>
        <w:rPr>
          <w:rFonts w:ascii="Arial" w:cs="Arial" w:eastAsia="Arial" w:hAnsi="Arial"/>
          <w:sz w:val="18"/>
          <w:szCs w:val="18"/>
          <w:color w:val="auto"/>
        </w:rPr>
        <w:t>In addition to the $1.3 million of financing costs, net of accumulated amortization included in the table above, as of December 31, 2021,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and combined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324"/>
        <w:spacing w:after="0" w:line="263" w:lineRule="auto"/>
        <w:rPr>
          <w:sz w:val="20"/>
          <w:szCs w:val="20"/>
          <w:color w:val="auto"/>
        </w:rPr>
      </w:pPr>
      <w:r>
        <w:rPr>
          <w:rFonts w:ascii="Arial" w:cs="Arial" w:eastAsia="Arial" w:hAnsi="Arial"/>
          <w:sz w:val="18"/>
          <w:szCs w:val="18"/>
          <w:color w:val="auto"/>
        </w:rPr>
        <w:t>The following table reflects a summary of interest expense incurred and paid during the years ended December 31, 2021 and 2020, the period from November 26, 2019 to December 31, 2019, and the Predecessor period from January 1, 2019 to November 25, 2019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 Period</w:t>
            </w:r>
          </w:p>
        </w:tc>
        <w:tc>
          <w:tcPr>
            <w:tcW w:w="8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 Year</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from November</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26, 2019 to</w:t>
            </w:r>
          </w:p>
        </w:tc>
        <w:tc>
          <w:tcPr>
            <w:tcW w:w="8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2019 to</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r>
      <w:tr>
        <w:trPr>
          <w:trHeight w:val="196"/>
        </w:trPr>
        <w:tc>
          <w:tcPr>
            <w:tcW w:w="3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85"/>
              </w:rPr>
              <w:t>Predecessor</w:t>
            </w: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2"/>
        </w:trPr>
        <w:tc>
          <w:tcPr>
            <w:tcW w:w="34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 Interest Expense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1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December 31, 2021.</w:t>
      </w:r>
    </w:p>
    <w:p>
      <w:pPr>
        <w:spacing w:after="0" w:line="329"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INTEREST RATE SWAPS</w:t>
      </w:r>
    </w:p>
    <w:p>
      <w:pPr>
        <w:spacing w:after="0" w:line="229" w:lineRule="exact"/>
        <w:rPr>
          <w:sz w:val="20"/>
          <w:szCs w:val="20"/>
          <w:color w:val="auto"/>
        </w:rPr>
      </w:pPr>
    </w:p>
    <w:p>
      <w:pPr>
        <w:jc w:val="both"/>
        <w:ind w:left="60" w:right="60" w:firstLine="324"/>
        <w:spacing w:after="0" w:line="273" w:lineRule="auto"/>
        <w:rPr>
          <w:sz w:val="20"/>
          <w:szCs w:val="20"/>
          <w:color w:val="auto"/>
        </w:rPr>
      </w:pPr>
      <w:r>
        <w:rPr>
          <w:rFonts w:ascii="Arial" w:cs="Arial" w:eastAsia="Arial" w:hAnsi="Arial"/>
          <w:sz w:val="17"/>
          <w:szCs w:val="17"/>
          <w:color w:val="auto"/>
        </w:rPr>
        <w:t>The Company has entered into interest rate swap agreements to hedge against changes in future cash flows resulting from fluctuating interest rates related to the below noted borrowings. The interest rate agreements were 100% effective during the year ended December 31, 2021.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Effective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Maturity</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Fair Value as of</w:t>
            </w:r>
          </w:p>
        </w:tc>
      </w:tr>
      <w:tr>
        <w:trPr>
          <w:trHeight w:val="213"/>
        </w:trPr>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rPr>
              <w:t>Hedged Item</w:t>
            </w:r>
          </w:p>
        </w:tc>
        <w:tc>
          <w:tcPr>
            <w:tcW w:w="1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Date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2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w w:val="90"/>
              </w:rPr>
              <w:t>December 31, 2021</w:t>
            </w:r>
          </w:p>
        </w:tc>
      </w:tr>
      <w:tr>
        <w:trPr>
          <w:trHeight w:val="199"/>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1280" w:type="dxa"/>
            <w:vAlign w:val="bottom"/>
            <w:tcBorders>
              <w:top w:val="single" w:sz="8" w:color="auto"/>
            </w:tcBorders>
            <w:shd w:val="clear" w:color="auto" w:fill="CCEEFF"/>
          </w:tcPr>
          <w:p>
            <w:pPr>
              <w:ind w:left="20"/>
              <w:spacing w:after="0" w:line="199"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5/21/2021</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5/21/2026</w:t>
            </w:r>
          </w:p>
        </w:tc>
        <w:tc>
          <w:tcPr>
            <w:tcW w:w="16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0.81%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14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9/30/2021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11/26/2024</w:t>
            </w:r>
          </w:p>
        </w:tc>
        <w:tc>
          <w:tcPr>
            <w:tcW w:w="160" w:type="dxa"/>
            <w:vAlign w:val="bottom"/>
          </w:tcPr>
          <w:p>
            <w:pPr>
              <w:spacing w:after="0"/>
              <w:rPr>
                <w:sz w:val="17"/>
                <w:szCs w:val="17"/>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0.53%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14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11/26/2024</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1/31/2027</w:t>
            </w:r>
          </w:p>
        </w:tc>
        <w:tc>
          <w:tcPr>
            <w:tcW w:w="16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1.60%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115"/>
        </w:trPr>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r>
    </w:tbl>
    <w:p>
      <w:pPr>
        <w:spacing w:after="0" w:line="62" w:lineRule="exact"/>
        <w:rPr>
          <w:sz w:val="20"/>
          <w:szCs w:val="20"/>
          <w:color w:val="auto"/>
        </w:rPr>
      </w:pPr>
    </w:p>
    <w:p>
      <w:pPr>
        <w:ind w:left="380" w:right="80" w:hanging="330"/>
        <w:spacing w:after="0" w:line="230"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Effective May 21, 2021, the Company utilized interest rate swaps to fix LIBOR and achieve a weighted average fixed interest rate of 0.81% plus the applicable spread on the $60.0 million 2026 Term Loan balance.</w:t>
      </w:r>
    </w:p>
    <w:p>
      <w:pPr>
        <w:jc w:val="both"/>
        <w:ind w:left="380" w:right="80" w:hanging="330"/>
        <w:spacing w:after="0" w:line="221"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balance.</w:t>
      </w:r>
    </w:p>
    <w:p>
      <w:pPr>
        <w:ind w:left="380" w:right="80" w:hanging="330"/>
        <w:spacing w:after="0" w:line="237"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The interest rate swap agreement hedges the $80.0 million 2027 Term Loan balance under different terms and commences concurrent to the interest rate agreements maturing on November 26, 2024.</w:t>
      </w:r>
    </w:p>
    <w:p>
      <w:pPr>
        <w:spacing w:after="0" w:line="183"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11.</w:t>
        <w:tab/>
        <w:t>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98" w:lineRule="exact"/>
        <w:rPr>
          <w:sz w:val="20"/>
          <w:szCs w:val="20"/>
          <w:color w:val="auto"/>
        </w:rPr>
      </w:pPr>
    </w:p>
    <w:p>
      <w:pPr>
        <w:jc w:val="both"/>
        <w:ind w:left="60" w:right="60"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FOLLOW-ON PUBLIC OFFERING</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of December 31, 2021, CTO holds, directly and indirectly, a 9.3% noncontrolling ownership interest in the Operating Partnership as a result of 1,223,854 OP Units issued to CTO at the time of the Company’s Formation Transactions, as further described in Note 1, “Business and Organization.” An additional 3.6% noncontrolling ownership interest is held by an unrelated third party in connection with the issuance of 479,640 OP Units valued at $9.0 million in the aggregate, or $18.85 per unit. The issuance of 479,640 OP Units includes (i) 424,951 OP Units issued as partial consideration for the portfolio of nine net lease properties acquired on June 30, 2021 and (ii) 54,689 OP Units issued in connection with the acquisition of one net lease property on July 12,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years ended December 31, 2021, 2020, and 2019, the Company declared and paid cash dividends on its common stock and OP Units of $1.015 per share, $0.820 per share, and $0.058 per share, respectively. The dividends paid on the Company’s common stock and OP Units for the year ended December 31, 2019 represent the initial stub period of the Company’s operations from November 26, 2019 to December 31, 2019.</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PREDECESSOR EQUITY</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Predecessor equity represents net contributions from and distributions to CTO.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Net Income (Loss) Attributable to Alpine Income Property Trust, Inc.</w:t>
      </w:r>
    </w:p>
    <w:p>
      <w:pPr>
        <w:spacing w:after="0" w:line="197" w:lineRule="exact"/>
        <w:rPr>
          <w:sz w:val="20"/>
          <w:szCs w:val="20"/>
          <w:color w:val="auto"/>
        </w:rPr>
      </w:pPr>
    </w:p>
    <w:p>
      <w:pPr>
        <w:ind w:left="60" w:right="180"/>
        <w:spacing w:after="0" w:line="258" w:lineRule="auto"/>
        <w:rPr>
          <w:sz w:val="20"/>
          <w:szCs w:val="20"/>
          <w:color w:val="auto"/>
        </w:rPr>
      </w:pPr>
      <w:r>
        <w:rPr>
          <w:rFonts w:ascii="Arial" w:cs="Arial" w:eastAsia="Arial" w:hAnsi="Arial"/>
          <w:sz w:val="18"/>
          <w:szCs w:val="18"/>
          <w:color w:val="auto"/>
        </w:rPr>
        <w:t>Weighted Average Number of Common Shares Outstanding</w:t>
      </w:r>
    </w:p>
    <w:p>
      <w:pPr>
        <w:spacing w:after="0" w:line="1" w:lineRule="exact"/>
        <w:rPr>
          <w:sz w:val="20"/>
          <w:szCs w:val="20"/>
          <w:color w:val="auto"/>
        </w:rPr>
      </w:pPr>
    </w:p>
    <w:p>
      <w:pPr>
        <w:ind w:left="60" w:right="180"/>
        <w:spacing w:after="0" w:line="218" w:lineRule="auto"/>
        <w:rPr>
          <w:sz w:val="20"/>
          <w:szCs w:val="20"/>
          <w:color w:val="auto"/>
        </w:rPr>
      </w:pPr>
      <w:r>
        <w:rPr>
          <w:rFonts w:ascii="Arial" w:cs="Arial" w:eastAsia="Arial" w:hAnsi="Arial"/>
          <w:sz w:val="18"/>
          <w:szCs w:val="18"/>
          <w:color w:val="auto"/>
        </w:rPr>
        <w:t xml:space="preserve">Weighted Average Number of Common Shares Applicable to OP Units using Treasury Stock Method </w:t>
      </w:r>
      <w:r>
        <w:rPr>
          <w:rFonts w:ascii="Arial" w:cs="Arial" w:eastAsia="Arial" w:hAnsi="Arial"/>
          <w:sz w:val="26"/>
          <w:szCs w:val="26"/>
          <w:color w:val="auto"/>
          <w:vertAlign w:val="superscript"/>
        </w:rPr>
        <w:t>(1)</w:t>
      </w:r>
    </w:p>
    <w:p>
      <w:pPr>
        <w:spacing w:after="0" w:line="2" w:lineRule="exact"/>
        <w:rPr>
          <w:sz w:val="20"/>
          <w:szCs w:val="20"/>
          <w:color w:val="auto"/>
        </w:rPr>
      </w:pPr>
    </w:p>
    <w:p>
      <w:pPr>
        <w:ind w:left="60" w:right="120"/>
        <w:spacing w:after="0" w:line="258" w:lineRule="auto"/>
        <w:rPr>
          <w:sz w:val="20"/>
          <w:szCs w:val="20"/>
          <w:color w:val="auto"/>
        </w:rPr>
      </w:pPr>
      <w:r>
        <w:rPr>
          <w:rFonts w:ascii="Arial" w:cs="Arial" w:eastAsia="Arial" w:hAnsi="Arial"/>
          <w:sz w:val="18"/>
          <w:szCs w:val="18"/>
          <w:color w:val="auto"/>
        </w:rPr>
        <w:t>Total Shares Applicable to Diluted Earnings per Share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 Common Share Data:</w:t>
      </w:r>
    </w:p>
    <w:p>
      <w:pPr>
        <w:spacing w:after="0" w:line="27" w:lineRule="exact"/>
        <w:rPr>
          <w:sz w:val="20"/>
          <w:szCs w:val="20"/>
          <w:color w:val="auto"/>
        </w:rPr>
      </w:pPr>
    </w:p>
    <w:p>
      <w:pPr>
        <w:ind w:left="60"/>
        <w:spacing w:after="0" w:line="258" w:lineRule="auto"/>
        <w:rPr>
          <w:sz w:val="20"/>
          <w:szCs w:val="20"/>
          <w:color w:val="auto"/>
        </w:rPr>
      </w:pPr>
      <w:r>
        <w:rPr>
          <w:rFonts w:ascii="Arial" w:cs="Arial" w:eastAsia="Arial" w:hAnsi="Arial"/>
          <w:sz w:val="18"/>
          <w:szCs w:val="18"/>
          <w:color w:val="auto"/>
        </w:rPr>
        <w:t>Net Income (Loss) Attributable to Alpine Income Property Trust, Inc.</w:t>
      </w:r>
    </w:p>
    <w:p>
      <w:pPr>
        <w:ind w:left="26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1414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 Year</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November 26,</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from January</w:t>
            </w:r>
          </w:p>
        </w:tc>
      </w:tr>
      <w:tr>
        <w:trPr>
          <w:trHeight w:val="216"/>
        </w:trPr>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2019 to</w:t>
            </w: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1, 2019 to</w:t>
            </w:r>
          </w:p>
        </w:tc>
      </w:tr>
      <w:tr>
        <w:trPr>
          <w:trHeight w:val="216"/>
        </w:trPr>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25,</w:t>
            </w:r>
          </w:p>
        </w:tc>
      </w:tr>
      <w:tr>
        <w:trPr>
          <w:trHeight w:val="234"/>
        </w:trPr>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The Company</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Predecessor</w:t>
            </w:r>
          </w:p>
        </w:tc>
      </w:tr>
      <w:tr>
        <w:trPr>
          <w:trHeight w:val="39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3,631</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9,781,066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7,588,349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7,902,737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648"/>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1,465,161</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98"/>
        </w:trPr>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11,246,227</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8,812,203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9,126,591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-1405255</wp:posOffset>
            </wp:positionV>
            <wp:extent cx="564896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-976630</wp:posOffset>
            </wp:positionV>
            <wp:extent cx="564896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-290830</wp:posOffset>
            </wp:positionV>
            <wp:extent cx="564896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137160</wp:posOffset>
            </wp:positionV>
            <wp:extent cx="564896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ind w:left="480"/>
              <w:spacing w:after="0"/>
              <w:rPr>
                <w:sz w:val="20"/>
                <w:szCs w:val="20"/>
                <w:color w:val="auto"/>
              </w:rPr>
            </w:pPr>
            <w:r>
              <w:rPr>
                <w:rFonts w:ascii="Arial" w:cs="Arial" w:eastAsia="Arial" w:hAnsi="Arial"/>
                <w:sz w:val="18"/>
                <w:szCs w:val="18"/>
                <w:color w:val="auto"/>
                <w:w w:val="99"/>
              </w:rPr>
              <w:t>N/A</w:t>
            </w:r>
          </w:p>
        </w:tc>
      </w:tr>
      <w:tr>
        <w:trPr>
          <w:trHeight w:val="230"/>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ind w:left="480"/>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-290830</wp:posOffset>
            </wp:positionV>
            <wp:extent cx="564896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620" w:space="340"/>
            <w:col w:w="5059"/>
          </w:cols>
          <w:pgMar w:left="1440" w:top="517" w:right="1440" w:bottom="1440" w:gutter="0" w:footer="0" w:header="0"/>
          <w:type w:val="continuous"/>
        </w:sectPr>
      </w:pPr>
    </w:p>
    <w:p>
      <w:pPr>
        <w:jc w:val="both"/>
        <w:ind w:left="380" w:right="79" w:hanging="330"/>
        <w:spacing w:after="0" w:line="238" w:lineRule="auto"/>
        <w:tabs>
          <w:tab w:leader="none" w:pos="3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ten net lease properties during the year ended December 31, 2021 (see Note 11, “Equity”).</w:t>
      </w:r>
    </w:p>
    <w:p>
      <w:pPr>
        <w:spacing w:after="0" w:line="26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SHARE REPURCHASES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year ended December 31, 2021.</w:t>
      </w:r>
    </w:p>
    <w:p>
      <w:pPr>
        <w:spacing w:after="0" w:line="18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connection with the closing of the IPO, on November 26, 2019, the Company granted restricted shares of common stock to each of the non-employee directors under the Individual Plan. Each of the non-employee directors received an award of 2,000 restricted shares of common stock on November 26, 2019. The restricted shares will vest in substantially equal installments on each of the first, second, and third anniversaries of the grant date. As of December 31, 2021, the first and second increments of this award had vested, leaving 2,668 shares unvested. In addition, the restricted shares are subject to a holding period beginning on the grant date and ending on the date that the grantee ceases to serve as a member of the</w:t>
      </w:r>
    </w:p>
    <w:p>
      <w:pPr>
        <w:sectPr>
          <w:pgSz w:w="11900" w:h="16838" w:orient="portrait"/>
          <w:cols w:equalWidth="0" w:num="1">
            <w:col w:w="9019"/>
          </w:cols>
          <w:pgMar w:left="1440" w:top="517"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Board (the “Holding Period”). During the Holding Period, the restricted shares may not be sold, pledged or otherwise transferred by the grantee. Except for the grant of these 8,000 restricted shares of common stock,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The Company recognized stock compensation expense totaling $0.1 million during each of the years ended December 31, 2021 and 2020. During the period from November 26, 2019 to December 31, 2019, the Company recognized stock compensation expense totaling less than $0.1 million.</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 summary of activity for these awards during the years ended December 31, 2021 and 2020, and during the period from November 26, 2019 to December 31, 2019, is presented below:</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Wtd. Avg. Fair Value</w:t>
            </w:r>
          </w:p>
        </w:tc>
      </w:tr>
      <w:tr>
        <w:trPr>
          <w:trHeight w:val="209"/>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November 25, 2019</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Non-Vested at December 31, 2019</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(2,664)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Non-Vested at December 31, 2021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2021, there was less than $0.1 million of unrecognized compensation cost related to the three-year vest restricted shares, which will be recognized over a remaining period of 0.9 years.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year ended December 31, 2021, the expense recognized for the value of the Company’s common stock received by non-employee directors totaled $0.3 million, or 14,049 shares, of which 3,453 shares were issued on April 1, 2021, 3,525 shares were issued on July 1, 2021, 3,594 shares were issued on October 1, 2021, and 3,477 shares were issued on January 3, 2022. During the year ended December 31, 2020, the expense recognized for the value of the Company’s common stock received by non-employee directors totaled $0.2 million, or 14,572 shares, of which 4,098 shares were issued on April 1, 2020, 3,414 shares were issued on July 1, 2020, 3,474 shares were issued on October 1, 2020, and 3,586 shares were issued on January 1, 2021. During the period from November 26, 2019 to December 31, 2019, the expense recognized for the value of the Company’s common stock received by non-employee directors totaled less than $0.1 million, or 1,269 shares, which were issued on January 2, 2020.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Stock compensation expense for the years ended December 31, 2021 and 2020, the period from November 26, 2019 to December 31, 2019, and the Predecessor period from January 1, 2019 to November 25, 2019 is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Period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For the Year</w:t>
            </w: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from November</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from January 1,</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26, 2019 to</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2019 to</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November 25,</w:t>
            </w: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196"/>
        </w:trPr>
        <w:tc>
          <w:tcPr>
            <w:tcW w:w="22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2"/>
              </w:rPr>
              <w:t>The Company</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5"/>
              </w:rPr>
              <w:t>Predecessor</w:t>
            </w:r>
          </w:p>
        </w:tc>
      </w:tr>
      <w:tr>
        <w:trPr>
          <w:trHeight w:val="182"/>
        </w:trPr>
        <w:tc>
          <w:tcPr>
            <w:tcW w:w="33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3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Retainers Paid in Stock</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Allocation From CTO/Predecessor</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9"/>
        </w:trPr>
        <w:tc>
          <w:tcPr>
            <w:tcW w:w="3380" w:type="dxa"/>
            <w:vAlign w:val="bottom"/>
            <w:gridSpan w:val="2"/>
          </w:tcPr>
          <w:p>
            <w:pPr>
              <w:ind w:left="20"/>
              <w:spacing w:after="0" w:line="210" w:lineRule="exact"/>
              <w:rPr>
                <w:sz w:val="20"/>
                <w:szCs w:val="20"/>
                <w:color w:val="auto"/>
              </w:rPr>
            </w:pPr>
            <w:r>
              <w:rPr>
                <w:rFonts w:ascii="Arial" w:cs="Arial" w:eastAsia="Arial" w:hAnsi="Arial"/>
                <w:sz w:val="17"/>
                <w:szCs w:val="17"/>
                <w:color w:val="auto"/>
              </w:rPr>
              <w:t xml:space="preserve">Total Stock Compensation Expense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62" w:lineRule="exact"/>
        <w:rPr>
          <w:sz w:val="20"/>
          <w:szCs w:val="20"/>
          <w:color w:val="auto"/>
        </w:rPr>
      </w:pPr>
    </w:p>
    <w:p>
      <w:pPr>
        <w:jc w:val="both"/>
        <w:ind w:left="380" w:right="79" w:hanging="330"/>
        <w:spacing w:after="0" w:line="238" w:lineRule="auto"/>
        <w:tabs>
          <w:tab w:leader="none" w:pos="3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Director retainers are issued through additional paid in capital in arrears. Therefore, the change in additional paid in capital during the years ended December 31, 2021 and 2020 reported on the consolidated statements of stockholders’ equity does not agree to the total non-cash compensation reported on the consolidated statements of cash flows.</w:t>
      </w:r>
    </w:p>
    <w:p>
      <w:pPr>
        <w:spacing w:after="0" w:line="187"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For the period prior to November 26, 2019, the Predecessor’s stock-based compensation expense, included in general and administrative expenses in the combined statements of operations for the period from January 1, 2019 to November 25, 2019, reflected an allocation of a portion of the stock compensation expense of CTO.</w:t>
      </w:r>
    </w:p>
    <w:p>
      <w:pPr>
        <w:spacing w:after="0" w:line="16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15.</w:t>
        <w:tab/>
        <w:t>RELATED PARTY MANAGEMENT COMPANY</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externally managed by the Manager, a wholly owned subsidiary of CTO. During the year ended December 31, 2021, CTO purchased 8,088 shares of PINE common stock in the open market for $0.1 million, or an average price per share of $17.65. As of December 31, 2021, CTO owns, in the aggregate, 1,223,854 OP Units and 823,878 shares of PINE common stock, inclusive of (i) 394,737 shares of common stock totaling $7.5 million issued in connection with the CTO Private Placement, (ii) 421,053 shares of common stock totaling $8.0 million issued in connection with the IPO, and (iii) 8,088 shares of common stock totaling $0.1 million purchased by CTO. The aggregate 1,223,854 OP Units and 823,878 shares of PINE common stock held by CTO represent an investment totaling $41.0 million, or 15.6% of PINE’s outstanding equity, as of December 31,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2021 or 2020.</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incurred management fee expenses totaling $3.2 million, $2.6 million, and $0.3 million during the years ended December 31, 2021 and 2020, and for the period from November 26, 2019 to December 31, 2019, respectively. The Company also paid dividends on the common stock and OP Units owned by affiliates of the Manager in the amount of $2.1 million, $1.7 million, and $0.1 million for the years ended December, 31, 2021 and 2020, and for the period from November 26, 2019 to December 31, 2019, respectively. There were no Manager dividends or management fees applicable to the Predecessor period from January 1, 2019 to November 25, 2019.</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from the Company to CTO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Included in accrued expenses, see Note 8, “Accounts Payable, Accrued Expenses, and Other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48" w:lineRule="auto"/>
        <w:rPr>
          <w:sz w:val="20"/>
          <w:szCs w:val="20"/>
          <w:color w:val="auto"/>
        </w:rPr>
      </w:pPr>
      <w:r>
        <w:rPr>
          <w:rFonts w:ascii="Arial" w:cs="Arial" w:eastAsia="Arial" w:hAnsi="Arial"/>
          <w:sz w:val="18"/>
          <w:szCs w:val="18"/>
          <w:color w:val="auto"/>
        </w:rPr>
        <w:t>On April 6, 2021, the Company entered into a purchase and sale agreement with a certain subsidiary of CTO for the purchase of one net lease property (the “Single Property”) for $11.5 million. The acquisition of the Single Property was completed on April 23, 2021.</w:t>
      </w:r>
    </w:p>
    <w:p>
      <w:pPr>
        <w:spacing w:after="0" w:line="168"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On April 2, 2021, the Company entered into a separate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74"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Subsequent to December 31, 2021, on January 5, 2022, the Company entered into a purchase and sale agreement with a certain subsidiary of CTO for the purchase of one net lease property. The terms of the purchase and sale agreement provided a total purchase price of $6.9 million, which acquisition was completed on January 7, 2022 (see Note 17, “Subsequent Events”).</w:t>
      </w:r>
    </w:p>
    <w:p>
      <w:pPr>
        <w:spacing w:after="0" w:line="174" w:lineRule="exact"/>
        <w:rPr>
          <w:sz w:val="20"/>
          <w:szCs w:val="20"/>
          <w:color w:val="auto"/>
        </w:rPr>
      </w:pPr>
    </w:p>
    <w:p>
      <w:pPr>
        <w:jc w:val="both"/>
        <w:ind w:left="60" w:right="79" w:firstLine="324"/>
        <w:spacing w:after="0" w:line="261" w:lineRule="auto"/>
        <w:rPr>
          <w:sz w:val="20"/>
          <w:szCs w:val="20"/>
          <w:color w:val="auto"/>
        </w:rPr>
      </w:pPr>
      <w:r>
        <w:rPr>
          <w:rFonts w:ascii="Arial" w:cs="Arial" w:eastAsia="Arial" w:hAnsi="Arial"/>
          <w:sz w:val="18"/>
          <w:szCs w:val="18"/>
          <w:color w:val="auto"/>
        </w:rPr>
        <w:t>The entry into the purchase and sale agreements, and subsequent completion of acquisitions, are a result of the Company exercising its right to purchase the aforementioned properties under the ROFO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5" w:lineRule="exact"/>
        <w:rPr>
          <w:sz w:val="20"/>
          <w:szCs w:val="20"/>
          <w:color w:val="auto"/>
        </w:rPr>
      </w:pPr>
    </w:p>
    <w:p>
      <w:pPr>
        <w:jc w:val="both"/>
        <w:ind w:left="60" w:right="59" w:firstLine="383"/>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7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16.</w:t>
        <w:tab/>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COMMITMENTS – EXPENDITURES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 Company had no commitments related to capital expenditures.</w:t>
      </w:r>
    </w:p>
    <w:p>
      <w:pPr>
        <w:spacing w:after="0" w:line="235"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reviewed all subsequent events and transactions through February 10, 2022, the date the consolidated and combined financial statements were issued.</w:t>
      </w:r>
    </w:p>
    <w:p>
      <w:pPr>
        <w:spacing w:after="0" w:line="130" w:lineRule="exact"/>
        <w:rPr>
          <w:sz w:val="20"/>
          <w:szCs w:val="20"/>
          <w:color w:val="auto"/>
        </w:rPr>
      </w:pPr>
    </w:p>
    <w:p>
      <w:pPr>
        <w:jc w:val="both"/>
        <w:ind w:left="60" w:right="79" w:firstLine="324"/>
        <w:spacing w:after="0" w:line="262" w:lineRule="auto"/>
        <w:rPr>
          <w:sz w:val="20"/>
          <w:szCs w:val="20"/>
          <w:color w:val="auto"/>
        </w:rPr>
      </w:pPr>
      <w:r>
        <w:rPr>
          <w:rFonts w:ascii="Arial" w:cs="Arial" w:eastAsia="Arial" w:hAnsi="Arial"/>
          <w:sz w:val="17"/>
          <w:szCs w:val="17"/>
          <w:color w:val="auto"/>
        </w:rPr>
        <w:t>On January 5, 2022, the Company entered into a purchase and sale agreement with a certain subsidiary of CTO for the purchase of one net lease property located in Oceanside, New York, occupied by Party City. The terms of the purchase and sale agreement provided a total purchase price of $6.9 million. The acquisition was completed on January 7, 2022. As of the acquisition date, the property had a remaining lease term of 10.4 years.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is a summary of the material terms of our securities registered under Section 12 of the Securities Exchange Act of 1934, as amended (the “Exchange Act”), as of December 31, 2021, and provisions of our charter and bylaws. The summary is subject to and qualified in its entirety by reference to the charter and bylaws, each of which is incorporated by reference as an exhibit to the Annual Report on Form 10-K of which this exhibit is a part. The following also summarizes certain provisions of the Maryland General Corporation Law (the “MGCL”) and is subject to and qualified in its entirety by reference to the MGCL.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our charter, we are currently authorized to designate and issue up to 500,000,000 shares of common stock, $0.01 par value per share (our “common stock”), and 100,000,000 shares of preferred stock, $0.01 par value per share (our “preferred stock”). A majority of our entire board of directors has the power, without stockholder approval, to amend our charter to increase or decrease the aggregate number of shares of stock or the number of shares of stock of any class or series that we are authorized to issue.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3, 2022, we had 11,671,039 shares of our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charter provides that we have authority to issue up to 500,000,000 shares of common stock. Under Maryland law, stockholders generally are not liable for a corporation’s debts or obligations solely as a result of their status as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Liquidation and Other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Stockholders are entitled to receive distributions when authorized by our board of directors and declared by us out of assets legally available for the payment of dividends. Stockholders are also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including any shares of preferred stock we may issue, and to the provisions of our charter regarding restrictions on ownership and transfer of our stock. See “Restrictions on Ownership and Transfer.”</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common stockholders have no preference, conversion, exchange, sinking fund or redemption rights and have no preemptive rights to subscribe for any of our capital stock. Our charter provides that our stockholders generally have no appraisal rights unless our board of directors determines that appraisal rights will apply to one or more transactions in which our common stockholders would otherwise be entitled to exercise such rights. Subject to our charter restrictions on ownership and transfer of our stock, holders of shares of our common stock have equal dividend, liquidation and other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our charter restrictions on ownership and transfer of our stock and the terms of any other class or series of our stock, each outstanding share of our common stock entitles the holder thereof to one vote on all matters submitted to a vote of stockholders, including the election of directors. Cumulative voting in the election of directors is not permitted. Directors will be elected by a plurality of the votes cast at the meeting in which directors are being elected and at which a quorum is present. This means that the holders of a majority of the outstanding shares of our common stock can effectively elect all of the directors then standing for election, and the holders of the remaining shares will not be able to elect any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Power to Classify and Reclassify Unissued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authorizes our board of directors to reclassify any unissued shares of our common stock into other classes or series of stock, including classes or series of preferred stock, and to establish the designation and number of shares of each such class or series and to set, subject to the provisions of our charter regarding the restrictions on ownership and transfer of our stock, the preferences, conversion or other rights, voting powers, restrictions, limitations as to dividends or other distributions, qualifications and terms and conditions of redemption of each such class or series. Thus, our board of directors could authorize the issuance of shares of common stock or preferred stock with terms and conditions which could have the effect of delaying, deferring or preventing a transaction or a change in control that might involve a premium price for our common stock or that our common stockholders otherwise believe to be in their best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trading symbol “PINE.”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of Our Charter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our charter and bylaws, the number of directors of our company may be established, increased or decreased only by a majority of our entire board of directors but may not be fewer than the minimum number required under the MGCL (which is one) nor, unless our bylaws are amended, more than 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entitled to be cast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MGCL, certain “business combinations” (including a merger, consolidation, statutory share exchange or, in certain circumstances specified under the statute,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w:t>
      </w:r>
    </w:p>
    <w:p>
      <w:pPr>
        <w:spacing w:after="0" w:line="157"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outstanding voting stock;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then-outstanding voting stock of the corporation.</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person is not an interested stockholder under the MGCL if the board of directors approved in advance the transaction by which the person otherwise would have become an interested stockholder. In approving a transaction, the board of directors may provide that its approval is subject to compliance, at or after the time of the approval, with any terms and conditions determined by 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ind w:firstLine="324"/>
        <w:spacing w:after="0" w:line="277" w:lineRule="auto"/>
        <w:rPr>
          <w:sz w:val="20"/>
          <w:szCs w:val="20"/>
          <w:color w:val="auto"/>
        </w:rPr>
      </w:pPr>
      <w:r>
        <w:rPr>
          <w:rFonts w:ascii="Arial" w:cs="Arial" w:eastAsia="Arial" w:hAnsi="Arial"/>
          <w:sz w:val="18"/>
          <w:szCs w:val="18"/>
          <w:color w:val="auto"/>
        </w:rPr>
        <w:t>After such five-year period, any such business combination must be recommended by the board of directors of the corporation and approved by the affirmative vote of at least:</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provisions of the MGCL do not apply, however, to business combinations that are approved or exempted by a corporation’s board of directors prior to the time that the interested stockholder becomes an interested stockholder. As permitted by the MGCL, our board of directors has adopted a resolution exempting any business combination between us and any other person from the provisions of this statute. Consequently, the five-year prohibition and the supermajority vote requirements will not apply to business combinations involving us. As a result, any person will be able to enter into business combinations with us that may not be in the best interests of our stockholders, without compliance with the supermajority vote requirements and other provisions of the statute. However, our board of directors may repeal or modify this resolution at any time in the future, in which case the applicable provisions of the MGCL will become applicable to business combinations between us and interested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MGCL provides that a holder of “control shares” of a Maryland corporation acquired in a “control share acquisition” has no voting rights with respect to those shares except to the extent approved by the affirmative vote of at least two-thirds of the votes entitled to be cast by stockholders entitled to exercise or direct the exercise of the voting power in the election of directors generally but excluding: (1) the person who has made or proposes to make the control share acquisition; (2) any officer of the corporation; or (3) any employee of the corporation who is also a director of the corporation. “Control shares” are voting shares of stock that,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w:t>
      </w:r>
    </w:p>
    <w:p>
      <w:pPr>
        <w:spacing w:after="0" w:line="19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Control shares do not include shares that the acquiring person is then entitled to vote as a result of having previously obtained stockholder approval. A “control share acquisition” means the acquisition, directly or indirectly, of ownership of, or the power to direct the exercise of voting power with respect to, issued and outstanding control shares, subject to certain exceptions.</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person who has made or proposes to make a control share acquisition, upon satisfaction of certain conditions (including an undertaking to pay expenses and making an “acquiring person statement” as described in the MGCL), may compel the board of directors of the company to call a special meeting of stockholders to be held within 50 days of demand to consider the voting rights of the control shares. If no request for a special meeting is made, the corporation may itself present the question at any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0" w:name="page101"/>
    <w:bookmarkEnd w:id="100"/>
    <w:p>
      <w:pPr>
        <w:jc w:val="both"/>
        <w:ind w:firstLine="324"/>
        <w:spacing w:after="0" w:line="271" w:lineRule="auto"/>
        <w:rPr>
          <w:sz w:val="20"/>
          <w:szCs w:val="20"/>
          <w:color w:val="auto"/>
        </w:rPr>
      </w:pPr>
      <w:r>
        <w:rPr>
          <w:rFonts w:ascii="Arial" w:cs="Arial" w:eastAsia="Arial" w:hAnsi="Arial"/>
          <w:sz w:val="17"/>
          <w:szCs w:val="17"/>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if a meeting of stockholders at which the voting rights of such shares are considered and not approved is held, as of the date of such meeting.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contain a provision exempting from the control share acquisition statute any and all control share acquisitions by any person of shares of our stock. There can be no assurance that such provision will not be amended or eliminated at any time in the future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the following five provisions:</w:t>
      </w:r>
    </w:p>
    <w:p>
      <w:pPr>
        <w:spacing w:after="0" w:line="16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a vote of the remaining directors (whether or not they constitute a quorum) and for the remainder of the full term of the class of directors in which the vacancy occurred and until a successor is elected and qualifies;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effective at such time as we are able to make a Subtitle 8 election, vacancies on our board of directors may be filled only by the remaining directors (whether or not they constitute a quorum) and that a director elected by the board of directors to fill a vacancy will serve for the remainder of the full term of the directorship. We have not elected to be subject to any of the other provisions of Subtitle 8, including the provisions that would permit us to classify our board of directors without stockholder approval. Moreover, our charter provides that, without the affirmative vote of a majority of the votes cast on the matter by stockholders entitled to vote generally in the election of directors, we may not elect to be subject to any of these additional provisions of Subtitle 8. Through provisions in our charter and bylaws unrelated to Subtitle 8, we (1) vest in our board of directors the exclusive power to fix the number of directors, (2) require, unless called by our chairman, our chief executive officer, our president or our board of directors, the request of stockholders entitled to cast not less than a majority of all the votes entitled to be cast at the meeting to call a special meeting of stockholders and (3) provide that a director may be removed only for cause and by the affirmative vote of two-thirds of the votes entitled to be cast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Amendments to Our Charter and Bylaws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herein and as provided in the MGCL, amendments to our charter must be advised by our board of directors and approved by the affirmative vote of our stockholders entitled to cast a majority of all of the votes entitled to be cast on the matter. Our board of directors has the power to amend or repeal any provision of our bylaws and to adopt new bylaws. In addition, our stockholders may amend or repeal any provision of our bylaws and adopt new bylaw provisions if any such amendment, repeal or adoption is approved by the affirmative vote of a majority of the votes entitled to be cast on the matter.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our bylaws and pursuant to Maryland law, annual meetings of stockholders will be held each year at a date and at the time and place determined by our board of directors. Special meetings of stockholders may be called by our board of directors, the chairman of our board of directors, our president or our chief executive officer. Additionally, subject to the provisions of our bylaws, special meetings of the stockholders to act on any matter must be called by our secretary upon the written request of stockholders entitled to cast a majority of all the votes entitled to be cast on such matter at such meeting who have requested the special meeting in accordance with the procedures set forth in, and provided the information and certifications required by, our bylaws. Only matters set forth in the notice of the special meeting may be considered and acted upon at such a meeting. Our secretary will inform the requesting stockholders of the reasonably estimated cost of preparing and delivering the notice of meeting (including our proxy materials), and the requesting stockholder must pay such estimated cost before our secretary may prepare and deliver the notice of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to the maximum extent permitted by Maryland law, each of CTO Realty Growth, Inc., a Maryland corporation (“CTO”), its affiliates, each of their representatives, and each of our directors or officers who is also an officer, employee, agent, affiliate or designee of CTO or any of CTO’s affiliates has the right to, and has no duty not to, (x) directly or indirectly engage in the same or similar business activities or lines of business as us, including those deemed to be competing with us, or (y) directly or indirectly do business with any of our clients, customers or suppliers. In the event that CTO or any of its affiliates or employees, or any of their representatives or designees, acquires knowledge of a potential transaction or matter that may be a corporate opportunity for us, CTO, its affiliates and employees and any of their representatives or designees shall have no duty to communicate or present such corporate opportunity to us or any of our affiliates and shall not be liable to us or any of our affiliates, subsidiaries, stockholders or other equity holders for breach of any duty by reason of the fact that CTO or any of its affiliates or employees, or any of their representatives or designees, directly or indirectly, pursues or acquires such opportunity for themselves, directs such opportunity to another person, or does not present such opportunity to us or any of our affiliates; provided, however, that such corporate opportunity is not presented to such person in his or her capacity as a director or officer of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Amendments and Extraordinary Transactions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sell all or substantially all of its assets, convert into another form of entity, engage in a statutory share exchange or engage in similar transactions unless such transaction is declared advisable by the board of directors and approved by the affirmative vote of stockholders entitled to cast at least two-thirds of all of the votes entitled to be cast on the matter unless a lesser percentage (but not less than a majority of the votes entitled to be cast on the matter) is set forth in the corporation’s charter. Our charter provides for approval of these matters by the affirmative vote of stockholders entitled to cast a majority of the votes entitled to be cast on such matter, except that the affirmative vote of stockholders holding at least two-thirds of the shares entitled to vote on such matter is required to amend the provisions of our charter relating to the removal of directors or the vote required to amend the removal provisions. Maryland law also permits a corporation to transfer all or substantially all of its assets without the approval of its stockholders to an entity all of the equity interests of which are owned, directly or indirectly, by the corporation. Because our operating assets may be held by our operating partnership subsidiary or its wholly-owned subsidiaries, these subsidiaries may be able to merge or transfer all or substantially all of their assets without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Advance Notice of Director Nominations and New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bylaws provide that:</w:t>
      </w:r>
    </w:p>
    <w:p>
      <w:pPr>
        <w:spacing w:after="0" w:line="225"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an annual meeting of stockholders, nominations of individuals for election to our board of directors and the proposal of business to be considered by stockholders at the annual meeting may be made only: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our notice of the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record date set by the board of directors for the meeting, at the time of giving of the notice of the meeting and at the time of the annual meeting (and any postponement or adjustment thereof), who is entitled to vote at the meeting in the election of each individual so nominated or on such other business and who has complied with the advance notice procedures set forth in, and provided the information and certifications required by, our bylaws; and</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special meetings of stockholders, only the business specified in our company’s notice of meeting may be brought before the special meeting of stockholders, and nominations of individuals for election to our board of directors may be made only: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provided that the special meeting has been called in accordance with our bylaws for the purpose of electing directors, by any stockholder who is a stockholder of record at the record date set by the board of directors for the special meeting, at the time of giving of the notice required by our bylaws and at the time of the meeting (and any postponement or adjustment thereof), who is entitled to vote at the meeting in the election of each individual so nominated and who has complied with the advance notice provisions set forth in, and provided the information and certifications required by, our bylaws.</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purpose of requiring stockholders to give advance notice of nominations and other proposals is to afford our board of directors and our stockholders the opportunity to consider the qualifications of the proposed nominees or the advisability of the other proposals and, to the extent considered necessary by our board of directors, to inform stockholders and make recommendations regarding the nominations or other proposals. Although our bylaws do not give our board of directors the power to disapprove timely stockholder nominations and proposals, our bylaws may have the effect of precluding a contest for the election of directors or proposals for other action if the proper procedures are not followed, and of discouraging or deterring a third party from conducting a solicitation of proxies to elect its own slate of directors to our board of directors or to approve its own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 of Certain Provisions of Maryland Law and of Our Charter and Bylaws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restrictions on ownership and transfer of our stock discussed below, the supermajority vote required to remove directors, our election to be subject to the provision of Subtitle 8 vesting in our board of directors the exclusive power to fill vacancies on our board of directors, and the advance notice provisions of our bylaws could delay, defer or prevent a transaction or a change of control of our company. Likewise, if our board of directors were to elect to be subject to the business combination provisions of the MGCL or if the provision in our bylaws opting out of the control share acquisition provisions of the MGCL were amended or rescinded, these provisions of the MGCL could have similar anti-takeover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3" w:name="page104"/>
    <w:bookmarkEnd w:id="103"/>
    <w:p>
      <w:pPr>
        <w:jc w:val="both"/>
        <w:ind w:firstLine="324"/>
        <w:spacing w:after="0" w:line="287" w:lineRule="auto"/>
        <w:rPr>
          <w:sz w:val="20"/>
          <w:szCs w:val="20"/>
          <w:color w:val="auto"/>
        </w:rPr>
      </w:pPr>
      <w:r>
        <w:rPr>
          <w:rFonts w:ascii="Arial" w:cs="Arial" w:eastAsia="Arial" w:hAnsi="Arial"/>
          <w:sz w:val="16"/>
          <w:szCs w:val="16"/>
          <w:color w:val="auto"/>
        </w:rPr>
        <w:t>Further, a majority of our entire board of directors has the power to increase or decrease the aggregate number of authorized shares of stock or the number of shares of any class or series of stock that we are authorized to issue, to classify and reclassify any unissued shares of our stock into other classes or series of stock and to authorize us to issue the newly classified shares, as discussed under the captions “Description of Capital Stock—General” and “Description of Capital Stock—Description of Common Stock—Power to Classify and Reclassify Unissued Stock,” and could authorize the issuance of shares of common stock or another class or series of stock, including a class or series of preferred stock, that could have the effect of delaying, deferring or preventing a change in control of us. These actions may be taken without stockholder approval unless such approval is required by applicable law, the terms of any other class or series of our stock or the rules of any stock exchange or automated quotation system on which any of our stock is listed or traded. We believe that the power of our board of directors to increase or decrease the number of authorized shares of stock and to classify or reclassify unissued shares of our common stock or preferred stock and thereafter to cause us to issue such shares of stock will provide us with increased flexibility in structuring possible future financings and acquisitions and in meeting other needs which might arise.</w:t>
      </w:r>
    </w:p>
    <w:p>
      <w:pPr>
        <w:spacing w:after="0" w:line="1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“—Meetings of Stockholders” and “—Advance Notice of Director Nominations and New Business” require stockholders seeking to call a special meeting, nominate an individual for election as a director or propose other business at an annual or special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the MGCL, (b) any derivative action or proceeding brought on our behalf other than actions arising under the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action asserting a claim against us or any of our directors, officers or other employees that is governed by the internal affairs doctrine.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 of Directors and Officers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4" w:name="page105"/>
    <w:bookmarkEnd w:id="104"/>
    <w:p>
      <w:pPr>
        <w:ind w:left="980" w:right="1740" w:hanging="648"/>
        <w:spacing w:after="0" w:line="482" w:lineRule="auto"/>
        <w:tabs>
          <w:tab w:leader="none" w:pos="6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act or omission of the director or officer was material to the matter giving rise to the proceeding and: </w:t>
      </w:r>
      <w:r>
        <w:rPr>
          <w:rFonts w:ascii="Courier New" w:cs="Courier New" w:eastAsia="Courier New" w:hAnsi="Courier New"/>
          <w:sz w:val="18"/>
          <w:szCs w:val="18"/>
          <w:color w:val="auto"/>
        </w:rPr>
        <w:t xml:space="preserve">o </w:t>
      </w:r>
      <w:r>
        <w:rPr>
          <w:rFonts w:ascii="Arial" w:cs="Arial" w:eastAsia="Arial" w:hAnsi="Arial"/>
          <w:sz w:val="18"/>
          <w:szCs w:val="18"/>
          <w:color w:val="auto"/>
        </w:rPr>
        <w:t>was committed in bad faith; or</w:t>
      </w:r>
    </w:p>
    <w:p>
      <w:pPr>
        <w:ind w:left="98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was the result of active and deliberate dishonesty;</w:t>
      </w:r>
    </w:p>
    <w:p>
      <w:pPr>
        <w:spacing w:after="0" w:line="20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However, under the MGCL, a Maryland corporation may not indemnify a director or officer for an adverse judgment in a suit by or on behalf of the corporation or if the director or officer was adjudged liable on the basis that personal benefit was improperly received, unless, in either case, a court orders indemnification and then only for expenses.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MGCL permits a Maryland corporation to advance reasonable expenses to a director or officer upon the corporation’s receipt of:</w:t>
      </w:r>
    </w:p>
    <w:p>
      <w:pPr>
        <w:spacing w:after="0" w:line="170"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director or officer or on the director’s or officer’s behalf to repay the amount paid if it shall ultimately be determined that the standard of conduct has not been met.</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obligates us, to the maximum extent permitted by Maryland law in effect from time to time, to indemnify and to pay or reimburse reasonable expenses in advance of final disposition of a proceeding without requiring a preliminary determination of the director’s or officer’s ultimate entitlement to indemnification to:</w:t>
      </w:r>
    </w:p>
    <w:p>
      <w:pPr>
        <w:spacing w:after="0" w:line="184"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the proceeding by reason of his or her service in that capacity; or</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individual who, while a director or officer of our company and at our request, serves or has served as a director, officer, partner, member, manager, trustee, employee or agent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also permits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that obligate us to indemnify them to the maximum extent permitted by Maryland law as discussed above under “Certain Provisions of Maryland Law and of Our Charter and Bylaws— Limitation of Liability and Indemnification of Directors and Officers.” The indemnification agreements provide that, if a director or executive officer is a party to, or witness in, or is threatened to be made a party to, or witness in, any proceeding by reason of his or her service as a director, officer, employee or agent of our company or as a director, officer, partner, member, manager, fiduciary, employee, agent or trustee of any other foreign or domestic corporation, real estate investment trust, partnership, limited liability company, joint venture, trust, employee benefit plan or other enterprise that he or she is or was serving in such capacity at our request, or the request of our external manager, we must indemnify the director or executive officer for all expenses and liabilities actually and reasonably incurred by him or her, or on his or her behalf, to the maximum extent permitted under Maryland law, including in any proceeding brought by the director or executive officer to enforce his or her rights under the indemnification agreement, to the extent provided by the agreement. The indemnification agreements also require us to advance reasonable expenses incurred by the indemnitee within ten days of the receipt by us of a statement from the indemnitee requesting the advance, provided the statement evidences the expenses and is accompanied or preceded 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5" w:name="page106"/>
    <w:bookmarkEnd w:id="105"/>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written affirmation of the indemnitee’s good faith belief that he or she has met the standard of conduct necessary for indemnification;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indemnitee or on his or her behalf to repay the amount paid if it shall ultimately be established that the standard of conduct has not been met.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indemnification agreements also provide for procedures for the determination of entitlement to indemnification, including requiring such determination be made by independent counsel after a change of control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our board of directors may revoke or otherwise terminate our election to be taxed as a real estate investment trust (“REIT”) for U.S. federal income tax purposes, without approval of our stockholders, if it determines that it is no longer in our best interest to continue to qualify as a REIT.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to qualify and maintain our qualification as a REIT for each taxable year commencing with our taxable year ending December 31, 2020, our shares of stock must be beneficially owned by 100 or more persons during at least 335 days of a taxable year of 12 months or during a proportionate part of a shorter taxable year. Also, not more than 50% of the value of our outstanding shares of stock may be owned, directly or indirectly, by five or fewer individuals (as defined in the Internal Revenue Code of 1986, as amended (the “Code”), to include certain entities) during the last half of a taxable year commencing with our taxable year ending December 31, 2020.</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our board of directors believes it is at present essential for us to qualify as a REIT, our charter, subject to certain exceptions, restricts the amount of our shares of stock that a person may beneficially or constructively own. Our charter provides that, subject to certain exceptions, no person may beneficially or constructively own more than 9.8% in value or in number of shares, whichever is more restrictive, of the outstanding shares of any class or series of our capital stock.</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charter also prohibits any person from (i) beneficially owning shares of our capital stock to the extent that such beneficial ownership would result in our being “closely held” within the meaning of Section 856(h) of the Code (without regard to whether the ownership interest is held during the last half of the taxable year), (ii) transferring shares of our capital stock to the extent that such transfer would result in shares of our capital stock being beneficially owned by less than 100 persons (determined under the principles of Section 856(a)(5) of the Code), (iii) beneficially or constructively owning shares of our capital stock to the extent such beneficial or constructive ownership would cause us to constructively own 10% or more of the ownership interests in a tenant (other than a taxable REIT subsidiary (as defined in Section 856(l) of the Code)) of our real property within the meaning of Section 856(d)(2)(B) of the Code or (iv) beneficially or constructively owning or transferring shares of our capital stock if such ownership or transfer would otherwise cause us to fail to qualify as a REIT. Any person who acquires or attempts or intends to acquire beneficial or constructive ownership of shares of our capital stock that will or may violate any of the foregoing restrictions on transferability and ownership, or any person who would have owned shares of our capital stock that resulted in a transfer of shares of our capital stock to a charitable trust, is required to give written notice immediately to us, or in the case of a proposed or attempted transaction, to give at least 15 days’ prior written notice,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6" w:name="page107"/>
    <w:bookmarkEnd w:id="106"/>
    <w:p>
      <w:pPr>
        <w:jc w:val="both"/>
        <w:ind w:firstLine="324"/>
        <w:spacing w:after="0" w:line="272" w:lineRule="auto"/>
        <w:rPr>
          <w:sz w:val="20"/>
          <w:szCs w:val="20"/>
          <w:color w:val="auto"/>
        </w:rPr>
      </w:pPr>
      <w:r>
        <w:rPr>
          <w:rFonts w:ascii="Arial" w:cs="Arial" w:eastAsia="Arial" w:hAnsi="Arial"/>
          <w:sz w:val="17"/>
          <w:szCs w:val="17"/>
          <w:color w:val="auto"/>
        </w:rPr>
        <w:t>Our board of directors, in its sole discretion, may prospectively or retroactively exempt a person from the limits described above and may establish or increase an excepted holder percentage limit for such person. The person seeking an exemption must provide to our board of directors such representations, covenants and undertakings as our board of directors may deem appropriate in order to conclude that granting the exemption will not cause us to fail to qualify as a REIT. Our board of directors may not grant such an exemption to any person if such exemption would result in our failing to qualify as a REIT. Our board of directors may require a ruling from the Internal Revenue Service or an opinion of counsel, in either case in form and substance satisfactory to the board of directors, in its sole discretion, in order to determine or ensure our status as a REIT.</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Any attempted transfer of shares of our capital stock which, if effective, would violate any of the restrictions described above will result in the number of shares causing the violation (rounded up to the nearest whole share) to be automatically transferred to a trust for the exclusive benefit of one or more charitable beneficiaries, except that any transfer that results in the violation of the restriction relating to shares of our capital stock being beneficially owned by fewer than 100 persons will be void </w:t>
      </w:r>
      <w:r>
        <w:rPr>
          <w:rFonts w:ascii="Arial" w:cs="Arial" w:eastAsia="Arial" w:hAnsi="Arial"/>
          <w:sz w:val="16"/>
          <w:szCs w:val="16"/>
          <w:i w:val="1"/>
          <w:iCs w:val="1"/>
          <w:color w:val="auto"/>
        </w:rPr>
        <w:t>ab initio</w:t>
      </w:r>
      <w:r>
        <w:rPr>
          <w:rFonts w:ascii="Arial" w:cs="Arial" w:eastAsia="Arial" w:hAnsi="Arial"/>
          <w:sz w:val="16"/>
          <w:szCs w:val="16"/>
          <w:color w:val="auto"/>
        </w:rPr>
        <w:t>.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Within 20 days of receiving notice from us that shares of our capital stock have been transferred to the trust, the trustee will sell the shares to a person designated by the trustee, whose ownership of the shares will not violate the above ownership and transfer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(ii) the price received by the trustee (net of any commission and other 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shares of our capital stock held in the trust will be deemed to have been offered for sale to us, or our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which we may reduce by the amount of dividends and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jc w:val="both"/>
        <w:ind w:firstLine="324"/>
        <w:spacing w:after="0" w:line="263" w:lineRule="auto"/>
        <w:rPr>
          <w:sz w:val="20"/>
          <w:szCs w:val="20"/>
          <w:color w:val="auto"/>
        </w:rPr>
      </w:pPr>
      <w:r>
        <w:rPr>
          <w:rFonts w:ascii="Arial" w:cs="Arial" w:eastAsia="Arial" w:hAnsi="Arial"/>
          <w:sz w:val="18"/>
          <w:szCs w:val="18"/>
          <w:color w:val="auto"/>
        </w:rPr>
        <w:t xml:space="preserve">If a transfer to a charitable trust, as described above, would be ineffective for any reason to prevent a violation of a restriction, the transfer that would have resulted in such violation will be void </w:t>
      </w:r>
      <w:r>
        <w:rPr>
          <w:rFonts w:ascii="Arial" w:cs="Arial" w:eastAsia="Arial" w:hAnsi="Arial"/>
          <w:sz w:val="18"/>
          <w:szCs w:val="18"/>
          <w:i w:val="1"/>
          <w:iCs w:val="1"/>
          <w:color w:val="auto"/>
        </w:rPr>
        <w:t>ab initio</w:t>
      </w:r>
      <w:r>
        <w:rPr>
          <w:rFonts w:ascii="Arial" w:cs="Arial" w:eastAsia="Arial" w:hAnsi="Arial"/>
          <w:sz w:val="18"/>
          <w:szCs w:val="18"/>
          <w:color w:val="auto"/>
        </w:rPr>
        <w:t>, and the proposed transferee shall acquire no rights in such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Every owner of more than 5% (or such lower percentage as required by the Code or the regulations promulgated thereunder) of shares of our capital stock, within 30 days after the end of each taxable year, is required to give us written notice, stating his or her name and address, the number of shares of each class and/or series of our stock that he or she beneficially owns and a description of the manner in which the shares are held. Each such owner must provide us with such additional information as we may request in order to determine the effect, if any, of his or her beneficial ownership on our status as a REIT and to ensure compliance with the ownership limits. In addition, each stockholder will upon demand be required to provide us with such information as we may request in order to determine our status as a REIT and to comply with the requirements of any taxing authority or governmental authority or to determine such compliance and to ensure compliance with the ownership limit.</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otherwise be in the best interest of our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1"/>
              </w:rPr>
              <w:t>Subsidiaries of the Registrant: Alpine Income Property Trust, Inc.</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0"/>
              </w:rPr>
              <w:t>Percentage of Voting Securities</w:t>
            </w:r>
          </w:p>
        </w:tc>
      </w:tr>
      <w:tr>
        <w:trPr>
          <w:trHeight w:val="223"/>
        </w:trPr>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Organized Under Laws of</w:t>
            </w:r>
          </w:p>
        </w:tc>
        <w:tc>
          <w:tcPr>
            <w:tcW w:w="2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7"/>
              </w:rPr>
              <w:t>Owned by Immediate Parent</w:t>
            </w:r>
          </w:p>
        </w:tc>
      </w:tr>
      <w:tr>
        <w:trPr>
          <w:trHeight w:val="203"/>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Alpine Income Property GP, LLC</w:t>
            </w:r>
          </w:p>
        </w:tc>
        <w:tc>
          <w:tcPr>
            <w:tcW w:w="320" w:type="dxa"/>
            <w:vAlign w:val="bottom"/>
            <w:tcBorders>
              <w:top w:val="single" w:sz="8" w:color="auto"/>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ind w:right="219"/>
              <w:spacing w:after="0"/>
              <w:rPr>
                <w:sz w:val="20"/>
                <w:szCs w:val="20"/>
                <w:color w:val="auto"/>
              </w:rPr>
            </w:pPr>
            <w:r>
              <w:rPr>
                <w:rFonts w:ascii="Arial" w:cs="Arial" w:eastAsia="Arial" w:hAnsi="Arial"/>
                <w:sz w:val="16"/>
                <w:szCs w:val="16"/>
                <w:color w:val="auto"/>
                <w:w w:val="91"/>
              </w:rPr>
              <w:t>Delaware</w:t>
            </w:r>
          </w:p>
        </w:tc>
        <w:tc>
          <w:tcPr>
            <w:tcW w:w="1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5"/>
              </w:rPr>
              <w:t>(1)</w:t>
            </w:r>
          </w:p>
        </w:tc>
      </w:tr>
      <w:tr>
        <w:trPr>
          <w:trHeight w:val="206"/>
        </w:trPr>
        <w:tc>
          <w:tcPr>
            <w:tcW w:w="5120" w:type="dxa"/>
            <w:vAlign w:val="bottom"/>
            <w:gridSpan w:val="2"/>
          </w:tcPr>
          <w:p>
            <w:pPr>
              <w:spacing w:after="0"/>
              <w:rPr>
                <w:sz w:val="20"/>
                <w:szCs w:val="20"/>
                <w:color w:val="auto"/>
              </w:rPr>
            </w:pPr>
            <w:r>
              <w:rPr>
                <w:rFonts w:ascii="Arial" w:cs="Arial" w:eastAsia="Arial" w:hAnsi="Arial"/>
                <w:sz w:val="16"/>
                <w:szCs w:val="16"/>
                <w:color w:val="auto"/>
              </w:rPr>
              <w:t>Alpine Income Property OP, LP</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Bluebird Metrowest Orlando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1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4"/>
                <w:szCs w:val="24"/>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CTLC18 Lynn MA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Charlottesville VA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CTO16 Huntersville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Raleigh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CTO16 Reno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Brandon FL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CTO17 Hillsboro OR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Saugus MA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CTO19 Albany GA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Birmingham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CTO19 Troy WI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Winston Salem NC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Indigo Henry LLC</w:t>
            </w:r>
          </w:p>
        </w:tc>
        <w:tc>
          <w:tcPr>
            <w:tcW w:w="2360" w:type="dxa"/>
            <w:vAlign w:val="bottom"/>
            <w:gridSpan w:val="2"/>
          </w:tcPr>
          <w:p>
            <w:pPr>
              <w:jc w:val="center"/>
              <w:ind w:right="480"/>
              <w:spacing w:after="0"/>
              <w:rPr>
                <w:sz w:val="20"/>
                <w:szCs w:val="20"/>
                <w:color w:val="auto"/>
              </w:rPr>
            </w:pPr>
            <w:r>
              <w:rPr>
                <w:rFonts w:ascii="Arial" w:cs="Arial" w:eastAsia="Arial" w:hAnsi="Arial"/>
                <w:sz w:val="16"/>
                <w:szCs w:val="16"/>
                <w:color w:val="auto"/>
                <w:w w:val="98"/>
              </w:rPr>
              <w:t>Florida</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LHC15 Glendale AZ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 MEX OH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 MEX OH 2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Alpharetta GA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Asheville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Georgetown TX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Glendale AZ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Jacksonville FL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Slaughter Austin TX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2"/>
        </w:trPr>
        <w:tc>
          <w:tcPr>
            <w:tcW w:w="5120" w:type="dxa"/>
            <w:vAlign w:val="bottom"/>
            <w:gridSpan w:val="2"/>
          </w:tcPr>
          <w:p>
            <w:pPr>
              <w:spacing w:after="0"/>
              <w:rPr>
                <w:sz w:val="20"/>
                <w:szCs w:val="20"/>
                <w:color w:val="auto"/>
              </w:rPr>
            </w:pPr>
            <w:r>
              <w:rPr>
                <w:rFonts w:ascii="Arial" w:cs="Arial" w:eastAsia="Arial" w:hAnsi="Arial"/>
                <w:sz w:val="16"/>
                <w:szCs w:val="16"/>
                <w:color w:val="auto"/>
              </w:rPr>
              <w:t>PINE20 Alb NM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Aloma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Arden NC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Barker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Bingham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Blanding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Blanding Pad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Cecelia KY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Chazy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Chicago IL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Cut &amp; Shoot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Del Rio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Glendale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2"/>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Hammond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Harrisville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Heuvelton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Highland KY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Howell MI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Hurst TX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Kermit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Limestone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Milford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Mountain Lake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Newtonsville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Odessa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Salem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Seguin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Severn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Somerville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Sun WI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Tacoma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Tulsa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Tulsa Pad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2"/>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Tyn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Willis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Winthrop LLC</w:t>
            </w:r>
          </w:p>
        </w:tc>
        <w:tc>
          <w:tcPr>
            <w:tcW w:w="23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317"/>
        </w:trPr>
        <w:tc>
          <w:tcPr>
            <w:tcW w:w="5120" w:type="dxa"/>
            <w:vAlign w:val="bottom"/>
            <w:gridSpan w:val="2"/>
          </w:tcPr>
          <w:p>
            <w:pPr>
              <w:spacing w:after="0"/>
              <w:rPr>
                <w:sz w:val="20"/>
                <w:szCs w:val="20"/>
                <w:color w:val="auto"/>
              </w:rPr>
            </w:pPr>
            <w:r>
              <w:rPr>
                <w:rFonts w:ascii="Arial" w:cs="Arial" w:eastAsia="Arial" w:hAnsi="Arial"/>
                <w:sz w:val="16"/>
                <w:szCs w:val="16"/>
                <w:color w:val="auto"/>
              </w:rPr>
              <w:t>PINE21 Acquisitions 11 LLC</w:t>
            </w:r>
          </w:p>
        </w:tc>
        <w:tc>
          <w:tcPr>
            <w:tcW w:w="23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24"/>
                <w:szCs w:val="24"/>
                <w:color w:val="auto"/>
                <w:vertAlign w:val="superscript"/>
              </w:rPr>
              <w:t>(3)</w:t>
            </w:r>
          </w:p>
        </w:tc>
      </w:tr>
      <w:tr>
        <w:trPr>
          <w:trHeight w:val="446"/>
        </w:trPr>
        <w:tc>
          <w:tcPr>
            <w:tcW w:w="4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0"/>
              </w:rPr>
              <w:t>Percentage of Voting Securities</w:t>
            </w:r>
          </w:p>
        </w:tc>
      </w:tr>
      <w:tr>
        <w:trPr>
          <w:trHeight w:val="223"/>
        </w:trPr>
        <w:tc>
          <w:tcPr>
            <w:tcW w:w="4800" w:type="dxa"/>
            <w:vAlign w:val="bottom"/>
          </w:tcPr>
          <w:p>
            <w:pPr>
              <w:spacing w:after="0"/>
              <w:rPr>
                <w:sz w:val="19"/>
                <w:szCs w:val="19"/>
                <w:color w:val="auto"/>
              </w:rPr>
            </w:pPr>
          </w:p>
        </w:tc>
        <w:tc>
          <w:tcPr>
            <w:tcW w:w="2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Organized Under Laws of</w:t>
            </w:r>
          </w:p>
        </w:tc>
        <w:tc>
          <w:tcPr>
            <w:tcW w:w="2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7"/>
              </w:rPr>
              <w:t>Owned by Immediate Parent</w:t>
            </w:r>
          </w:p>
        </w:tc>
      </w:tr>
      <w:tr>
        <w:trPr>
          <w:trHeight w:val="203"/>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PINE21 Acquisitions 12 LLC</w:t>
            </w: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1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5"/>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13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14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II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III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IV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IX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V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VI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VII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Acquisitions VIII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X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PINE21 Houston East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PINE21 Houston West LLC</w:t>
            </w:r>
          </w:p>
        </w:tc>
        <w:tc>
          <w:tcPr>
            <w:tcW w:w="26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317"/>
        </w:trPr>
        <w:tc>
          <w:tcPr>
            <w:tcW w:w="4800" w:type="dxa"/>
            <w:vAlign w:val="bottom"/>
          </w:tcPr>
          <w:p>
            <w:pPr>
              <w:spacing w:after="0"/>
              <w:rPr>
                <w:sz w:val="20"/>
                <w:szCs w:val="20"/>
                <w:color w:val="auto"/>
              </w:rPr>
            </w:pPr>
            <w:r>
              <w:rPr>
                <w:rFonts w:ascii="Arial" w:cs="Arial" w:eastAsia="Arial" w:hAnsi="Arial"/>
                <w:sz w:val="16"/>
                <w:szCs w:val="16"/>
                <w:color w:val="auto"/>
              </w:rPr>
              <w:t>PINE21 Sports LLC</w:t>
            </w:r>
          </w:p>
        </w:tc>
        <w:tc>
          <w:tcPr>
            <w:tcW w:w="26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24"/>
                <w:szCs w:val="24"/>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1568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68" w:lineRule="exact"/>
        <w:rPr>
          <w:sz w:val="20"/>
          <w:szCs w:val="20"/>
          <w:color w:val="auto"/>
        </w:rPr>
      </w:pPr>
    </w:p>
    <w:p>
      <w:pPr>
        <w:ind w:right="20" w:firstLine="8"/>
        <w:spacing w:after="0" w:line="207" w:lineRule="auto"/>
        <w:tabs>
          <w:tab w:leader="none" w:pos="414"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Alpine Income Property Trust, Inc. (the “Company”) is the sole member of Alpine Income Property GP, LLC (the “General Partner”).</w:t>
      </w:r>
    </w:p>
    <w:p>
      <w:pPr>
        <w:jc w:val="both"/>
        <w:ind w:firstLine="8"/>
        <w:spacing w:after="0" w:line="222" w:lineRule="auto"/>
        <w:tabs>
          <w:tab w:leader="none" w:pos="292"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General Partner is the sole general partner of Alpine Income Property OP, LP (the “Operating Partnership”). The Company owns an approximate 87.1% ownership interest in the Operating Partnership, with CTO Realty Growth, Inc. holding, directly and indirectly, an approximate 9.3% ownership interest in the Operating Partnership. The remaining 3.6% ownership interest in the Operating Partnership is held by an unrelated third party.</w:t>
      </w:r>
    </w:p>
    <w:p>
      <w:pPr>
        <w:spacing w:after="0" w:line="2" w:lineRule="exact"/>
        <w:rPr>
          <w:rFonts w:ascii="Arial" w:cs="Arial" w:eastAsia="Arial" w:hAnsi="Arial"/>
          <w:sz w:val="27"/>
          <w:szCs w:val="27"/>
          <w:color w:val="auto"/>
          <w:vertAlign w:val="superscript"/>
        </w:rPr>
      </w:pPr>
    </w:p>
    <w:p>
      <w:pPr>
        <w:ind w:left="300" w:hanging="292"/>
        <w:spacing w:after="0" w:line="180" w:lineRule="auto"/>
        <w:tabs>
          <w:tab w:leader="none" w:pos="300" w:val="left"/>
        </w:tabs>
        <w:numPr>
          <w:ilvl w:val="0"/>
          <w:numId w:val="50"/>
        </w:numPr>
        <w:rPr>
          <w:rFonts w:ascii="Arial" w:cs="Arial" w:eastAsia="Arial" w:hAnsi="Arial"/>
          <w:sz w:val="25"/>
          <w:szCs w:val="25"/>
          <w:color w:val="auto"/>
          <w:vertAlign w:val="superscript"/>
        </w:rPr>
      </w:pPr>
      <w:r>
        <w:rPr>
          <w:rFonts w:ascii="Arial" w:cs="Arial" w:eastAsia="Arial" w:hAnsi="Arial"/>
          <w:sz w:val="17"/>
          <w:szCs w:val="17"/>
          <w:color w:val="auto"/>
        </w:rPr>
        <w:t>The Operating Partnership is the sole member.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subsidiaries are included in the Consolidated and Combined Financial Statements of the Company and its subsidiaries appearing elsewhere in the Company’s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9" w:right="9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issued our report dated February 10, 2022, with respect to the consolidated financial statements included in the Annual Report of Alpine Income Property Trust, Inc. on Form 10-K for the year ended December 31, 2021. We consent to the incorporation by reference of said report in the Registration Statements of Alpine Income Property Trust, Inc. on Form S-3 (File No. 333-251057) and Form S-8 (File No. 333-235256).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John P. Albright,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20" w:val="left"/>
          <w:tab w:leader="none" w:pos="6520" w:val="left"/>
        </w:tabs>
        <w:rPr>
          <w:sz w:val="20"/>
          <w:szCs w:val="20"/>
          <w:color w:val="auto"/>
        </w:rPr>
      </w:pPr>
      <w:r>
        <w:rPr>
          <w:rFonts w:ascii="Arial" w:cs="Arial" w:eastAsia="Arial" w:hAnsi="Arial"/>
          <w:sz w:val="18"/>
          <w:szCs w:val="18"/>
          <w:color w:val="auto"/>
        </w:rPr>
        <w:t>Date: February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Matthew M. Partridge, certify that:</w:t>
      </w:r>
    </w:p>
    <w:p>
      <w:pPr>
        <w:spacing w:after="0" w:line="22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00" w:val="left"/>
          <w:tab w:leader="none" w:pos="6240" w:val="left"/>
        </w:tabs>
        <w:rPr>
          <w:sz w:val="20"/>
          <w:szCs w:val="20"/>
          <w:color w:val="auto"/>
        </w:rPr>
      </w:pPr>
      <w:r>
        <w:rPr>
          <w:rFonts w:ascii="Arial" w:cs="Arial" w:eastAsia="Arial" w:hAnsi="Arial"/>
          <w:sz w:val="18"/>
          <w:szCs w:val="18"/>
          <w:color w:val="auto"/>
        </w:rPr>
        <w:t>Date: February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Matthew M. Partridge</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Treasurer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077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2021,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MATTHEW M. PARTRIDGE</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Senior Vice President, Chief Financial Officer and Treasurer</w:t>
      </w:r>
    </w:p>
    <w:p>
      <w:pPr>
        <w:spacing w:after="0" w:line="21"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7"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75" Type="http://schemas.openxmlformats.org/officeDocument/2006/relationships/hyperlink" Target="https://www.sec.gov/Archives/edgar/data/1786117/000155837021004006/tmb-20210402xex2d1.htm" TargetMode="External"/><Relationship Id="rId76" Type="http://schemas.openxmlformats.org/officeDocument/2006/relationships/hyperlink" Target="https://www.sec.gov/Archives/edgar/data/1786117/000155837021004629/pine-20210331ex21a3f8350.htm" TargetMode="External"/><Relationship Id="rId77" Type="http://schemas.openxmlformats.org/officeDocument/2006/relationships/hyperlink" Target="https://www.sec.gov/Archives/edgar/data/1786117/000155837019011294/ex-3d1.htm" TargetMode="External"/><Relationship Id="rId78" Type="http://schemas.openxmlformats.org/officeDocument/2006/relationships/hyperlink" Target="https://www.sec.gov/Archives/edgar/data/0001786117/000155837021009093/tmb-20210721xex3d1.htm" TargetMode="External"/><Relationship Id="rId79" Type="http://schemas.openxmlformats.org/officeDocument/2006/relationships/hyperlink" Target="https://www.sec.gov/Archives/edgar/data/1786117/000119312519277917/d793798dex41.htm" TargetMode="External"/><Relationship Id="rId80" Type="http://schemas.openxmlformats.org/officeDocument/2006/relationships/hyperlink" Target="https://www.sec.gov/Archives/edgar/data/1786117/000155837019011294/ex-10d1.htm" TargetMode="External"/><Relationship Id="rId81" Type="http://schemas.openxmlformats.org/officeDocument/2006/relationships/hyperlink" Target="https://www.sec.gov/Archives/edgar/data/1786117/000155837019011294/ex-10d2.htm" TargetMode="External"/><Relationship Id="rId82" Type="http://schemas.openxmlformats.org/officeDocument/2006/relationships/hyperlink" Target="https://www.sec.gov/Archives/edgar/data/1786117/000155837019011294/ex-10d3.htm" TargetMode="External"/><Relationship Id="rId83" Type="http://schemas.openxmlformats.org/officeDocument/2006/relationships/hyperlink" Target="https://www.sec.gov/Archives/edgar/data/1786117/000155837019011294/ex-10d4.htm" TargetMode="External"/><Relationship Id="rId84" Type="http://schemas.openxmlformats.org/officeDocument/2006/relationships/hyperlink" Target="https://www.sec.gov/Archives/edgar/data/1786117/000155837019011294/ex-10d5.htm" TargetMode="External"/><Relationship Id="rId85" Type="http://schemas.openxmlformats.org/officeDocument/2006/relationships/hyperlink" Target="https://www.sec.gov/Archives/edgar/data/1786117/000155837019011294/ex-10d6.htm" TargetMode="External"/><Relationship Id="rId86" Type="http://schemas.openxmlformats.org/officeDocument/2006/relationships/hyperlink" Target="https://www.sec.gov/Archives/edgar/data/1786117/000155837019011294/ex-10d7.htm" TargetMode="External"/><Relationship Id="rId88" Type="http://schemas.openxmlformats.org/officeDocument/2006/relationships/hyperlink" Target="https://www.sec.gov/Archives/edgar/data/1786117/000155837019011294/ex-10d8.htm" TargetMode="External"/><Relationship Id="rId89" Type="http://schemas.openxmlformats.org/officeDocument/2006/relationships/hyperlink" Target="https://www.sec.gov/Archives/edgar/data/1786117/000155837019011294/ex-10d10.htm" TargetMode="External"/><Relationship Id="rId90" Type="http://schemas.openxmlformats.org/officeDocument/2006/relationships/hyperlink" Target="https://www.sec.gov/Archives/edgar/data/1786117/000155837019011294/ex-10d11.htm" TargetMode="External"/><Relationship Id="rId91" Type="http://schemas.openxmlformats.org/officeDocument/2006/relationships/hyperlink" Target="https://www.sec.gov/Archives/edgar/data/1786117/000155837019011294/ex-10d12.htm" TargetMode="External"/><Relationship Id="rId92" Type="http://schemas.openxmlformats.org/officeDocument/2006/relationships/hyperlink" Target="https://www.sec.gov/Archives/edgar/data/1786117/000155837019011294/ex-10d13.htm" TargetMode="External"/><Relationship Id="rId93" Type="http://schemas.openxmlformats.org/officeDocument/2006/relationships/hyperlink" Target="https://www.sec.gov/Archives/edgar/data/1786117/000155837019011294/ex-10d14.htm" TargetMode="External"/><Relationship Id="rId94" Type="http://schemas.openxmlformats.org/officeDocument/2006/relationships/hyperlink" Target="https://www.sec.gov/Archives/edgar/data/1786117/000155837019011294/ex-10d15.htm" TargetMode="External"/><Relationship Id="rId95" Type="http://schemas.openxmlformats.org/officeDocument/2006/relationships/hyperlink" Target="https://www.sec.gov/Archives/edgar/data/1786117/000155837021000918/tmb-20210210xex10d1.htm" TargetMode="External"/><Relationship Id="rId96" Type="http://schemas.openxmlformats.org/officeDocument/2006/relationships/hyperlink" Target="https://www.sec.gov/Archives/edgar/data/1786117/000119312519300042/d839902dex101.htm" TargetMode="External"/><Relationship Id="rId97" Type="http://schemas.openxmlformats.org/officeDocument/2006/relationships/hyperlink" Target="https://www.sec.gov/Archives/edgar/data/1786117/000155837019011294/ex-10d17.htm" TargetMode="External"/><Relationship Id="rId98" Type="http://schemas.openxmlformats.org/officeDocument/2006/relationships/hyperlink" Target="https://www.sec.gov/Archives/edgar/data/1786117/000119312519287435/d793798dex1011.htm" TargetMode="External"/><Relationship Id="rId99" Type="http://schemas.openxmlformats.org/officeDocument/2006/relationships/hyperlink" Target="https://www.sec.gov/Archives/edgar/data/1786117/000155837020009023/pine-20200630ex10198fe37.htm" TargetMode="External"/><Relationship Id="rId100" Type="http://schemas.openxmlformats.org/officeDocument/2006/relationships/hyperlink" Target="https://www.sec.gov/Archives/edgar/data/1786117/000155837020011628/tmb-20201016xex10d1.htm" TargetMode="External"/><Relationship Id="rId101" Type="http://schemas.openxmlformats.org/officeDocument/2006/relationships/hyperlink" Target="https://www.sec.gov/Archives/edgar/data/1786117/000155837021007720/tmb-20210519xex10d1.htm" TargetMode="External"/><Relationship Id="rId102" Type="http://schemas.openxmlformats.org/officeDocument/2006/relationships/hyperlink" Target="https://www.sec.gov/Archives/edgar/data/1786117/000155837021007720/tmb-20210519xex10d2.htm" TargetMode="External"/><Relationship Id="rId103" Type="http://schemas.openxmlformats.org/officeDocument/2006/relationships/hyperlink" Target="https://www.sec.gov/Archives/edgar/data/1786117/000155837021009099/pine-20210630xex10d3.htm" TargetMode="External"/><Relationship Id="rId104" Type="http://schemas.openxmlformats.org/officeDocument/2006/relationships/hyperlink" Target="https://www.sec.gov/Archives/edgar/data/1786117/000155837021009099/pine-20210630xex10d4.htm" TargetMode="External"/><Relationship Id="rId105" Type="http://schemas.openxmlformats.org/officeDocument/2006/relationships/hyperlink" Target="https://www.sec.gov/Archives/edgar/data/1786117/000155837021013355/pine-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2022-02-11T23:35:38Z</dcterms:created>
  <dcterms:modified xsi:type="dcterms:W3CDTF">2022-02-11T23:35:38Z</dcterms:modified>
</cp:coreProperties>
</file>