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4.xml.htm"/>
      <w:bookmarkStart w:id="1" w:name="ksform410022026_0410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Elias Wein Rachel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 SUITE 140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Alpine Income Property Trust, Inc.</w:t>
              </w:r>
            </w:hyperlink>
            <w:r>
              <w:rPr/>
              <w:t xml:space="preserve"> [ </w:t>
            </w:r>
            <w:r>
              <w:rPr>
                <w:rFonts w:ascii="Times;serif" w:hAnsi="Times;serif"/>
                <w:color w:val="0000FF"/>
                <w:sz w:val="24"/>
                <w:shd w:fill="FFFFFF" w:val="clear"/>
              </w:rPr>
              <w:t>PINE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18.058</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16,725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as the equity component of her Q3 2026 quarterly retainer fee (the value of such component being approximately $17,500), pursuant to the Issuer's Non-Employee Director Compensation Policy (the "Policy") adopted by the Issuer's board of directors on February 3, 2020 (last amended January 30, 2025). Pursuant to the Policy, the share price utilized to calculate the number of shares issued was the 20-day trailing average closing price as of the last business day of the calendar quarter, or $18.0580.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Rachel Elias Wein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6912" TargetMode="External"/><Relationship Id="rId5" Type="http://schemas.openxmlformats.org/officeDocument/2006/relationships/hyperlink" Target="http://www.sec.gov/cgi-bin/browse-edgar?action=getcompany&amp;CIK=0001786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3586</Characters>
  <CharactersWithSpaces>4183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